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bookmarkStart w:id="0" w:name="_GoBack"/>
      <w:bookmarkEnd w:id="0"/>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23C36FD1" w:rsidR="005079E8" w:rsidRPr="00920E8C" w:rsidRDefault="00A975A4"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INT</w:t>
      </w:r>
      <w:r w:rsidR="005079E8" w:rsidRPr="00920E8C">
        <w:rPr>
          <w:rFonts w:ascii="Times New Roman" w:hAnsi="Times New Roman"/>
          <w:szCs w:val="22"/>
          <w:lang w:val="fr-CA"/>
        </w:rPr>
        <w:t>-</w:t>
      </w:r>
      <w:r>
        <w:rPr>
          <w:rFonts w:ascii="Times New Roman" w:hAnsi="Times New Roman"/>
          <w:szCs w:val="22"/>
          <w:lang w:val="fr-CA"/>
        </w:rPr>
        <w:t>009</w:t>
      </w:r>
      <w:r w:rsidR="005079E8" w:rsidRPr="00920E8C">
        <w:rPr>
          <w:rFonts w:ascii="Times New Roman" w:hAnsi="Times New Roman"/>
          <w:szCs w:val="22"/>
          <w:lang w:val="fr-CA"/>
        </w:rPr>
        <w:t>-</w:t>
      </w:r>
      <w:r>
        <w:rPr>
          <w:rFonts w:ascii="Times New Roman" w:hAnsi="Times New Roman"/>
          <w:szCs w:val="22"/>
          <w:lang w:val="fr-CA"/>
        </w:rPr>
        <w:t>3</w:t>
      </w:r>
      <w:r w:rsidR="005079E8" w:rsidRPr="00920E8C">
        <w:rPr>
          <w:rFonts w:ascii="Times New Roman" w:hAnsi="Times New Roman"/>
          <w:szCs w:val="22"/>
          <w:lang w:val="fr-CA"/>
        </w:rPr>
        <w:t xml:space="preserve"> — </w:t>
      </w:r>
      <w:r>
        <w:rPr>
          <w:rFonts w:ascii="Times New Roman" w:hAnsi="Times New Roman"/>
          <w:szCs w:val="22"/>
          <w:lang w:val="fr-CA"/>
        </w:rPr>
        <w:t>Mise en œuvre d’un échange</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proofErr w:type="spellStart"/>
            <w:r>
              <w:rPr>
                <w:rFonts w:ascii="Times New Roman" w:hAnsi="Times New Roman" w:cs="Times New Roman"/>
                <w:b/>
                <w:bCs/>
              </w:rPr>
              <w:t>Numéro</w:t>
            </w:r>
            <w:proofErr w:type="spellEnd"/>
            <w:r>
              <w:rPr>
                <w:rFonts w:ascii="Times New Roman" w:hAnsi="Times New Roman" w:cs="Times New Roman"/>
                <w:b/>
                <w:bCs/>
              </w:rPr>
              <w:t xml:space="preserve"> de </w:t>
            </w:r>
            <w:proofErr w:type="spellStart"/>
            <w:r>
              <w:rPr>
                <w:rFonts w:ascii="Times New Roman" w:hAnsi="Times New Roman" w:cs="Times New Roman"/>
                <w:b/>
                <w:bCs/>
              </w:rPr>
              <w:t>l’audit</w:t>
            </w:r>
            <w:proofErr w:type="spellEnd"/>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w:t>
            </w:r>
            <w:proofErr w:type="spellStart"/>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w:t>
            </w:r>
            <w:proofErr w:type="spellEnd"/>
            <w:r w:rsidR="005079E8" w:rsidRPr="00CE1F2E">
              <w:rPr>
                <w:rFonts w:ascii="Times New Roman" w:hAnsi="Times New Roman" w:cs="Times New Roman"/>
                <w:bCs/>
                <w:color w:val="A6A6A6" w:themeColor="background1" w:themeShade="A6"/>
              </w:rPr>
              <w:t>-YYYYMMDD</w:t>
            </w:r>
          </w:p>
        </w:tc>
      </w:tr>
      <w:tr w:rsidR="00C72E23" w:rsidRPr="00CE1F2E" w14:paraId="72081C95" w14:textId="77777777" w:rsidTr="003C69B1">
        <w:tc>
          <w:tcPr>
            <w:tcW w:w="4820" w:type="dxa"/>
          </w:tcPr>
          <w:p w14:paraId="08B9E2AF" w14:textId="72B21E31" w:rsidR="005079E8" w:rsidRPr="00CE1F2E" w:rsidRDefault="005079E8" w:rsidP="00C416DE">
            <w:pPr>
              <w:widowControl w:val="0"/>
              <w:tabs>
                <w:tab w:val="left" w:pos="0"/>
              </w:tabs>
              <w:rPr>
                <w:rFonts w:ascii="Times New Roman" w:hAnsi="Times New Roman" w:cs="Times New Roman"/>
                <w:i/>
                <w:iCs/>
              </w:rPr>
            </w:pPr>
            <w:proofErr w:type="spellStart"/>
            <w:r w:rsidRPr="00CE1F2E">
              <w:rPr>
                <w:rFonts w:ascii="Times New Roman" w:hAnsi="Times New Roman" w:cs="Times New Roman"/>
                <w:b/>
                <w:bCs/>
              </w:rPr>
              <w:t>Entité</w:t>
            </w:r>
            <w:proofErr w:type="spellEnd"/>
            <w:r w:rsidRPr="00CE1F2E">
              <w:rPr>
                <w:rFonts w:ascii="Times New Roman" w:hAnsi="Times New Roman" w:cs="Times New Roman"/>
                <w:b/>
                <w:bCs/>
              </w:rPr>
              <w:t xml:space="preserve"> </w:t>
            </w:r>
            <w:proofErr w:type="spellStart"/>
            <w:r w:rsidRPr="00CE1F2E">
              <w:rPr>
                <w:rFonts w:ascii="Times New Roman" w:hAnsi="Times New Roman" w:cs="Times New Roman"/>
                <w:b/>
                <w:bCs/>
              </w:rPr>
              <w:t>visée</w:t>
            </w:r>
            <w:proofErr w:type="spellEnd"/>
            <w:r w:rsidRPr="00CE1F2E">
              <w:rPr>
                <w:rFonts w:ascii="Times New Roman" w:hAnsi="Times New Roman" w:cs="Times New Roman"/>
                <w:b/>
                <w:bCs/>
              </w:rPr>
              <w:t>:</w:t>
            </w:r>
          </w:p>
        </w:tc>
        <w:tc>
          <w:tcPr>
            <w:tcW w:w="5980" w:type="dxa"/>
            <w:vAlign w:val="center"/>
          </w:tcPr>
          <w:p w14:paraId="5E39FF68" w14:textId="5519CA93" w:rsidR="005079E8" w:rsidRPr="00CE1F2E" w:rsidRDefault="006A619B" w:rsidP="00C416DE">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 xml:space="preserve">Nom de </w:t>
            </w:r>
            <w:proofErr w:type="spellStart"/>
            <w:r>
              <w:rPr>
                <w:rFonts w:ascii="Times New Roman" w:hAnsi="Times New Roman" w:cs="Times New Roman"/>
                <w:bCs/>
                <w:color w:val="A6A6A6" w:themeColor="background1" w:themeShade="A6"/>
              </w:rPr>
              <w:t>l’entité</w:t>
            </w:r>
            <w:proofErr w:type="spellEnd"/>
            <w:r>
              <w:rPr>
                <w:rFonts w:ascii="Times New Roman" w:hAnsi="Times New Roman" w:cs="Times New Roman"/>
                <w:bCs/>
                <w:color w:val="A6A6A6" w:themeColor="background1" w:themeShade="A6"/>
              </w:rPr>
              <w:t xml:space="preserve"> </w:t>
            </w:r>
            <w:proofErr w:type="spellStart"/>
            <w:r>
              <w:rPr>
                <w:rFonts w:ascii="Times New Roman" w:hAnsi="Times New Roman" w:cs="Times New Roman"/>
                <w:bCs/>
                <w:color w:val="A6A6A6" w:themeColor="background1" w:themeShade="A6"/>
              </w:rPr>
              <w:t>visée</w:t>
            </w:r>
            <w:proofErr w:type="spellEnd"/>
          </w:p>
        </w:tc>
      </w:tr>
      <w:tr w:rsidR="00C72E23" w:rsidRPr="00CE1F2E" w14:paraId="62975B8B" w14:textId="77777777" w:rsidTr="003C69B1">
        <w:tc>
          <w:tcPr>
            <w:tcW w:w="4820" w:type="dxa"/>
          </w:tcPr>
          <w:p w14:paraId="3C3D7E3C" w14:textId="72829E56" w:rsidR="005079E8" w:rsidRPr="00CE1F2E" w:rsidRDefault="005079E8" w:rsidP="00C416DE">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proofErr w:type="spellStart"/>
            <w:r w:rsidRPr="00CE1F2E">
              <w:rPr>
                <w:rFonts w:ascii="Times New Roman" w:hAnsi="Times New Roman" w:cs="Times New Roman"/>
                <w:bCs/>
                <w:color w:val="A6A6A6" w:themeColor="background1" w:themeShade="A6"/>
              </w:rPr>
              <w:t>NIRnnnn</w:t>
            </w:r>
            <w:proofErr w:type="spellEnd"/>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proofErr w:type="spellStart"/>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w:t>
            </w:r>
            <w:proofErr w:type="spellEnd"/>
            <w:r w:rsidR="00C72E23" w:rsidRPr="00CE1F2E">
              <w:rPr>
                <w:rFonts w:ascii="Times New Roman" w:hAnsi="Times New Roman" w:cs="Times New Roman"/>
                <w:color w:val="A6A6A6" w:themeColor="background1" w:themeShade="A6"/>
              </w:rPr>
              <w:t xml:space="preserve"> de </w:t>
            </w:r>
            <w:proofErr w:type="spellStart"/>
            <w:r w:rsidR="00C72E23" w:rsidRPr="00CE1F2E">
              <w:rPr>
                <w:rFonts w:ascii="Times New Roman" w:hAnsi="Times New Roman" w:cs="Times New Roman"/>
                <w:color w:val="A6A6A6" w:themeColor="background1" w:themeShade="A6"/>
              </w:rPr>
              <w:t>l’énergie</w:t>
            </w:r>
            <w:proofErr w:type="spellEnd"/>
          </w:p>
        </w:tc>
      </w:tr>
      <w:tr w:rsidR="00C72E23" w:rsidRPr="00D63C98"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C416DE">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D63C98" w14:paraId="04F0D2EA" w14:textId="77777777" w:rsidTr="003C69B1">
        <w:tc>
          <w:tcPr>
            <w:tcW w:w="4820" w:type="dxa"/>
          </w:tcPr>
          <w:p w14:paraId="7911FEAA" w14:textId="27D39321" w:rsidR="005079E8" w:rsidRPr="00CE1F2E" w:rsidRDefault="005079E8" w:rsidP="00C416DE">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proofErr w:type="spellStart"/>
            <w:r w:rsidRPr="00CE1F2E">
              <w:rPr>
                <w:rFonts w:ascii="Times New Roman" w:hAnsi="Times New Roman" w:cs="Times New Roman"/>
                <w:b/>
                <w:bCs/>
              </w:rPr>
              <w:t>Noms</w:t>
            </w:r>
            <w:proofErr w:type="spellEnd"/>
            <w:r w:rsidRPr="00CE1F2E">
              <w:rPr>
                <w:rFonts w:ascii="Times New Roman" w:hAnsi="Times New Roman" w:cs="Times New Roman"/>
                <w:b/>
                <w:bCs/>
              </w:rPr>
              <w:t xml:space="preserve"> des </w:t>
            </w:r>
            <w:proofErr w:type="spellStart"/>
            <w:r w:rsidRPr="00CE1F2E">
              <w:rPr>
                <w:rFonts w:ascii="Times New Roman" w:hAnsi="Times New Roman" w:cs="Times New Roman"/>
                <w:b/>
                <w:bCs/>
              </w:rPr>
              <w:t>auditeurs</w:t>
            </w:r>
            <w:proofErr w:type="spellEnd"/>
            <w:r w:rsidRPr="00CE1F2E">
              <w:rPr>
                <w:rFonts w:ascii="Times New Roman" w:hAnsi="Times New Roman" w:cs="Times New Roman"/>
                <w:b/>
                <w:bCs/>
              </w:rPr>
              <w:t>:</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proofErr w:type="spellStart"/>
            <w:r>
              <w:rPr>
                <w:rFonts w:ascii="Times New Roman" w:hAnsi="Times New Roman" w:cs="Times New Roman"/>
                <w:bCs/>
                <w:color w:val="A6A6A6" w:themeColor="background1" w:themeShade="A6"/>
              </w:rPr>
              <w:t>Fournis</w:t>
            </w:r>
            <w:proofErr w:type="spellEnd"/>
            <w:r>
              <w:rPr>
                <w:rFonts w:ascii="Times New Roman" w:hAnsi="Times New Roman" w:cs="Times New Roman"/>
                <w:bCs/>
                <w:color w:val="A6A6A6" w:themeColor="background1" w:themeShade="A6"/>
              </w:rPr>
              <w:t xml:space="preserve">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0" w:type="auto"/>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A10B10">
        <w:tc>
          <w:tcPr>
            <w:tcW w:w="605" w:type="dxa"/>
            <w:shd w:val="clear" w:color="auto" w:fill="DCDCFF"/>
          </w:tcPr>
          <w:p w14:paraId="1EE9F8B0" w14:textId="77777777" w:rsidR="00A10B10" w:rsidRPr="00922A4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A10B10">
        <w:tc>
          <w:tcPr>
            <w:tcW w:w="605" w:type="dxa"/>
            <w:shd w:val="clear" w:color="auto" w:fill="DCDCFF"/>
          </w:tcPr>
          <w:p w14:paraId="42052CBC" w14:textId="2182A30F"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06ACCA9F" w:rsidR="00A10B10" w:rsidRPr="00922A4F" w:rsidRDefault="001648B3" w:rsidP="006712E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0915C529"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33971FD"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DD6C44F"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335FCE3"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93389C7"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39394DB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6665431"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7EB8D448"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13B4D15C"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1AD06C00"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48CBEA9B" w14:textId="77777777" w:rsidR="00A10B10" w:rsidRPr="00922A4F" w:rsidRDefault="00A10B10" w:rsidP="006712E5">
            <w:pPr>
              <w:jc w:val="center"/>
              <w:rPr>
                <w:rFonts w:ascii="Times New Roman" w:hAnsi="Times New Roman" w:cs="Times New Roman"/>
                <w:sz w:val="24"/>
                <w:szCs w:val="24"/>
                <w:lang w:val="fr-CA"/>
              </w:rPr>
            </w:pPr>
          </w:p>
        </w:tc>
      </w:tr>
      <w:tr w:rsidR="00A10B10" w:rsidRPr="00922A4F" w14:paraId="021058A1" w14:textId="77777777" w:rsidTr="00A10B10">
        <w:tc>
          <w:tcPr>
            <w:tcW w:w="605" w:type="dxa"/>
            <w:shd w:val="clear" w:color="auto" w:fill="DCDCFF"/>
          </w:tcPr>
          <w:p w14:paraId="1BE5C2C6" w14:textId="3B6154D8"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996385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2FB4408"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5C6DC11E"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79969069"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02EF74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4D1C87F"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3F057838"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4FE1CC2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4616C1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87BFD6D"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57B62759" w14:textId="77777777" w:rsidR="00A10B10" w:rsidRPr="00922A4F" w:rsidRDefault="00A10B10" w:rsidP="006712E5">
            <w:pPr>
              <w:jc w:val="center"/>
              <w:rPr>
                <w:rFonts w:ascii="Times New Roman" w:hAnsi="Times New Roman" w:cs="Times New Roman"/>
                <w:sz w:val="24"/>
                <w:szCs w:val="24"/>
                <w:lang w:val="fr-CA"/>
              </w:rPr>
            </w:pPr>
          </w:p>
        </w:tc>
      </w:tr>
      <w:tr w:rsidR="00A10B10" w:rsidRPr="00922A4F" w14:paraId="716C229A" w14:textId="77777777" w:rsidTr="00A10B10">
        <w:tc>
          <w:tcPr>
            <w:tcW w:w="605" w:type="dxa"/>
            <w:shd w:val="clear" w:color="auto" w:fill="DCDCFF"/>
          </w:tcPr>
          <w:p w14:paraId="4824BD0E" w14:textId="41AA0F8D"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44758E24" w14:textId="1B6C5950" w:rsidR="00A10B10" w:rsidRPr="00922A4F" w:rsidRDefault="001648B3" w:rsidP="006712E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6CDAD39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1F34F5F"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E38C65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331E588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E378AEA"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3D8F240"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54D2406A"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20FE0112"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B7BCBD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74872DD"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616B6E1C" w14:textId="77777777" w:rsidR="00A10B10" w:rsidRPr="00922A4F" w:rsidRDefault="00A10B10" w:rsidP="006712E5">
            <w:pPr>
              <w:jc w:val="center"/>
              <w:rPr>
                <w:rFonts w:ascii="Times New Roman" w:hAnsi="Times New Roman" w:cs="Times New Roman"/>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D63C98"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7"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8"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1A220894" w14:textId="77777777" w:rsidR="00D45795" w:rsidRPr="00922A4F" w:rsidRDefault="00EA1CB0" w:rsidP="00EA1CB0">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Ce formulaire fournit, à titre d’information seulement, une liste non-exclusive d’exemples de types de preuves qu’une entité visée pourrait devoir fournir ou pourrait être demandée de fournir pour démontrer la conformité à la norme de fiabilité. Les preuves soumises par l’entité visée pour répondre aux exemples de ce formulaire n’assurent pas nécessairement la conformité à la norme de fiabilité, et le NPCC se réserve le droit de demander de la preuve additionnelle,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222BDB">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00CC0E92" w:rsidRPr="00922A4F">
              <w:rPr>
                <w:rFonts w:ascii="Times New Roman" w:hAnsi="Times New Roman" w:cs="Times New Roman"/>
                <w:b/>
                <w:bCs/>
                <w:lang w:val="fr-CA"/>
              </w:rPr>
              <w:t>.</w:t>
            </w:r>
          </w:p>
        </w:tc>
        <w:tc>
          <w:tcPr>
            <w:tcW w:w="1440"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537"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7B7559">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40"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296"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537"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7B7559">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r w:rsidR="007B7559" w:rsidRPr="00922A4F" w14:paraId="53BA20BB" w14:textId="77777777" w:rsidTr="007B7559">
        <w:tc>
          <w:tcPr>
            <w:tcW w:w="743" w:type="dxa"/>
            <w:shd w:val="clear" w:color="auto" w:fill="DCDCFF"/>
            <w:vAlign w:val="center"/>
          </w:tcPr>
          <w:p w14:paraId="63877A7A"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40" w:type="dxa"/>
          </w:tcPr>
          <w:p w14:paraId="5F727D26"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380B0C"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6F0CA8F1" w14:textId="77777777" w:rsidR="007B7559" w:rsidRPr="00922A4F" w:rsidRDefault="007B7559" w:rsidP="00CC0E92">
            <w:pPr>
              <w:widowControl w:val="0"/>
              <w:rPr>
                <w:rFonts w:ascii="Times New Roman" w:hAnsi="Times New Roman" w:cs="Times New Roman"/>
                <w:bCs/>
                <w:sz w:val="22"/>
                <w:szCs w:val="22"/>
                <w:lang w:val="fr-CA"/>
              </w:rPr>
            </w:pP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5ECF681E" w14:textId="3E951F44" w:rsidR="005166D8" w:rsidRPr="00273AC9" w:rsidRDefault="003462B2" w:rsidP="00F00C86">
      <w:pPr>
        <w:pStyle w:val="Paragraphedeliste"/>
        <w:numPr>
          <w:ilvl w:val="0"/>
          <w:numId w:val="21"/>
        </w:numPr>
        <w:autoSpaceDE/>
        <w:autoSpaceDN/>
        <w:adjustRightInd/>
        <w:jc w:val="both"/>
        <w:outlineLvl w:val="0"/>
        <w:rPr>
          <w:rFonts w:ascii="Times New Roman" w:hAnsi="Times New Roman" w:cs="Times New Roman"/>
          <w:sz w:val="24"/>
          <w:szCs w:val="24"/>
          <w:lang w:val="fr-CA"/>
        </w:rPr>
      </w:pPr>
      <w:r w:rsidRPr="00273AC9">
        <w:rPr>
          <w:rFonts w:ascii="Times New Roman" w:hAnsi="Times New Roman" w:cs="Times New Roman"/>
          <w:sz w:val="24"/>
          <w:szCs w:val="24"/>
          <w:lang w:val="fr-CA"/>
        </w:rPr>
        <w:t xml:space="preserve">Chaque </w:t>
      </w:r>
      <w:r w:rsidRPr="00273AC9">
        <w:rPr>
          <w:rFonts w:ascii="Times New Roman" w:hAnsi="Times New Roman" w:cs="Times New Roman"/>
          <w:i/>
          <w:iCs/>
          <w:sz w:val="24"/>
          <w:szCs w:val="24"/>
          <w:lang w:val="fr-CA"/>
        </w:rPr>
        <w:t xml:space="preserve">responsable de l’équilibrage </w:t>
      </w:r>
      <w:r w:rsidRPr="00273AC9">
        <w:rPr>
          <w:rFonts w:ascii="Times New Roman" w:hAnsi="Times New Roman" w:cs="Times New Roman"/>
          <w:sz w:val="24"/>
          <w:szCs w:val="24"/>
          <w:lang w:val="fr-CA"/>
        </w:rPr>
        <w:t xml:space="preserve">doit convenir avec chacun de ses </w:t>
      </w:r>
      <w:r w:rsidRPr="00273AC9">
        <w:rPr>
          <w:rFonts w:ascii="Times New Roman" w:hAnsi="Times New Roman" w:cs="Times New Roman"/>
          <w:i/>
          <w:iCs/>
          <w:sz w:val="24"/>
          <w:szCs w:val="24"/>
          <w:lang w:val="fr-CA"/>
        </w:rPr>
        <w:t>responsables de l’équilibrage adjacents</w:t>
      </w:r>
      <w:r w:rsidRPr="00273AC9">
        <w:rPr>
          <w:rFonts w:ascii="Times New Roman" w:hAnsi="Times New Roman" w:cs="Times New Roman"/>
          <w:sz w:val="24"/>
          <w:szCs w:val="24"/>
          <w:lang w:val="fr-CA"/>
        </w:rPr>
        <w:t xml:space="preserve">, à intervalles établis conjointement, que son </w:t>
      </w:r>
      <w:r w:rsidR="003E2D21" w:rsidRPr="00273AC9">
        <w:rPr>
          <w:rFonts w:ascii="Times New Roman" w:hAnsi="Times New Roman" w:cs="Times New Roman"/>
          <w:i/>
          <w:iCs/>
          <w:sz w:val="24"/>
          <w:szCs w:val="24"/>
          <w:lang w:val="fr-CA"/>
        </w:rPr>
        <w:t>échange confirmé compo</w:t>
      </w:r>
      <w:r w:rsidRPr="00273AC9">
        <w:rPr>
          <w:rFonts w:ascii="Times New Roman" w:hAnsi="Times New Roman" w:cs="Times New Roman"/>
          <w:i/>
          <w:iCs/>
          <w:sz w:val="24"/>
          <w:szCs w:val="24"/>
          <w:lang w:val="fr-CA"/>
        </w:rPr>
        <w:t xml:space="preserve">site </w:t>
      </w:r>
      <w:r w:rsidRPr="00273AC9">
        <w:rPr>
          <w:rFonts w:ascii="Times New Roman" w:hAnsi="Times New Roman" w:cs="Times New Roman"/>
          <w:sz w:val="24"/>
          <w:szCs w:val="24"/>
          <w:lang w:val="fr-CA"/>
        </w:rPr>
        <w:t xml:space="preserve">avec ce </w:t>
      </w:r>
      <w:r w:rsidRPr="00273AC9">
        <w:rPr>
          <w:rFonts w:ascii="Times New Roman" w:hAnsi="Times New Roman" w:cs="Times New Roman"/>
          <w:i/>
          <w:iCs/>
          <w:sz w:val="24"/>
          <w:szCs w:val="24"/>
          <w:lang w:val="fr-CA"/>
        </w:rPr>
        <w:t>responsable de l’équilibrage adjacen</w:t>
      </w:r>
      <w:r w:rsidRPr="00273AC9">
        <w:rPr>
          <w:rFonts w:ascii="Times New Roman" w:hAnsi="Times New Roman" w:cs="Times New Roman"/>
          <w:sz w:val="24"/>
          <w:szCs w:val="24"/>
          <w:lang w:val="fr-CA"/>
        </w:rPr>
        <w:t xml:space="preserve">t (à l’exclusion des </w:t>
      </w:r>
      <w:r w:rsidRPr="00273AC9">
        <w:rPr>
          <w:rFonts w:ascii="Times New Roman" w:hAnsi="Times New Roman" w:cs="Times New Roman"/>
          <w:i/>
          <w:iCs/>
          <w:sz w:val="24"/>
          <w:szCs w:val="24"/>
          <w:lang w:val="fr-CA"/>
        </w:rPr>
        <w:t xml:space="preserve">programmes dynamiques </w:t>
      </w:r>
      <w:r w:rsidRPr="00273AC9">
        <w:rPr>
          <w:rFonts w:ascii="Times New Roman" w:hAnsi="Times New Roman" w:cs="Times New Roman"/>
          <w:sz w:val="24"/>
          <w:szCs w:val="24"/>
          <w:lang w:val="fr-CA"/>
        </w:rPr>
        <w:t xml:space="preserve">et des </w:t>
      </w:r>
      <w:r w:rsidRPr="00273AC9">
        <w:rPr>
          <w:rFonts w:ascii="Times New Roman" w:hAnsi="Times New Roman" w:cs="Times New Roman"/>
          <w:i/>
          <w:iCs/>
          <w:sz w:val="24"/>
          <w:szCs w:val="24"/>
          <w:lang w:val="fr-CA"/>
        </w:rPr>
        <w:t>pseudo-interconnexions</w:t>
      </w:r>
      <w:r w:rsidRPr="00273AC9">
        <w:rPr>
          <w:rFonts w:ascii="Times New Roman" w:hAnsi="Times New Roman" w:cs="Times New Roman"/>
          <w:sz w:val="24"/>
          <w:szCs w:val="24"/>
          <w:lang w:val="fr-CA"/>
        </w:rPr>
        <w:t xml:space="preserve">, mais à l’inclusion de tout </w:t>
      </w:r>
      <w:r w:rsidRPr="00273AC9">
        <w:rPr>
          <w:rFonts w:ascii="Times New Roman" w:hAnsi="Times New Roman" w:cs="Times New Roman"/>
          <w:i/>
          <w:iCs/>
          <w:sz w:val="24"/>
          <w:szCs w:val="24"/>
          <w:lang w:val="fr-CA"/>
        </w:rPr>
        <w:t xml:space="preserve">échange </w:t>
      </w:r>
      <w:r w:rsidRPr="00273AC9">
        <w:rPr>
          <w:rFonts w:ascii="Times New Roman" w:hAnsi="Times New Roman" w:cs="Times New Roman"/>
          <w:sz w:val="24"/>
          <w:szCs w:val="24"/>
          <w:lang w:val="fr-CA"/>
        </w:rPr>
        <w:t>visé et non encore incorporé à l’</w:t>
      </w:r>
      <w:r w:rsidRPr="00273AC9">
        <w:rPr>
          <w:rFonts w:ascii="Times New Roman" w:hAnsi="Times New Roman" w:cs="Times New Roman"/>
          <w:i/>
          <w:iCs/>
          <w:sz w:val="24"/>
          <w:szCs w:val="24"/>
          <w:lang w:val="fr-CA"/>
        </w:rPr>
        <w:t>échange confirmé composite</w:t>
      </w:r>
      <w:r w:rsidRPr="00273AC9">
        <w:rPr>
          <w:rFonts w:ascii="Times New Roman" w:hAnsi="Times New Roman" w:cs="Times New Roman"/>
          <w:sz w:val="24"/>
          <w:szCs w:val="24"/>
          <w:lang w:val="fr-CA"/>
        </w:rPr>
        <w:t xml:space="preserve">) est : </w:t>
      </w:r>
      <w:r w:rsidR="00B831C8">
        <w:rPr>
          <w:rFonts w:ascii="Times New Roman" w:hAnsi="Times New Roman" w:cs="Times New Roman"/>
          <w:sz w:val="24"/>
          <w:szCs w:val="24"/>
          <w:lang w:val="fr-CA"/>
        </w:rPr>
        <w:br/>
      </w:r>
      <w:r w:rsidRPr="00273AC9">
        <w:rPr>
          <w:rFonts w:ascii="Times New Roman" w:hAnsi="Times New Roman" w:cs="Times New Roman"/>
          <w:i/>
          <w:iCs/>
          <w:sz w:val="24"/>
          <w:szCs w:val="24"/>
          <w:lang w:val="fr-CA"/>
        </w:rPr>
        <w:t>[Facteur de risque de la non-conformité (VRF) : moyen] [Horizon : exploitation en temps réel]</w:t>
      </w:r>
    </w:p>
    <w:p w14:paraId="0AE9A14D" w14:textId="0218F03F" w:rsidR="003462B2" w:rsidRPr="00273AC9" w:rsidRDefault="003462B2" w:rsidP="003462B2">
      <w:pPr>
        <w:kinsoku w:val="0"/>
        <w:overflowPunct w:val="0"/>
        <w:spacing w:before="144"/>
        <w:ind w:left="1134" w:hanging="567"/>
        <w:rPr>
          <w:rFonts w:ascii="Times New Roman" w:hAnsi="Times New Roman" w:cs="Times New Roman"/>
          <w:sz w:val="24"/>
          <w:szCs w:val="24"/>
          <w:lang w:val="fr-CA"/>
        </w:rPr>
      </w:pPr>
      <w:r w:rsidRPr="00273AC9">
        <w:rPr>
          <w:rFonts w:ascii="Times New Roman" w:hAnsi="Times New Roman" w:cs="Times New Roman"/>
          <w:b/>
          <w:bCs/>
          <w:sz w:val="24"/>
          <w:szCs w:val="24"/>
          <w:lang w:val="fr-CA"/>
        </w:rPr>
        <w:t>1.1</w:t>
      </w:r>
      <w:r w:rsidRPr="00273AC9">
        <w:rPr>
          <w:rFonts w:ascii="Times New Roman" w:hAnsi="Times New Roman" w:cs="Times New Roman"/>
          <w:sz w:val="24"/>
          <w:szCs w:val="24"/>
          <w:lang w:val="fr-CA"/>
        </w:rPr>
        <w:t>.</w:t>
      </w:r>
      <w:r w:rsidRPr="00273AC9">
        <w:rPr>
          <w:rFonts w:ascii="Times New Roman" w:hAnsi="Times New Roman" w:cs="Times New Roman"/>
          <w:sz w:val="24"/>
          <w:szCs w:val="24"/>
          <w:lang w:val="fr-CA"/>
        </w:rPr>
        <w:tab/>
        <w:t xml:space="preserve">D’une valeur identique à celui du </w:t>
      </w:r>
      <w:r w:rsidRPr="00273AC9">
        <w:rPr>
          <w:rFonts w:ascii="Times New Roman" w:hAnsi="Times New Roman" w:cs="Times New Roman"/>
          <w:i/>
          <w:iCs/>
          <w:sz w:val="24"/>
          <w:szCs w:val="24"/>
          <w:lang w:val="fr-CA"/>
        </w:rPr>
        <w:t>responsable de l’équilibrage adjacent</w:t>
      </w:r>
      <w:r w:rsidRPr="00273AC9">
        <w:rPr>
          <w:rFonts w:ascii="Times New Roman" w:hAnsi="Times New Roman" w:cs="Times New Roman"/>
          <w:sz w:val="24"/>
          <w:szCs w:val="24"/>
          <w:lang w:val="fr-CA"/>
        </w:rPr>
        <w:t>, et</w:t>
      </w:r>
    </w:p>
    <w:p w14:paraId="3FDDB953" w14:textId="35C0B957" w:rsidR="003462B2" w:rsidRPr="00273AC9" w:rsidRDefault="003462B2" w:rsidP="003462B2">
      <w:pPr>
        <w:kinsoku w:val="0"/>
        <w:overflowPunct w:val="0"/>
        <w:spacing w:before="144"/>
        <w:ind w:left="1134" w:hanging="567"/>
        <w:rPr>
          <w:rFonts w:ascii="Times New Roman" w:hAnsi="Times New Roman" w:cs="Times New Roman"/>
          <w:sz w:val="24"/>
          <w:szCs w:val="24"/>
          <w:lang w:val="fr-CA"/>
        </w:rPr>
      </w:pPr>
      <w:r w:rsidRPr="00273AC9">
        <w:rPr>
          <w:rFonts w:ascii="Times New Roman" w:hAnsi="Times New Roman" w:cs="Times New Roman"/>
          <w:b/>
          <w:bCs/>
          <w:sz w:val="24"/>
          <w:szCs w:val="24"/>
          <w:lang w:val="fr-CA"/>
        </w:rPr>
        <w:t>1.2.</w:t>
      </w:r>
      <w:r w:rsidRPr="00273AC9">
        <w:rPr>
          <w:rFonts w:ascii="Times New Roman" w:hAnsi="Times New Roman" w:cs="Times New Roman"/>
          <w:b/>
          <w:bCs/>
          <w:sz w:val="24"/>
          <w:szCs w:val="24"/>
          <w:lang w:val="fr-CA"/>
        </w:rPr>
        <w:tab/>
      </w:r>
      <w:r w:rsidRPr="00273AC9">
        <w:rPr>
          <w:rFonts w:ascii="Times New Roman" w:hAnsi="Times New Roman" w:cs="Times New Roman"/>
          <w:sz w:val="24"/>
          <w:szCs w:val="24"/>
          <w:lang w:val="fr-CA"/>
        </w:rPr>
        <w:t xml:space="preserve">De signe ou de sens opposés à celui du </w:t>
      </w:r>
      <w:r w:rsidRPr="00273AC9">
        <w:rPr>
          <w:rFonts w:ascii="Times New Roman" w:hAnsi="Times New Roman" w:cs="Times New Roman"/>
          <w:i/>
          <w:iCs/>
          <w:sz w:val="24"/>
          <w:szCs w:val="24"/>
          <w:lang w:val="fr-CA"/>
        </w:rPr>
        <w:t>responsable de l’équilibrage adjacent</w:t>
      </w:r>
      <w:r w:rsidRPr="00273AC9">
        <w:rPr>
          <w:rFonts w:ascii="Times New Roman" w:hAnsi="Times New Roman" w:cs="Times New Roman"/>
          <w:sz w:val="24"/>
          <w:szCs w:val="24"/>
          <w:lang w:val="fr-CA"/>
        </w:rPr>
        <w:t>.</w:t>
      </w:r>
    </w:p>
    <w:p w14:paraId="2BBA35F4" w14:textId="77777777" w:rsidR="003462B2" w:rsidRPr="00273AC9" w:rsidRDefault="003462B2" w:rsidP="00F00C86">
      <w:pPr>
        <w:autoSpaceDE/>
        <w:autoSpaceDN/>
        <w:adjustRightInd/>
        <w:jc w:val="both"/>
        <w:outlineLvl w:val="0"/>
        <w:rPr>
          <w:rFonts w:ascii="Times New Roman" w:hAnsi="Times New Roman" w:cs="Times New Roman"/>
          <w:sz w:val="24"/>
          <w:szCs w:val="24"/>
          <w:lang w:val="fr-CA"/>
        </w:rPr>
      </w:pPr>
    </w:p>
    <w:p w14:paraId="55DA27EE" w14:textId="61CAD558" w:rsidR="00D2299F" w:rsidRPr="00922A4F" w:rsidRDefault="003462B2" w:rsidP="00F00C86">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3462B2">
        <w:rPr>
          <w:rFonts w:ascii="Times New Roman" w:hAnsi="Times New Roman" w:cs="Times New Roman"/>
          <w:sz w:val="24"/>
          <w:szCs w:val="24"/>
          <w:lang w:val="fr-CA"/>
        </w:rPr>
        <w:t xml:space="preserve">Le </w:t>
      </w:r>
      <w:r w:rsidRPr="003462B2">
        <w:rPr>
          <w:rFonts w:ascii="Times New Roman" w:hAnsi="Times New Roman" w:cs="Times New Roman"/>
          <w:i/>
          <w:iCs/>
          <w:sz w:val="24"/>
          <w:szCs w:val="24"/>
          <w:lang w:val="fr-CA"/>
        </w:rPr>
        <w:t xml:space="preserve">responsable de l’équilibrage </w:t>
      </w:r>
      <w:r w:rsidRPr="003462B2">
        <w:rPr>
          <w:rFonts w:ascii="Times New Roman" w:hAnsi="Times New Roman" w:cs="Times New Roman"/>
          <w:sz w:val="24"/>
          <w:szCs w:val="24"/>
          <w:lang w:val="fr-CA"/>
        </w:rPr>
        <w:t xml:space="preserve">doit avoir les pièces justificatives (par exemple des journaux, des enregistrements vocaux, des documents électroniques, une entente écrite ou autres pièces justificatives datés) attestant que son </w:t>
      </w:r>
      <w:r w:rsidRPr="003462B2">
        <w:rPr>
          <w:rFonts w:ascii="Times New Roman" w:hAnsi="Times New Roman" w:cs="Times New Roman"/>
          <w:i/>
          <w:iCs/>
          <w:sz w:val="24"/>
          <w:szCs w:val="24"/>
          <w:lang w:val="fr-CA"/>
        </w:rPr>
        <w:t xml:space="preserve">échange confirmé composite </w:t>
      </w:r>
      <w:r w:rsidRPr="003462B2">
        <w:rPr>
          <w:rFonts w:ascii="Times New Roman" w:hAnsi="Times New Roman" w:cs="Times New Roman"/>
          <w:sz w:val="24"/>
          <w:szCs w:val="24"/>
          <w:lang w:val="fr-CA"/>
        </w:rPr>
        <w:t xml:space="preserve">avec chaque </w:t>
      </w:r>
      <w:r w:rsidRPr="003462B2">
        <w:rPr>
          <w:rFonts w:ascii="Times New Roman" w:hAnsi="Times New Roman" w:cs="Times New Roman"/>
          <w:i/>
          <w:iCs/>
          <w:sz w:val="24"/>
          <w:szCs w:val="24"/>
          <w:lang w:val="fr-CA"/>
        </w:rPr>
        <w:t xml:space="preserve">responsable de l’équilibrage adjacent </w:t>
      </w:r>
      <w:r w:rsidRPr="003462B2">
        <w:rPr>
          <w:rFonts w:ascii="Times New Roman" w:hAnsi="Times New Roman" w:cs="Times New Roman"/>
          <w:sz w:val="24"/>
          <w:szCs w:val="24"/>
          <w:lang w:val="fr-CA"/>
        </w:rPr>
        <w:t xml:space="preserve">(à l’exclusion des </w:t>
      </w:r>
      <w:r w:rsidRPr="003462B2">
        <w:rPr>
          <w:rFonts w:ascii="Times New Roman" w:hAnsi="Times New Roman" w:cs="Times New Roman"/>
          <w:i/>
          <w:iCs/>
          <w:sz w:val="24"/>
          <w:szCs w:val="24"/>
          <w:lang w:val="fr-CA"/>
        </w:rPr>
        <w:t xml:space="preserve">programmes dynamiques </w:t>
      </w:r>
      <w:r w:rsidRPr="003462B2">
        <w:rPr>
          <w:rFonts w:ascii="Times New Roman" w:hAnsi="Times New Roman" w:cs="Times New Roman"/>
          <w:sz w:val="24"/>
          <w:szCs w:val="24"/>
          <w:lang w:val="fr-CA"/>
        </w:rPr>
        <w:t xml:space="preserve">et des </w:t>
      </w:r>
      <w:r w:rsidRPr="003462B2">
        <w:rPr>
          <w:rFonts w:ascii="Times New Roman" w:hAnsi="Times New Roman" w:cs="Times New Roman"/>
          <w:i/>
          <w:iCs/>
          <w:sz w:val="24"/>
          <w:szCs w:val="24"/>
          <w:lang w:val="fr-CA"/>
        </w:rPr>
        <w:t>pseudo- interconnexions</w:t>
      </w:r>
      <w:r w:rsidRPr="003462B2">
        <w:rPr>
          <w:rFonts w:ascii="Times New Roman" w:hAnsi="Times New Roman" w:cs="Times New Roman"/>
          <w:sz w:val="24"/>
          <w:szCs w:val="24"/>
          <w:lang w:val="fr-CA"/>
        </w:rPr>
        <w:t xml:space="preserve">, mais à l’inclusion de tout </w:t>
      </w:r>
      <w:r w:rsidRPr="003462B2">
        <w:rPr>
          <w:rFonts w:ascii="Times New Roman" w:hAnsi="Times New Roman" w:cs="Times New Roman"/>
          <w:i/>
          <w:iCs/>
          <w:sz w:val="24"/>
          <w:szCs w:val="24"/>
          <w:lang w:val="fr-CA"/>
        </w:rPr>
        <w:t xml:space="preserve">échange </w:t>
      </w:r>
      <w:r w:rsidRPr="003462B2">
        <w:rPr>
          <w:rFonts w:ascii="Times New Roman" w:hAnsi="Times New Roman" w:cs="Times New Roman"/>
          <w:sz w:val="24"/>
          <w:szCs w:val="24"/>
          <w:lang w:val="fr-CA"/>
        </w:rPr>
        <w:t>visé et non encore incorporé à l’</w:t>
      </w:r>
      <w:r w:rsidRPr="003462B2">
        <w:rPr>
          <w:rFonts w:ascii="Times New Roman" w:hAnsi="Times New Roman" w:cs="Times New Roman"/>
          <w:i/>
          <w:iCs/>
          <w:sz w:val="24"/>
          <w:szCs w:val="24"/>
          <w:lang w:val="fr-CA"/>
        </w:rPr>
        <w:t>change confirmé composite</w:t>
      </w:r>
      <w:r w:rsidRPr="003462B2">
        <w:rPr>
          <w:rFonts w:ascii="Times New Roman" w:hAnsi="Times New Roman" w:cs="Times New Roman"/>
          <w:sz w:val="24"/>
          <w:szCs w:val="24"/>
          <w:lang w:val="fr-CA"/>
        </w:rPr>
        <w:t xml:space="preserve">) avait l’accord de celui-ci, et qu’il était de </w:t>
      </w:r>
      <w:r>
        <w:rPr>
          <w:rFonts w:ascii="Times New Roman" w:hAnsi="Times New Roman" w:cs="Times New Roman"/>
          <w:sz w:val="24"/>
          <w:szCs w:val="24"/>
          <w:lang w:val="fr-CA"/>
        </w:rPr>
        <w:t>valeur identique et de signe op</w:t>
      </w:r>
      <w:r w:rsidRPr="003462B2">
        <w:rPr>
          <w:rFonts w:ascii="Times New Roman" w:hAnsi="Times New Roman" w:cs="Times New Roman"/>
          <w:sz w:val="24"/>
          <w:szCs w:val="24"/>
          <w:lang w:val="fr-CA"/>
        </w:rPr>
        <w:t xml:space="preserve">posé à celui de chaque </w:t>
      </w:r>
      <w:r w:rsidRPr="003462B2">
        <w:rPr>
          <w:rFonts w:ascii="Times New Roman" w:hAnsi="Times New Roman" w:cs="Times New Roman"/>
          <w:i/>
          <w:iCs/>
          <w:sz w:val="24"/>
          <w:szCs w:val="24"/>
          <w:lang w:val="fr-CA"/>
        </w:rPr>
        <w:t>responsable de l’équilibrage adjacent</w:t>
      </w:r>
      <w:r w:rsidRPr="003462B2">
        <w:rPr>
          <w:rFonts w:ascii="Times New Roman" w:hAnsi="Times New Roman" w:cs="Times New Roman"/>
          <w:sz w:val="24"/>
          <w:szCs w:val="24"/>
          <w:lang w:val="fr-CA"/>
        </w:rPr>
        <w:t>. (E1)</w:t>
      </w:r>
    </w:p>
    <w:p w14:paraId="59485FBF" w14:textId="77777777" w:rsidR="00625827" w:rsidRPr="00922A4F" w:rsidRDefault="00625827"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EA0CDE6" w14:textId="057348C1" w:rsidR="00EF6A99" w:rsidRPr="00922A4F" w:rsidRDefault="00971EE1" w:rsidP="00F00C86">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w:t>
      </w:r>
      <w:r w:rsidR="00EF0391" w:rsidRPr="00922A4F">
        <w:rPr>
          <w:rFonts w:ascii="Times New Roman" w:hAnsi="Times New Roman"/>
          <w:lang w:val="fr-CA"/>
        </w:rPr>
        <w:t>requise</w:t>
      </w:r>
      <w:r>
        <w:rPr>
          <w:rFonts w:ascii="Times New Roman" w:hAnsi="Times New Roman"/>
          <w:lang w:val="fr-CA"/>
        </w:rPr>
        <w:t>s</w:t>
      </w:r>
      <w:r w:rsidR="00EF0391" w:rsidRPr="00922A4F">
        <w:rPr>
          <w:rFonts w:ascii="Times New Roman" w:hAnsi="Times New Roman"/>
          <w:lang w:val="fr-CA"/>
        </w:rPr>
        <w:t>:</w:t>
      </w:r>
    </w:p>
    <w:tbl>
      <w:tblPr>
        <w:tblStyle w:val="Grilledutableau"/>
        <w:tblW w:w="10768" w:type="dxa"/>
        <w:shd w:val="clear" w:color="auto" w:fill="DCDCFF"/>
        <w:tblLook w:val="04A0" w:firstRow="1" w:lastRow="0" w:firstColumn="1" w:lastColumn="0" w:noHBand="0" w:noVBand="1"/>
      </w:tblPr>
      <w:tblGrid>
        <w:gridCol w:w="10768"/>
      </w:tblGrid>
      <w:tr w:rsidR="00EF6A99" w:rsidRPr="00D63C98" w14:paraId="1D0B291B" w14:textId="77777777" w:rsidTr="00BB48A6">
        <w:tc>
          <w:tcPr>
            <w:tcW w:w="10768" w:type="dxa"/>
            <w:shd w:val="clear" w:color="auto" w:fill="DCDCFF"/>
          </w:tcPr>
          <w:p w14:paraId="7A07EC8F" w14:textId="2EBD5E23" w:rsidR="00EF6A99" w:rsidRPr="00922A4F" w:rsidRDefault="00EF0391" w:rsidP="00E209F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sidR="00923455">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sidR="00CD1CCF">
              <w:rPr>
                <w:rFonts w:ascii="Times New Roman" w:hAnsi="Times New Roman" w:cs="Times New Roman"/>
                <w:b/>
                <w:bCs/>
                <w:sz w:val="24"/>
                <w:szCs w:val="24"/>
                <w:lang w:val="fr-CA"/>
              </w:rPr>
              <w:t>pièce</w:t>
            </w:r>
            <w:r w:rsidR="00923455">
              <w:rPr>
                <w:rFonts w:ascii="Times New Roman" w:hAnsi="Times New Roman" w:cs="Times New Roman"/>
                <w:b/>
                <w:bCs/>
                <w:sz w:val="24"/>
                <w:szCs w:val="24"/>
                <w:lang w:val="fr-CA"/>
              </w:rPr>
              <w:t>s</w:t>
            </w:r>
            <w:r w:rsidR="00CD1CCF">
              <w:rPr>
                <w:rFonts w:ascii="Times New Roman" w:hAnsi="Times New Roman" w:cs="Times New Roman"/>
                <w:b/>
                <w:bCs/>
                <w:sz w:val="24"/>
                <w:szCs w:val="24"/>
                <w:lang w:val="fr-CA"/>
              </w:rPr>
              <w:t xml:space="preserve"> justificative</w:t>
            </w:r>
            <w:r w:rsidR="00923455">
              <w:rPr>
                <w:rFonts w:ascii="Times New Roman" w:hAnsi="Times New Roman" w:cs="Times New Roman"/>
                <w:b/>
                <w:bCs/>
                <w:sz w:val="24"/>
                <w:szCs w:val="24"/>
                <w:lang w:val="fr-CA"/>
              </w:rPr>
              <w:t>s</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suivante</w:t>
            </w:r>
            <w:r w:rsidR="00923455">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sidR="00CD1CCF">
              <w:rPr>
                <w:rFonts w:ascii="Times New Roman" w:hAnsi="Times New Roman" w:cs="Times New Roman"/>
                <w:b/>
                <w:bCs/>
                <w:sz w:val="24"/>
                <w:szCs w:val="24"/>
                <w:lang w:val="fr-CA"/>
              </w:rPr>
              <w:t>pièce justificative</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afin d</w:t>
            </w:r>
            <w:r w:rsidR="00692E6B">
              <w:rPr>
                <w:rFonts w:ascii="Times New Roman" w:hAnsi="Times New Roman" w:cs="Times New Roman"/>
                <w:b/>
                <w:bCs/>
                <w:sz w:val="24"/>
                <w:szCs w:val="24"/>
                <w:lang w:val="fr-CA"/>
              </w:rPr>
              <w:t>’attester</w:t>
            </w:r>
            <w:r w:rsidR="00E209FC">
              <w:rPr>
                <w:rFonts w:ascii="Times New Roman" w:hAnsi="Times New Roman" w:cs="Times New Roman"/>
                <w:b/>
                <w:bCs/>
                <w:sz w:val="24"/>
                <w:szCs w:val="24"/>
                <w:lang w:val="fr-CA"/>
              </w:rPr>
              <w:t xml:space="preserve"> de</w:t>
            </w:r>
            <w:r w:rsidRPr="00922A4F">
              <w:rPr>
                <w:rFonts w:ascii="Times New Roman" w:hAnsi="Times New Roman" w:cs="Times New Roman"/>
                <w:b/>
                <w:bCs/>
                <w:sz w:val="24"/>
                <w:szCs w:val="24"/>
                <w:lang w:val="fr-CA"/>
              </w:rPr>
              <w:t xml:space="preserve"> la conformité.</w:t>
            </w:r>
          </w:p>
        </w:tc>
      </w:tr>
      <w:tr w:rsidR="00EF6A99" w:rsidRPr="00D63C98" w14:paraId="0FF985E6" w14:textId="77777777" w:rsidTr="00BB48A6">
        <w:tc>
          <w:tcPr>
            <w:tcW w:w="10768" w:type="dxa"/>
            <w:shd w:val="clear" w:color="auto" w:fill="DCDCFF"/>
          </w:tcPr>
          <w:p w14:paraId="5034ADBA" w14:textId="430A6A37" w:rsidR="00EF6A99" w:rsidRPr="00C13E14" w:rsidRDefault="00B90839" w:rsidP="0006446A">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w:t>
            </w:r>
            <w:r w:rsidRPr="003462B2">
              <w:rPr>
                <w:rFonts w:ascii="Times New Roman" w:hAnsi="Times New Roman" w:cs="Times New Roman"/>
                <w:sz w:val="24"/>
                <w:szCs w:val="24"/>
                <w:lang w:val="fr-CA"/>
              </w:rPr>
              <w:t>es journaux, des enregistrements vocaux, des documents électroniques, ou autres pièces justificatives datés</w:t>
            </w:r>
            <w:r>
              <w:rPr>
                <w:rFonts w:ascii="Times New Roman" w:hAnsi="Times New Roman" w:cs="Times New Roman"/>
                <w:sz w:val="24"/>
                <w:szCs w:val="24"/>
                <w:lang w:val="fr-CA"/>
              </w:rPr>
              <w:t xml:space="preserve"> attestant que l’</w:t>
            </w:r>
            <w:r w:rsidRPr="00273AC9">
              <w:rPr>
                <w:rFonts w:ascii="Times New Roman" w:hAnsi="Times New Roman" w:cs="Times New Roman"/>
                <w:i/>
                <w:iCs/>
                <w:sz w:val="24"/>
                <w:szCs w:val="24"/>
                <w:lang w:val="fr-CA"/>
              </w:rPr>
              <w:t xml:space="preserve">échange confirmé composite </w:t>
            </w:r>
            <w:r>
              <w:rPr>
                <w:rFonts w:ascii="Times New Roman" w:hAnsi="Times New Roman" w:cs="Times New Roman"/>
                <w:sz w:val="24"/>
                <w:szCs w:val="24"/>
                <w:lang w:val="fr-CA"/>
              </w:rPr>
              <w:t>de l’entité</w:t>
            </w:r>
            <w:r w:rsidR="00691DF9">
              <w:rPr>
                <w:rFonts w:ascii="Times New Roman" w:hAnsi="Times New Roman" w:cs="Times New Roman"/>
                <w:sz w:val="24"/>
                <w:szCs w:val="24"/>
                <w:lang w:val="fr-CA"/>
              </w:rPr>
              <w:t xml:space="preserve"> a</w:t>
            </w:r>
            <w:r w:rsidR="0006446A">
              <w:rPr>
                <w:rFonts w:ascii="Times New Roman" w:hAnsi="Times New Roman" w:cs="Times New Roman"/>
                <w:sz w:val="24"/>
                <w:szCs w:val="24"/>
                <w:lang w:val="fr-CA"/>
              </w:rPr>
              <w:t>vait</w:t>
            </w:r>
            <w:r w:rsidR="00691DF9">
              <w:rPr>
                <w:rFonts w:ascii="Times New Roman" w:hAnsi="Times New Roman" w:cs="Times New Roman"/>
                <w:sz w:val="24"/>
                <w:szCs w:val="24"/>
                <w:lang w:val="fr-CA"/>
              </w:rPr>
              <w:t xml:space="preserve"> l’accord de chaque </w:t>
            </w:r>
            <w:r w:rsidR="00691DF9" w:rsidRPr="00273AC9">
              <w:rPr>
                <w:rFonts w:ascii="Times New Roman" w:hAnsi="Times New Roman" w:cs="Times New Roman"/>
                <w:i/>
                <w:iCs/>
                <w:sz w:val="24"/>
                <w:szCs w:val="24"/>
                <w:lang w:val="fr-CA"/>
              </w:rPr>
              <w:t>responsable de l’équilibrage adjacent</w:t>
            </w:r>
            <w:r w:rsidR="00092738">
              <w:rPr>
                <w:rFonts w:ascii="Times New Roman" w:hAnsi="Times New Roman" w:cs="Times New Roman"/>
                <w:iCs/>
                <w:sz w:val="24"/>
                <w:szCs w:val="24"/>
                <w:lang w:val="fr-CA"/>
              </w:rPr>
              <w:t xml:space="preserve">, </w:t>
            </w:r>
            <w:r w:rsidR="0006446A">
              <w:rPr>
                <w:rFonts w:ascii="Times New Roman" w:hAnsi="Times New Roman" w:cs="Times New Roman"/>
                <w:iCs/>
                <w:sz w:val="24"/>
                <w:szCs w:val="24"/>
                <w:lang w:val="fr-CA"/>
              </w:rPr>
              <w:t xml:space="preserve">réglé conformément à l’exigence E1, </w:t>
            </w:r>
            <w:r w:rsidR="00092738">
              <w:rPr>
                <w:rFonts w:ascii="Times New Roman" w:hAnsi="Times New Roman" w:cs="Times New Roman"/>
                <w:iCs/>
                <w:sz w:val="24"/>
                <w:szCs w:val="24"/>
                <w:lang w:val="fr-CA"/>
              </w:rPr>
              <w:t xml:space="preserve">était </w:t>
            </w:r>
            <w:r w:rsidR="00092738" w:rsidRPr="003462B2">
              <w:rPr>
                <w:rFonts w:ascii="Times New Roman" w:hAnsi="Times New Roman" w:cs="Times New Roman"/>
                <w:sz w:val="24"/>
                <w:szCs w:val="24"/>
                <w:lang w:val="fr-CA"/>
              </w:rPr>
              <w:t xml:space="preserve">de </w:t>
            </w:r>
            <w:r w:rsidR="00092738">
              <w:rPr>
                <w:rFonts w:ascii="Times New Roman" w:hAnsi="Times New Roman" w:cs="Times New Roman"/>
                <w:sz w:val="24"/>
                <w:szCs w:val="24"/>
                <w:lang w:val="fr-CA"/>
              </w:rPr>
              <w:t>valeur identique et de signe op</w:t>
            </w:r>
            <w:r w:rsidR="00092738" w:rsidRPr="003462B2">
              <w:rPr>
                <w:rFonts w:ascii="Times New Roman" w:hAnsi="Times New Roman" w:cs="Times New Roman"/>
                <w:sz w:val="24"/>
                <w:szCs w:val="24"/>
                <w:lang w:val="fr-CA"/>
              </w:rPr>
              <w:t>posé</w:t>
            </w:r>
            <w:r w:rsidR="00092738">
              <w:rPr>
                <w:rFonts w:ascii="Times New Roman" w:hAnsi="Times New Roman" w:cs="Times New Roman"/>
                <w:sz w:val="24"/>
                <w:szCs w:val="24"/>
                <w:lang w:val="fr-CA"/>
              </w:rPr>
              <w:t>.</w:t>
            </w:r>
          </w:p>
        </w:tc>
      </w:tr>
    </w:tbl>
    <w:p w14:paraId="72928D69" w14:textId="77777777" w:rsidR="00EF6A99" w:rsidRPr="00922A4F" w:rsidRDefault="00EF6A99" w:rsidP="00F00C86">
      <w:pPr>
        <w:widowControl w:val="0"/>
        <w:spacing w:line="266" w:lineRule="exact"/>
        <w:jc w:val="both"/>
        <w:rPr>
          <w:rFonts w:ascii="Times New Roman" w:hAnsi="Times New Roman" w:cs="Times New Roman"/>
          <w:b/>
          <w:bCs/>
          <w:color w:val="000000"/>
          <w:sz w:val="24"/>
          <w:szCs w:val="24"/>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D63C98"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D63C98"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D63C98"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D63C98"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D63C98"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D63C98"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D63C98"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D63C98"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4FD3CD65" w:rsidR="0006446A" w:rsidRDefault="0006446A"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0B7B6E0B" w14:textId="77777777" w:rsidR="008D3210" w:rsidRPr="00922A4F" w:rsidRDefault="008D3210" w:rsidP="00F00C86">
      <w:pPr>
        <w:widowControl w:val="0"/>
        <w:spacing w:line="266" w:lineRule="exact"/>
        <w:jc w:val="both"/>
        <w:outlineLvl w:val="1"/>
        <w:rPr>
          <w:rFonts w:ascii="Times New Roman" w:hAnsi="Times New Roman" w:cs="Times New Roman"/>
          <w:b/>
          <w:bCs/>
          <w:sz w:val="24"/>
          <w:szCs w:val="24"/>
          <w:lang w:val="fr-CA"/>
        </w:rPr>
      </w:pPr>
    </w:p>
    <w:p w14:paraId="7C387AD0" w14:textId="08689B18"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CB7C1F">
        <w:rPr>
          <w:rFonts w:ascii="Times New Roman" w:hAnsi="Times New Roman" w:cs="Times New Roman"/>
          <w:b/>
          <w:bCs/>
          <w:sz w:val="24"/>
          <w:szCs w:val="24"/>
          <w:lang w:val="fr-CA"/>
        </w:rPr>
        <w:t>INT</w:t>
      </w:r>
      <w:r w:rsidR="00602787">
        <w:rPr>
          <w:rFonts w:ascii="Times New Roman" w:hAnsi="Times New Roman" w:cs="Times New Roman"/>
          <w:b/>
          <w:bCs/>
          <w:sz w:val="24"/>
          <w:szCs w:val="24"/>
          <w:lang w:val="fr-CA"/>
        </w:rPr>
        <w:t>-</w:t>
      </w:r>
      <w:r w:rsidR="00CB7C1F">
        <w:rPr>
          <w:rFonts w:ascii="Times New Roman" w:hAnsi="Times New Roman" w:cs="Times New Roman"/>
          <w:b/>
          <w:bCs/>
          <w:sz w:val="24"/>
          <w:szCs w:val="24"/>
          <w:lang w:val="fr-CA"/>
        </w:rPr>
        <w:t>009</w:t>
      </w:r>
      <w:r w:rsidR="00602787">
        <w:rPr>
          <w:rFonts w:ascii="Times New Roman" w:hAnsi="Times New Roman" w:cs="Times New Roman"/>
          <w:b/>
          <w:bCs/>
          <w:sz w:val="24"/>
          <w:szCs w:val="24"/>
          <w:lang w:val="fr-CA"/>
        </w:rPr>
        <w:t>-</w:t>
      </w:r>
      <w:r w:rsidR="00CB7C1F">
        <w:rPr>
          <w:rFonts w:ascii="Times New Roman" w:hAnsi="Times New Roman" w:cs="Times New Roman"/>
          <w:b/>
          <w:bCs/>
          <w:sz w:val="24"/>
          <w:szCs w:val="24"/>
          <w:lang w:val="fr-CA"/>
        </w:rPr>
        <w:t>3</w:t>
      </w:r>
      <w:r w:rsidR="00246E02" w:rsidRPr="00922A4F">
        <w:rPr>
          <w:rFonts w:ascii="Times New Roman" w:hAnsi="Times New Roman" w:cs="Times New Roman"/>
          <w:b/>
          <w:bCs/>
          <w:sz w:val="24"/>
          <w:szCs w:val="24"/>
          <w:lang w:val="fr-CA"/>
        </w:rPr>
        <w:t>, E1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5"/>
        <w:gridCol w:w="10415"/>
      </w:tblGrid>
      <w:tr w:rsidR="006444BE" w:rsidRPr="00D63C98" w14:paraId="51FF3DC1" w14:textId="77777777" w:rsidTr="00696BE3">
        <w:tc>
          <w:tcPr>
            <w:tcW w:w="375" w:type="dxa"/>
          </w:tcPr>
          <w:p w14:paraId="47160FFD" w14:textId="77777777" w:rsidR="006444BE" w:rsidRPr="00922A4F" w:rsidRDefault="006444BE" w:rsidP="00F00C86">
            <w:pPr>
              <w:widowControl w:val="0"/>
              <w:tabs>
                <w:tab w:val="left" w:pos="0"/>
                <w:tab w:val="left" w:pos="900"/>
                <w:tab w:val="left" w:pos="6360"/>
              </w:tabs>
              <w:jc w:val="both"/>
              <w:rPr>
                <w:rFonts w:ascii="Times New Roman" w:hAnsi="Times New Roman" w:cs="Times New Roman"/>
                <w:bCs/>
                <w:lang w:val="fr-CA"/>
              </w:rPr>
            </w:pPr>
          </w:p>
        </w:tc>
        <w:tc>
          <w:tcPr>
            <w:tcW w:w="10415" w:type="dxa"/>
            <w:tcBorders>
              <w:bottom w:val="single" w:sz="4" w:space="0" w:color="auto"/>
            </w:tcBorders>
            <w:shd w:val="clear" w:color="auto" w:fill="DCDCFF"/>
          </w:tcPr>
          <w:p w14:paraId="34704476" w14:textId="2BB00C83" w:rsidR="006444BE" w:rsidRPr="00696BE3" w:rsidRDefault="00696BE3" w:rsidP="00AA08C3">
            <w:pPr>
              <w:widowControl w:val="0"/>
              <w:tabs>
                <w:tab w:val="left" w:pos="0"/>
                <w:tab w:val="left" w:pos="900"/>
                <w:tab w:val="left" w:pos="6360"/>
              </w:tabs>
              <w:jc w:val="both"/>
              <w:rPr>
                <w:rFonts w:ascii="Times New Roman" w:hAnsi="Times New Roman" w:cs="Times New Roman"/>
                <w:color w:val="auto"/>
                <w:lang w:val="fr-CA"/>
              </w:rPr>
            </w:pPr>
            <w:r w:rsidRPr="00696BE3">
              <w:rPr>
                <w:rFonts w:ascii="Times New Roman" w:hAnsi="Times New Roman" w:cs="Times New Roman"/>
                <w:color w:val="auto"/>
                <w:lang w:val="fr-CA"/>
              </w:rPr>
              <w:t>(E1)</w:t>
            </w:r>
            <w:r w:rsidR="00A17AB1">
              <w:rPr>
                <w:rFonts w:ascii="Times New Roman" w:hAnsi="Times New Roman" w:cs="Times New Roman"/>
                <w:color w:val="auto"/>
                <w:lang w:val="fr-CA"/>
              </w:rPr>
              <w:t xml:space="preserve"> Sélectionner un échantillon des </w:t>
            </w:r>
            <w:r w:rsidR="00A17AB1" w:rsidRPr="00273AC9">
              <w:rPr>
                <w:rFonts w:ascii="Times New Roman" w:hAnsi="Times New Roman" w:cs="Times New Roman"/>
                <w:i/>
                <w:iCs/>
                <w:lang w:val="fr-CA"/>
              </w:rPr>
              <w:t>échange</w:t>
            </w:r>
            <w:r w:rsidR="00A17AB1">
              <w:rPr>
                <w:rFonts w:ascii="Times New Roman" w:hAnsi="Times New Roman" w:cs="Times New Roman"/>
                <w:i/>
                <w:iCs/>
                <w:lang w:val="fr-CA"/>
              </w:rPr>
              <w:t>s</w:t>
            </w:r>
            <w:r w:rsidR="00A17AB1" w:rsidRPr="00273AC9">
              <w:rPr>
                <w:rFonts w:ascii="Times New Roman" w:hAnsi="Times New Roman" w:cs="Times New Roman"/>
                <w:i/>
                <w:iCs/>
                <w:lang w:val="fr-CA"/>
              </w:rPr>
              <w:t xml:space="preserve"> confirmé</w:t>
            </w:r>
            <w:r w:rsidR="00A17AB1">
              <w:rPr>
                <w:rFonts w:ascii="Times New Roman" w:hAnsi="Times New Roman" w:cs="Times New Roman"/>
                <w:i/>
                <w:iCs/>
                <w:lang w:val="fr-CA"/>
              </w:rPr>
              <w:t>s</w:t>
            </w:r>
            <w:r w:rsidR="00A17AB1" w:rsidRPr="00273AC9">
              <w:rPr>
                <w:rFonts w:ascii="Times New Roman" w:hAnsi="Times New Roman" w:cs="Times New Roman"/>
                <w:i/>
                <w:iCs/>
                <w:lang w:val="fr-CA"/>
              </w:rPr>
              <w:t xml:space="preserve"> composite</w:t>
            </w:r>
            <w:r w:rsidR="00A17AB1">
              <w:rPr>
                <w:rFonts w:ascii="Times New Roman" w:hAnsi="Times New Roman" w:cs="Times New Roman"/>
                <w:i/>
                <w:iCs/>
                <w:lang w:val="fr-CA"/>
              </w:rPr>
              <w:t>s</w:t>
            </w:r>
            <w:r w:rsidR="00AA08C3">
              <w:rPr>
                <w:rFonts w:ascii="Times New Roman" w:hAnsi="Times New Roman" w:cs="Times New Roman"/>
                <w:i/>
                <w:iCs/>
                <w:lang w:val="fr-CA"/>
              </w:rPr>
              <w:t xml:space="preserve"> </w:t>
            </w:r>
            <w:r w:rsidR="00AA08C3" w:rsidRPr="00AA08C3">
              <w:rPr>
                <w:rFonts w:ascii="Times New Roman" w:hAnsi="Times New Roman" w:cs="Times New Roman"/>
                <w:iCs/>
                <w:lang w:val="fr-CA"/>
              </w:rPr>
              <w:t xml:space="preserve">avec </w:t>
            </w:r>
            <w:r w:rsidR="00AA08C3">
              <w:rPr>
                <w:rFonts w:ascii="Times New Roman" w:hAnsi="Times New Roman" w:cs="Times New Roman"/>
                <w:iCs/>
                <w:lang w:val="fr-CA"/>
              </w:rPr>
              <w:t xml:space="preserve">les </w:t>
            </w:r>
            <w:r w:rsidR="00AA08C3" w:rsidRPr="00273AC9">
              <w:rPr>
                <w:rFonts w:ascii="Times New Roman" w:hAnsi="Times New Roman" w:cs="Times New Roman"/>
                <w:i/>
                <w:iCs/>
                <w:lang w:val="fr-CA"/>
              </w:rPr>
              <w:t>responsables de l’équilibrage adjacents</w:t>
            </w:r>
            <w:r w:rsidR="00AA08C3" w:rsidRPr="00273AC9">
              <w:rPr>
                <w:rFonts w:ascii="Times New Roman" w:hAnsi="Times New Roman" w:cs="Times New Roman"/>
                <w:lang w:val="fr-CA"/>
              </w:rPr>
              <w:t xml:space="preserve"> </w:t>
            </w:r>
            <w:r w:rsidR="00AA08C3">
              <w:rPr>
                <w:rFonts w:ascii="Times New Roman" w:hAnsi="Times New Roman" w:cs="Times New Roman"/>
                <w:lang w:val="fr-CA"/>
              </w:rPr>
              <w:t xml:space="preserve">et examiner les pièces justificatives pour vérifier que l’entité et le </w:t>
            </w:r>
            <w:r w:rsidR="00AA08C3" w:rsidRPr="00273AC9">
              <w:rPr>
                <w:rFonts w:ascii="Times New Roman" w:hAnsi="Times New Roman" w:cs="Times New Roman"/>
                <w:i/>
                <w:iCs/>
                <w:lang w:val="fr-CA"/>
              </w:rPr>
              <w:t>responsable de l’équilibrage adjacent</w:t>
            </w:r>
            <w:r w:rsidR="00AA08C3">
              <w:rPr>
                <w:rFonts w:ascii="Times New Roman" w:hAnsi="Times New Roman" w:cs="Times New Roman"/>
                <w:i/>
                <w:iCs/>
                <w:lang w:val="fr-CA"/>
              </w:rPr>
              <w:t xml:space="preserve"> </w:t>
            </w:r>
            <w:r w:rsidR="00AA08C3" w:rsidRPr="00AA08C3">
              <w:rPr>
                <w:rFonts w:ascii="Times New Roman" w:hAnsi="Times New Roman" w:cs="Times New Roman"/>
                <w:iCs/>
                <w:lang w:val="fr-CA"/>
              </w:rPr>
              <w:t>étaient d’accord que l’échange soit :</w:t>
            </w:r>
          </w:p>
        </w:tc>
      </w:tr>
      <w:tr w:rsidR="00696BE3" w:rsidRPr="00D63C98" w14:paraId="032FC179" w14:textId="77777777" w:rsidTr="00696BE3">
        <w:tc>
          <w:tcPr>
            <w:tcW w:w="375" w:type="dxa"/>
          </w:tcPr>
          <w:p w14:paraId="4E32446C" w14:textId="77777777" w:rsidR="00696BE3" w:rsidRPr="00922A4F" w:rsidRDefault="00696BE3" w:rsidP="00F00C86">
            <w:pPr>
              <w:widowControl w:val="0"/>
              <w:tabs>
                <w:tab w:val="left" w:pos="0"/>
                <w:tab w:val="left" w:pos="900"/>
                <w:tab w:val="left" w:pos="6360"/>
              </w:tabs>
              <w:jc w:val="both"/>
              <w:rPr>
                <w:rFonts w:ascii="Times New Roman" w:hAnsi="Times New Roman" w:cs="Times New Roman"/>
                <w:bCs/>
                <w:lang w:val="fr-CA"/>
              </w:rPr>
            </w:pPr>
          </w:p>
        </w:tc>
        <w:tc>
          <w:tcPr>
            <w:tcW w:w="10415" w:type="dxa"/>
            <w:tcBorders>
              <w:bottom w:val="single" w:sz="4" w:space="0" w:color="auto"/>
            </w:tcBorders>
            <w:shd w:val="clear" w:color="auto" w:fill="DCDCFF"/>
          </w:tcPr>
          <w:p w14:paraId="7977C78F" w14:textId="5EA2AFA7" w:rsidR="00696BE3" w:rsidRPr="00696BE3" w:rsidRDefault="00696BE3" w:rsidP="00F00C86">
            <w:pPr>
              <w:widowControl w:val="0"/>
              <w:tabs>
                <w:tab w:val="left" w:pos="0"/>
                <w:tab w:val="left" w:pos="900"/>
                <w:tab w:val="left" w:pos="6360"/>
              </w:tabs>
              <w:jc w:val="both"/>
              <w:rPr>
                <w:rFonts w:ascii="Times New Roman" w:hAnsi="Times New Roman" w:cs="Times New Roman"/>
                <w:lang w:val="fr-CA"/>
              </w:rPr>
            </w:pPr>
            <w:r w:rsidRPr="00696BE3">
              <w:rPr>
                <w:rFonts w:ascii="Times New Roman" w:hAnsi="Times New Roman" w:cs="Times New Roman"/>
                <w:lang w:val="fr-CA"/>
              </w:rPr>
              <w:t>(Alinéa 1.1)</w:t>
            </w:r>
            <w:r w:rsidR="00AA08C3">
              <w:rPr>
                <w:rFonts w:ascii="Times New Roman" w:hAnsi="Times New Roman" w:cs="Times New Roman"/>
                <w:lang w:val="fr-CA"/>
              </w:rPr>
              <w:t xml:space="preserve"> </w:t>
            </w:r>
            <w:r w:rsidR="00AA08C3" w:rsidRPr="00273AC9">
              <w:rPr>
                <w:rFonts w:ascii="Times New Roman" w:hAnsi="Times New Roman" w:cs="Times New Roman"/>
                <w:lang w:val="fr-CA"/>
              </w:rPr>
              <w:t xml:space="preserve">D’une valeur identique à celui du </w:t>
            </w:r>
            <w:r w:rsidR="00AA08C3" w:rsidRPr="00273AC9">
              <w:rPr>
                <w:rFonts w:ascii="Times New Roman" w:hAnsi="Times New Roman" w:cs="Times New Roman"/>
                <w:i/>
                <w:iCs/>
                <w:lang w:val="fr-CA"/>
              </w:rPr>
              <w:t>responsable de l’équilibrage adjacent</w:t>
            </w:r>
            <w:r w:rsidR="00AA08C3" w:rsidRPr="00AA08C3">
              <w:rPr>
                <w:rFonts w:ascii="Times New Roman" w:hAnsi="Times New Roman" w:cs="Times New Roman"/>
                <w:iCs/>
                <w:lang w:val="fr-CA"/>
              </w:rPr>
              <w:t>.</w:t>
            </w:r>
          </w:p>
        </w:tc>
      </w:tr>
      <w:tr w:rsidR="00696BE3" w:rsidRPr="00D63C98" w14:paraId="3C2F086F" w14:textId="77777777" w:rsidTr="00696BE3">
        <w:tc>
          <w:tcPr>
            <w:tcW w:w="375" w:type="dxa"/>
          </w:tcPr>
          <w:p w14:paraId="3F3FA9FC" w14:textId="77777777" w:rsidR="00696BE3" w:rsidRPr="00922A4F" w:rsidRDefault="00696BE3" w:rsidP="00696BE3">
            <w:pPr>
              <w:widowControl w:val="0"/>
              <w:tabs>
                <w:tab w:val="left" w:pos="0"/>
                <w:tab w:val="left" w:pos="900"/>
                <w:tab w:val="left" w:pos="6360"/>
              </w:tabs>
              <w:jc w:val="both"/>
              <w:rPr>
                <w:rFonts w:ascii="Times New Roman" w:hAnsi="Times New Roman" w:cs="Times New Roman"/>
                <w:bCs/>
                <w:lang w:val="fr-CA"/>
              </w:rPr>
            </w:pPr>
          </w:p>
        </w:tc>
        <w:tc>
          <w:tcPr>
            <w:tcW w:w="10415" w:type="dxa"/>
            <w:tcBorders>
              <w:bottom w:val="single" w:sz="4" w:space="0" w:color="auto"/>
            </w:tcBorders>
            <w:shd w:val="clear" w:color="auto" w:fill="DCDCFF"/>
          </w:tcPr>
          <w:p w14:paraId="0868EBE9" w14:textId="21116A1E" w:rsidR="00696BE3" w:rsidRPr="003366EB" w:rsidRDefault="00696BE3" w:rsidP="00B831C8">
            <w:pPr>
              <w:widowControl w:val="0"/>
              <w:tabs>
                <w:tab w:val="left" w:pos="0"/>
                <w:tab w:val="left" w:pos="900"/>
                <w:tab w:val="left" w:pos="6360"/>
              </w:tabs>
              <w:jc w:val="both"/>
              <w:rPr>
                <w:rFonts w:ascii="Times New Roman" w:hAnsi="Times New Roman" w:cs="Times New Roman"/>
                <w:highlight w:val="cyan"/>
                <w:lang w:val="fr-CA"/>
              </w:rPr>
            </w:pPr>
            <w:r w:rsidRPr="00696BE3">
              <w:rPr>
                <w:rFonts w:ascii="Times New Roman" w:hAnsi="Times New Roman" w:cs="Times New Roman"/>
                <w:lang w:val="fr-CA"/>
              </w:rPr>
              <w:t>(A</w:t>
            </w:r>
            <w:r>
              <w:rPr>
                <w:rFonts w:ascii="Times New Roman" w:hAnsi="Times New Roman" w:cs="Times New Roman"/>
                <w:lang w:val="fr-CA"/>
              </w:rPr>
              <w:t>linéa 1.2</w:t>
            </w:r>
            <w:r w:rsidRPr="00696BE3">
              <w:rPr>
                <w:rFonts w:ascii="Times New Roman" w:hAnsi="Times New Roman" w:cs="Times New Roman"/>
                <w:lang w:val="fr-CA"/>
              </w:rPr>
              <w:t>)</w:t>
            </w:r>
            <w:r w:rsidR="00AA08C3">
              <w:rPr>
                <w:rFonts w:ascii="Times New Roman" w:hAnsi="Times New Roman" w:cs="Times New Roman"/>
                <w:lang w:val="fr-CA"/>
              </w:rPr>
              <w:t xml:space="preserve"> </w:t>
            </w:r>
            <w:r w:rsidR="00AA08C3" w:rsidRPr="00273AC9">
              <w:rPr>
                <w:rFonts w:ascii="Times New Roman" w:hAnsi="Times New Roman" w:cs="Times New Roman"/>
                <w:lang w:val="fr-CA"/>
              </w:rPr>
              <w:t xml:space="preserve">De signe ou de sens opposés à celui du </w:t>
            </w:r>
            <w:r w:rsidR="00AA08C3" w:rsidRPr="00273AC9">
              <w:rPr>
                <w:rFonts w:ascii="Times New Roman" w:hAnsi="Times New Roman" w:cs="Times New Roman"/>
                <w:i/>
                <w:iCs/>
                <w:lang w:val="fr-CA"/>
              </w:rPr>
              <w:t>responsable de l’équilibrage adjacent</w:t>
            </w:r>
            <w:r w:rsidR="00AA08C3" w:rsidRPr="00AA08C3">
              <w:rPr>
                <w:rFonts w:ascii="Times New Roman" w:hAnsi="Times New Roman" w:cs="Times New Roman"/>
                <w:iCs/>
                <w:lang w:val="fr-CA"/>
              </w:rPr>
              <w:t>.</w:t>
            </w:r>
          </w:p>
        </w:tc>
      </w:tr>
      <w:tr w:rsidR="00696BE3" w:rsidRPr="00922A4F" w14:paraId="0AF235FA" w14:textId="77777777" w:rsidTr="00696BE3">
        <w:tc>
          <w:tcPr>
            <w:tcW w:w="10790" w:type="dxa"/>
            <w:gridSpan w:val="2"/>
            <w:tcBorders>
              <w:bottom w:val="single" w:sz="4" w:space="0" w:color="auto"/>
            </w:tcBorders>
            <w:shd w:val="clear" w:color="auto" w:fill="DCDCFF"/>
          </w:tcPr>
          <w:p w14:paraId="02F1A276" w14:textId="032C8995" w:rsidR="00696BE3" w:rsidRPr="003366EB" w:rsidRDefault="00696BE3" w:rsidP="00696BE3">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39D5D5F8"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B7E59B1" w14:textId="582D27A5" w:rsidR="003C1533" w:rsidRDefault="003C1533"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756C141" w14:textId="77777777" w:rsidR="003C1533" w:rsidRPr="00922A4F" w:rsidRDefault="003C1533"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77777777"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preuve 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6761F298" w14:textId="22658427" w:rsidR="007920F0" w:rsidRPr="00922A4F" w:rsidRDefault="003C1533" w:rsidP="00F00C86">
      <w:pPr>
        <w:pStyle w:val="Paragraphedeliste"/>
        <w:numPr>
          <w:ilvl w:val="0"/>
          <w:numId w:val="27"/>
        </w:numPr>
        <w:autoSpaceDE/>
        <w:autoSpaceDN/>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Abrogée.</w:t>
      </w:r>
    </w:p>
    <w:p w14:paraId="33A4B0BF" w14:textId="77777777" w:rsidR="00B058D7" w:rsidRPr="00922A4F" w:rsidRDefault="00B058D7" w:rsidP="00F00C86">
      <w:pPr>
        <w:jc w:val="both"/>
        <w:rPr>
          <w:rFonts w:ascii="Times New Roman" w:hAnsi="Times New Roman" w:cs="Times New Roman"/>
          <w:color w:val="000000"/>
          <w:sz w:val="24"/>
          <w:szCs w:val="24"/>
          <w:lang w:val="fr-CA"/>
        </w:rPr>
      </w:pPr>
    </w:p>
    <w:p w14:paraId="501D6F12" w14:textId="6BE73D5F" w:rsidR="005355A4" w:rsidRPr="00922A4F" w:rsidRDefault="003C1533" w:rsidP="00F00C86">
      <w:pPr>
        <w:pStyle w:val="Paragraphedeliste"/>
        <w:numPr>
          <w:ilvl w:val="0"/>
          <w:numId w:val="26"/>
        </w:numPr>
        <w:autoSpaceDE/>
        <w:autoSpaceDN/>
        <w:adjustRightInd/>
        <w:jc w:val="both"/>
        <w:outlineLvl w:val="0"/>
        <w:rPr>
          <w:rFonts w:ascii="Times New Roman" w:hAnsi="Times New Roman" w:cs="Times New Roman"/>
          <w:sz w:val="24"/>
          <w:szCs w:val="22"/>
          <w:lang w:val="fr-CA"/>
        </w:rPr>
      </w:pPr>
      <w:r>
        <w:rPr>
          <w:rFonts w:ascii="Times New Roman" w:hAnsi="Times New Roman" w:cs="Times New Roman"/>
          <w:sz w:val="24"/>
          <w:szCs w:val="24"/>
          <w:lang w:val="fr-CA"/>
        </w:rPr>
        <w:t>Abrogée.</w:t>
      </w:r>
    </w:p>
    <w:p w14:paraId="4F9CD053" w14:textId="6874DD87" w:rsidR="003C1533" w:rsidRDefault="003C1533">
      <w:pPr>
        <w:autoSpaceDE/>
        <w:autoSpaceDN/>
        <w:adjustRightInd/>
        <w:rPr>
          <w:rFonts w:ascii="Times New Roman" w:hAnsi="Times New Roman" w:cs="Times New Roman"/>
          <w:sz w:val="24"/>
          <w:szCs w:val="22"/>
          <w:lang w:val="fr-CA"/>
        </w:rPr>
      </w:pPr>
    </w:p>
    <w:p w14:paraId="6663758F" w14:textId="77777777" w:rsidR="003C1533" w:rsidRPr="003C1533" w:rsidRDefault="003C1533">
      <w:pPr>
        <w:autoSpaceDE/>
        <w:autoSpaceDN/>
        <w:adjustRightInd/>
        <w:rPr>
          <w:rFonts w:ascii="Times New Roman" w:hAnsi="Times New Roman" w:cs="Times New Roman"/>
          <w:sz w:val="24"/>
          <w:szCs w:val="22"/>
          <w:lang w:val="fr-CA"/>
        </w:rPr>
      </w:pPr>
    </w:p>
    <w:p w14:paraId="151ED2B5" w14:textId="6ABC29CF"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preuve à l’appui</w:t>
      </w:r>
    </w:p>
    <w:p w14:paraId="5A8624DF" w14:textId="77777777" w:rsidR="00FD51EC" w:rsidRPr="00922A4F" w:rsidRDefault="00FD51EC" w:rsidP="00F00C86">
      <w:pPr>
        <w:autoSpaceDE/>
        <w:autoSpaceDN/>
        <w:adjustRightInd/>
        <w:jc w:val="both"/>
        <w:outlineLvl w:val="0"/>
        <w:rPr>
          <w:rFonts w:ascii="Times New Roman" w:hAnsi="Times New Roman" w:cs="Times New Roman"/>
          <w:b/>
          <w:sz w:val="24"/>
          <w:szCs w:val="22"/>
          <w:u w:val="single"/>
          <w:lang w:val="fr-CA"/>
        </w:rPr>
      </w:pPr>
    </w:p>
    <w:p w14:paraId="674164EA" w14:textId="1A77BBF4" w:rsidR="00FD51EC" w:rsidRPr="003C1533" w:rsidRDefault="003C1533" w:rsidP="00F00C86">
      <w:pPr>
        <w:pStyle w:val="Paragraphedeliste"/>
        <w:numPr>
          <w:ilvl w:val="0"/>
          <w:numId w:val="28"/>
        </w:numPr>
        <w:autoSpaceDE/>
        <w:autoSpaceDN/>
        <w:adjustRightInd/>
        <w:jc w:val="both"/>
        <w:outlineLvl w:val="0"/>
        <w:rPr>
          <w:rFonts w:ascii="Times New Roman" w:hAnsi="Times New Roman" w:cs="Times New Roman"/>
          <w:sz w:val="24"/>
          <w:szCs w:val="22"/>
          <w:lang w:val="fr-CA"/>
        </w:rPr>
      </w:pPr>
      <w:r w:rsidRPr="003C1533">
        <w:rPr>
          <w:rFonts w:ascii="Times New Roman" w:hAnsi="Times New Roman" w:cs="Times New Roman"/>
          <w:iCs/>
          <w:sz w:val="24"/>
          <w:szCs w:val="24"/>
          <w:lang w:val="fr-CA"/>
        </w:rPr>
        <w:t xml:space="preserve">Chaque </w:t>
      </w:r>
      <w:r w:rsidRPr="003C1533">
        <w:rPr>
          <w:rFonts w:ascii="Times New Roman" w:hAnsi="Times New Roman" w:cs="Times New Roman"/>
          <w:i/>
          <w:sz w:val="24"/>
          <w:szCs w:val="24"/>
          <w:lang w:val="fr-CA"/>
        </w:rPr>
        <w:t>responsable de l’équilibrage</w:t>
      </w:r>
      <w:r w:rsidRPr="003C1533">
        <w:rPr>
          <w:rFonts w:ascii="Times New Roman" w:hAnsi="Times New Roman" w:cs="Times New Roman"/>
          <w:sz w:val="24"/>
          <w:szCs w:val="24"/>
          <w:lang w:val="fr-CA"/>
        </w:rPr>
        <w:t xml:space="preserve"> </w:t>
      </w:r>
      <w:r w:rsidRPr="003C1533">
        <w:rPr>
          <w:rFonts w:ascii="Times New Roman" w:hAnsi="Times New Roman" w:cs="Times New Roman"/>
          <w:iCs/>
          <w:sz w:val="24"/>
          <w:szCs w:val="24"/>
          <w:lang w:val="fr-CA"/>
        </w:rPr>
        <w:t>dans la zone duquel est contrôlée une interconnexion à courant continu haute tension doit coordonner l’</w:t>
      </w:r>
      <w:r w:rsidRPr="00556ABB">
        <w:rPr>
          <w:rFonts w:ascii="Times New Roman" w:hAnsi="Times New Roman" w:cs="Times New Roman"/>
          <w:i/>
          <w:sz w:val="24"/>
          <w:szCs w:val="24"/>
          <w:lang w:val="fr-CA"/>
        </w:rPr>
        <w:t>échange</w:t>
      </w:r>
      <w:r w:rsidRPr="003C1533">
        <w:rPr>
          <w:rFonts w:ascii="Times New Roman" w:hAnsi="Times New Roman" w:cs="Times New Roman"/>
          <w:sz w:val="24"/>
          <w:szCs w:val="24"/>
          <w:lang w:val="fr-CA"/>
        </w:rPr>
        <w:t xml:space="preserve"> </w:t>
      </w:r>
      <w:r w:rsidRPr="00556ABB">
        <w:rPr>
          <w:rFonts w:ascii="Times New Roman" w:hAnsi="Times New Roman" w:cs="Times New Roman"/>
          <w:i/>
          <w:sz w:val="24"/>
          <w:szCs w:val="24"/>
          <w:lang w:val="fr-CA"/>
        </w:rPr>
        <w:t>confirmé</w:t>
      </w:r>
      <w:r w:rsidRPr="003C1533">
        <w:rPr>
          <w:rFonts w:ascii="Times New Roman" w:hAnsi="Times New Roman" w:cs="Times New Roman"/>
          <w:iCs/>
          <w:sz w:val="24"/>
          <w:szCs w:val="24"/>
          <w:lang w:val="fr-CA"/>
        </w:rPr>
        <w:t>, avant sa mise en œuvre, avec l’</w:t>
      </w:r>
      <w:r w:rsidRPr="00830193">
        <w:rPr>
          <w:rFonts w:ascii="Times New Roman" w:hAnsi="Times New Roman" w:cs="Times New Roman"/>
          <w:i/>
          <w:sz w:val="24"/>
          <w:szCs w:val="24"/>
          <w:lang w:val="fr-CA"/>
        </w:rPr>
        <w:t xml:space="preserve">exploitant de réseau de transport </w:t>
      </w:r>
      <w:r w:rsidRPr="003C1533">
        <w:rPr>
          <w:rFonts w:ascii="Times New Roman" w:hAnsi="Times New Roman" w:cs="Times New Roman"/>
          <w:iCs/>
          <w:sz w:val="24"/>
          <w:szCs w:val="24"/>
          <w:lang w:val="fr-CA"/>
        </w:rPr>
        <w:t xml:space="preserve">qui exploite l’interconnexion à courant continu haute tension concernée. </w:t>
      </w:r>
      <w:r w:rsidR="00B831C8">
        <w:rPr>
          <w:rFonts w:ascii="Times New Roman" w:hAnsi="Times New Roman" w:cs="Times New Roman"/>
          <w:iCs/>
          <w:sz w:val="24"/>
          <w:szCs w:val="24"/>
          <w:lang w:val="fr-CA"/>
        </w:rPr>
        <w:br/>
      </w:r>
      <w:r w:rsidRPr="00196826">
        <w:rPr>
          <w:rFonts w:ascii="Times New Roman" w:hAnsi="Times New Roman" w:cs="Times New Roman"/>
          <w:i/>
          <w:sz w:val="24"/>
          <w:szCs w:val="24"/>
          <w:lang w:val="fr-CA"/>
        </w:rPr>
        <w:t>[Facteur de risque de la non-conformité (VRF) : moyen] [Horizon : exploitation en temps réel et planification de l’exploitation]</w:t>
      </w:r>
    </w:p>
    <w:p w14:paraId="50B56769" w14:textId="77777777" w:rsidR="003C1533" w:rsidRPr="00922A4F" w:rsidRDefault="003C1533" w:rsidP="00F00C86">
      <w:pPr>
        <w:autoSpaceDE/>
        <w:autoSpaceDN/>
        <w:adjustRightInd/>
        <w:spacing w:after="60"/>
        <w:jc w:val="both"/>
        <w:outlineLvl w:val="0"/>
        <w:rPr>
          <w:rFonts w:ascii="Times New Roman" w:hAnsi="Times New Roman" w:cs="Times New Roman"/>
          <w:sz w:val="24"/>
          <w:szCs w:val="22"/>
          <w:lang w:val="fr-CA"/>
        </w:rPr>
      </w:pPr>
    </w:p>
    <w:p w14:paraId="0DAADA70" w14:textId="448B17D1" w:rsidR="00927C96" w:rsidRPr="00922A4F" w:rsidRDefault="00403301" w:rsidP="00F00C86">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403301">
        <w:rPr>
          <w:rFonts w:ascii="Times New Roman" w:hAnsi="Times New Roman" w:cs="Times New Roman"/>
          <w:sz w:val="24"/>
          <w:szCs w:val="24"/>
          <w:lang w:val="fr-CA"/>
        </w:rPr>
        <w:t xml:space="preserve">Le </w:t>
      </w:r>
      <w:r w:rsidRPr="00403301">
        <w:rPr>
          <w:rFonts w:ascii="Times New Roman" w:hAnsi="Times New Roman" w:cs="Times New Roman"/>
          <w:i/>
          <w:iCs/>
          <w:sz w:val="24"/>
          <w:szCs w:val="24"/>
          <w:lang w:val="fr-CA"/>
        </w:rPr>
        <w:t xml:space="preserve">responsable de l’équilibrage </w:t>
      </w:r>
      <w:r w:rsidRPr="00403301">
        <w:rPr>
          <w:rFonts w:ascii="Times New Roman" w:hAnsi="Times New Roman" w:cs="Times New Roman"/>
          <w:sz w:val="24"/>
          <w:szCs w:val="24"/>
          <w:lang w:val="fr-CA"/>
        </w:rPr>
        <w:t>doit avoir les pièces justificatives (par exemple des journaux d’exploitation, des documents électroniques ou autres pièces justificatives datés) attestant qu’il a coordonné l’</w:t>
      </w:r>
      <w:r w:rsidRPr="00403301">
        <w:rPr>
          <w:rFonts w:ascii="Times New Roman" w:hAnsi="Times New Roman" w:cs="Times New Roman"/>
          <w:i/>
          <w:iCs/>
          <w:sz w:val="24"/>
          <w:szCs w:val="24"/>
          <w:lang w:val="fr-CA"/>
        </w:rPr>
        <w:t xml:space="preserve">échange confirmé </w:t>
      </w:r>
      <w:r w:rsidRPr="00403301">
        <w:rPr>
          <w:rFonts w:ascii="Times New Roman" w:hAnsi="Times New Roman" w:cs="Times New Roman"/>
          <w:sz w:val="24"/>
          <w:szCs w:val="24"/>
          <w:lang w:val="fr-CA"/>
        </w:rPr>
        <w:t>avant sa mise en œuvre avec l’</w:t>
      </w:r>
      <w:r w:rsidRPr="00403301">
        <w:rPr>
          <w:rFonts w:ascii="Times New Roman" w:hAnsi="Times New Roman" w:cs="Times New Roman"/>
          <w:i/>
          <w:iCs/>
          <w:sz w:val="24"/>
          <w:szCs w:val="24"/>
          <w:lang w:val="fr-CA"/>
        </w:rPr>
        <w:t xml:space="preserve">exploitant de réseau de transport </w:t>
      </w:r>
      <w:r w:rsidRPr="00403301">
        <w:rPr>
          <w:rFonts w:ascii="Times New Roman" w:hAnsi="Times New Roman" w:cs="Times New Roman"/>
          <w:sz w:val="24"/>
          <w:szCs w:val="24"/>
          <w:lang w:val="fr-CA"/>
        </w:rPr>
        <w:t>qui exploite l’interconnexion à courant continu haute tension concernée. (E3)</w:t>
      </w:r>
    </w:p>
    <w:p w14:paraId="6E8AB880" w14:textId="5DE600BA" w:rsidR="002050C1" w:rsidRDefault="002050C1" w:rsidP="00F00C86">
      <w:pPr>
        <w:jc w:val="both"/>
        <w:rPr>
          <w:rFonts w:ascii="Times New Roman" w:hAnsi="Times New Roman" w:cs="Times New Roman"/>
          <w:color w:val="000000"/>
          <w:sz w:val="24"/>
          <w:szCs w:val="24"/>
          <w:lang w:val="fr-CA"/>
        </w:rPr>
      </w:pPr>
    </w:p>
    <w:p w14:paraId="5AD50115"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89762C3"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2B4AE68" w14:textId="77777777"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Fournir une brève explication, en vos propres termes, de votre conformité à cette exigence. Il est recommandé de fournir les références aux éléments de preuve, y compris les liens vers la page appropriée.</w:t>
      </w:r>
    </w:p>
    <w:p w14:paraId="08937DE9"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1D521AFB"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71E1BFA9" w14:textId="77777777" w:rsidR="000854D1" w:rsidRPr="00922A4F" w:rsidRDefault="000854D1" w:rsidP="00F00C86">
      <w:pPr>
        <w:pStyle w:val="RqtSection"/>
        <w:jc w:val="both"/>
        <w:rPr>
          <w:rFonts w:ascii="Times New Roman" w:hAnsi="Times New Roman"/>
          <w:lang w:val="fr-CA"/>
        </w:rPr>
      </w:pPr>
    </w:p>
    <w:p w14:paraId="747B65B4" w14:textId="77777777" w:rsidR="00EA7114" w:rsidRPr="00922A4F" w:rsidRDefault="00EA7114" w:rsidP="00EA7114">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A7114" w:rsidRPr="00D63C98" w14:paraId="5134D96A" w14:textId="77777777" w:rsidTr="00C30780">
        <w:tc>
          <w:tcPr>
            <w:tcW w:w="10910" w:type="dxa"/>
            <w:shd w:val="clear" w:color="auto" w:fill="DCDCFF"/>
          </w:tcPr>
          <w:p w14:paraId="3CF9AB7E" w14:textId="77777777" w:rsidR="00EA7114" w:rsidRPr="00922A4F" w:rsidRDefault="00EA7114"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EA7114" w:rsidRPr="00D63C98" w14:paraId="65767CE4" w14:textId="77777777" w:rsidTr="00C30780">
        <w:tc>
          <w:tcPr>
            <w:tcW w:w="10910" w:type="dxa"/>
            <w:shd w:val="clear" w:color="auto" w:fill="DCDCFF"/>
          </w:tcPr>
          <w:p w14:paraId="73858CC6" w14:textId="3DBE1C67" w:rsidR="00EA7114" w:rsidRPr="00C13E14" w:rsidRDefault="00600F40" w:rsidP="00041B5B">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w:t>
            </w:r>
            <w:r w:rsidRPr="00403301">
              <w:rPr>
                <w:rFonts w:ascii="Times New Roman" w:hAnsi="Times New Roman" w:cs="Times New Roman"/>
                <w:sz w:val="24"/>
                <w:szCs w:val="24"/>
                <w:lang w:val="fr-CA"/>
              </w:rPr>
              <w:t>es journaux d’exploitation, des documents électroniques ou autres pièces justificatives datés</w:t>
            </w:r>
            <w:r w:rsidR="005C4C53">
              <w:rPr>
                <w:rFonts w:ascii="Times New Roman" w:hAnsi="Times New Roman" w:cs="Times New Roman"/>
                <w:sz w:val="24"/>
                <w:szCs w:val="24"/>
                <w:lang w:val="fr-CA"/>
              </w:rPr>
              <w:t xml:space="preserve"> attestant que l’entité</w:t>
            </w:r>
            <w:r w:rsidR="00A23A61">
              <w:rPr>
                <w:rFonts w:ascii="Times New Roman" w:hAnsi="Times New Roman" w:cs="Times New Roman"/>
                <w:sz w:val="24"/>
                <w:szCs w:val="24"/>
                <w:lang w:val="fr-CA"/>
              </w:rPr>
              <w:t xml:space="preserve"> a coordonné </w:t>
            </w:r>
            <w:r w:rsidR="00A23A61" w:rsidRPr="003C1533">
              <w:rPr>
                <w:rFonts w:ascii="Times New Roman" w:hAnsi="Times New Roman" w:cs="Times New Roman"/>
                <w:iCs/>
                <w:sz w:val="24"/>
                <w:szCs w:val="24"/>
                <w:lang w:val="fr-CA"/>
              </w:rPr>
              <w:t>l’</w:t>
            </w:r>
            <w:r w:rsidR="00A23A61" w:rsidRPr="00556ABB">
              <w:rPr>
                <w:rFonts w:ascii="Times New Roman" w:hAnsi="Times New Roman" w:cs="Times New Roman"/>
                <w:i/>
                <w:sz w:val="24"/>
                <w:szCs w:val="24"/>
                <w:lang w:val="fr-CA"/>
              </w:rPr>
              <w:t>échange</w:t>
            </w:r>
            <w:r w:rsidR="00A23A61" w:rsidRPr="003C1533">
              <w:rPr>
                <w:rFonts w:ascii="Times New Roman" w:hAnsi="Times New Roman" w:cs="Times New Roman"/>
                <w:sz w:val="24"/>
                <w:szCs w:val="24"/>
                <w:lang w:val="fr-CA"/>
              </w:rPr>
              <w:t xml:space="preserve"> </w:t>
            </w:r>
            <w:r w:rsidR="00A23A61" w:rsidRPr="00556ABB">
              <w:rPr>
                <w:rFonts w:ascii="Times New Roman" w:hAnsi="Times New Roman" w:cs="Times New Roman"/>
                <w:i/>
                <w:sz w:val="24"/>
                <w:szCs w:val="24"/>
                <w:lang w:val="fr-CA"/>
              </w:rPr>
              <w:t>confirmé</w:t>
            </w:r>
            <w:r w:rsidR="00A23A61" w:rsidRPr="003C1533">
              <w:rPr>
                <w:rFonts w:ascii="Times New Roman" w:hAnsi="Times New Roman" w:cs="Times New Roman"/>
                <w:iCs/>
                <w:sz w:val="24"/>
                <w:szCs w:val="24"/>
                <w:lang w:val="fr-CA"/>
              </w:rPr>
              <w:t>, avant sa mise en œuvre,</w:t>
            </w:r>
            <w:r w:rsidR="00A23A61">
              <w:rPr>
                <w:rFonts w:ascii="Times New Roman" w:hAnsi="Times New Roman" w:cs="Times New Roman"/>
                <w:iCs/>
                <w:sz w:val="24"/>
                <w:szCs w:val="24"/>
                <w:lang w:val="fr-CA"/>
              </w:rPr>
              <w:t xml:space="preserve"> </w:t>
            </w:r>
            <w:r w:rsidR="00A23A61" w:rsidRPr="003C1533">
              <w:rPr>
                <w:rFonts w:ascii="Times New Roman" w:hAnsi="Times New Roman" w:cs="Times New Roman"/>
                <w:iCs/>
                <w:sz w:val="24"/>
                <w:szCs w:val="24"/>
                <w:lang w:val="fr-CA"/>
              </w:rPr>
              <w:t>avec l’</w:t>
            </w:r>
            <w:r w:rsidR="00A23A61" w:rsidRPr="00830193">
              <w:rPr>
                <w:rFonts w:ascii="Times New Roman" w:hAnsi="Times New Roman" w:cs="Times New Roman"/>
                <w:i/>
                <w:sz w:val="24"/>
                <w:szCs w:val="24"/>
                <w:lang w:val="fr-CA"/>
              </w:rPr>
              <w:t xml:space="preserve">exploitant de réseau de transport </w:t>
            </w:r>
            <w:r w:rsidR="00A23A61" w:rsidRPr="003C1533">
              <w:rPr>
                <w:rFonts w:ascii="Times New Roman" w:hAnsi="Times New Roman" w:cs="Times New Roman"/>
                <w:iCs/>
                <w:sz w:val="24"/>
                <w:szCs w:val="24"/>
                <w:lang w:val="fr-CA"/>
              </w:rPr>
              <w:t>qui exploite l’interconnexion à courant continu haute tension concernée</w:t>
            </w:r>
            <w:r w:rsidR="00A23A61">
              <w:rPr>
                <w:rFonts w:ascii="Times New Roman" w:hAnsi="Times New Roman" w:cs="Times New Roman"/>
                <w:iCs/>
                <w:sz w:val="24"/>
                <w:szCs w:val="24"/>
                <w:lang w:val="fr-CA"/>
              </w:rPr>
              <w:t>.</w:t>
            </w:r>
          </w:p>
        </w:tc>
      </w:tr>
    </w:tbl>
    <w:p w14:paraId="0DA22580" w14:textId="77777777" w:rsidR="00EA7114" w:rsidRPr="00922A4F" w:rsidRDefault="00EA7114" w:rsidP="00EA7114">
      <w:pPr>
        <w:widowControl w:val="0"/>
        <w:spacing w:line="266" w:lineRule="exact"/>
        <w:jc w:val="both"/>
        <w:rPr>
          <w:rFonts w:ascii="Times New Roman" w:hAnsi="Times New Roman" w:cs="Times New Roman"/>
          <w:b/>
          <w:bCs/>
          <w:color w:val="000000"/>
          <w:sz w:val="24"/>
          <w:szCs w:val="24"/>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D63C98" w14:paraId="0D2D3F50" w14:textId="77777777" w:rsidTr="00C30780">
        <w:tc>
          <w:tcPr>
            <w:tcW w:w="10892" w:type="dxa"/>
            <w:gridSpan w:val="6"/>
            <w:shd w:val="clear" w:color="auto" w:fill="DCDCFF"/>
            <w:vAlign w:val="bottom"/>
          </w:tcPr>
          <w:p w14:paraId="376DDFBE" w14:textId="1F007705" w:rsidR="00EA7114" w:rsidRPr="00922A4F" w:rsidRDefault="00EA7114" w:rsidP="00041B5B">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D63C98" w14:paraId="7E3919AD" w14:textId="77777777" w:rsidTr="00C30780">
        <w:tc>
          <w:tcPr>
            <w:tcW w:w="2275" w:type="dxa"/>
            <w:shd w:val="clear" w:color="auto" w:fill="DCDCFF"/>
            <w:vAlign w:val="bottom"/>
          </w:tcPr>
          <w:p w14:paraId="1BE297E3"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D63C98" w14:paraId="2AC77BB2" w14:textId="77777777" w:rsidTr="00C30780">
        <w:tc>
          <w:tcPr>
            <w:tcW w:w="2275" w:type="dxa"/>
            <w:shd w:val="clear" w:color="auto" w:fill="CDFFCD"/>
          </w:tcPr>
          <w:p w14:paraId="6F9B0B4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D63C98" w14:paraId="703798FA" w14:textId="77777777" w:rsidTr="00C30780">
        <w:tc>
          <w:tcPr>
            <w:tcW w:w="2275" w:type="dxa"/>
            <w:shd w:val="clear" w:color="auto" w:fill="CDFFCD"/>
          </w:tcPr>
          <w:p w14:paraId="41E1343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D63C98" w14:paraId="5B72A072" w14:textId="77777777" w:rsidTr="00C30780">
        <w:tc>
          <w:tcPr>
            <w:tcW w:w="2275" w:type="dxa"/>
            <w:shd w:val="clear" w:color="auto" w:fill="CDFFCD"/>
          </w:tcPr>
          <w:p w14:paraId="1FF49E64" w14:textId="77777777" w:rsidR="00EA7114" w:rsidRPr="00922A4F" w:rsidRDefault="00EA7114"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D63C98" w14:paraId="1506636A" w14:textId="77777777" w:rsidTr="00253C44">
        <w:tc>
          <w:tcPr>
            <w:tcW w:w="10910" w:type="dxa"/>
            <w:shd w:val="clear" w:color="auto" w:fill="auto"/>
          </w:tcPr>
          <w:p w14:paraId="3006EEDD"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D63C98" w14:paraId="47B97DA2" w14:textId="77777777" w:rsidTr="00253C44">
        <w:tc>
          <w:tcPr>
            <w:tcW w:w="10910" w:type="dxa"/>
            <w:shd w:val="clear" w:color="auto" w:fill="auto"/>
          </w:tcPr>
          <w:p w14:paraId="312085CB"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D63C98" w14:paraId="010AC910" w14:textId="77777777" w:rsidTr="00253C44">
        <w:tc>
          <w:tcPr>
            <w:tcW w:w="10910" w:type="dxa"/>
            <w:shd w:val="clear" w:color="auto" w:fill="auto"/>
          </w:tcPr>
          <w:p w14:paraId="3215953B" w14:textId="77777777" w:rsidR="00EA7114" w:rsidRPr="00922A4F" w:rsidRDefault="00EA7114" w:rsidP="00041B5B">
            <w:pPr>
              <w:widowControl w:val="0"/>
              <w:jc w:val="both"/>
              <w:rPr>
                <w:rFonts w:ascii="Times New Roman" w:hAnsi="Times New Roman" w:cs="Times New Roman"/>
                <w:sz w:val="22"/>
                <w:szCs w:val="22"/>
                <w:lang w:val="fr-CA"/>
              </w:rPr>
            </w:pPr>
          </w:p>
        </w:tc>
      </w:tr>
    </w:tbl>
    <w:p w14:paraId="69A63AED" w14:textId="77777777" w:rsidR="00426D77" w:rsidRDefault="00426D77"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68F67348" w14:textId="0D3F4530"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sidR="00A31026">
        <w:rPr>
          <w:rFonts w:ascii="Times New Roman" w:hAnsi="Times New Roman" w:cs="Times New Roman"/>
          <w:b/>
          <w:bCs/>
          <w:sz w:val="24"/>
          <w:szCs w:val="24"/>
          <w:lang w:val="fr-CA"/>
        </w:rPr>
        <w:t>INT</w:t>
      </w:r>
      <w:r>
        <w:rPr>
          <w:rFonts w:ascii="Times New Roman" w:hAnsi="Times New Roman" w:cs="Times New Roman"/>
          <w:b/>
          <w:bCs/>
          <w:sz w:val="24"/>
          <w:szCs w:val="24"/>
          <w:lang w:val="fr-CA"/>
        </w:rPr>
        <w:t>-</w:t>
      </w:r>
      <w:r w:rsidR="00A31026">
        <w:rPr>
          <w:rFonts w:ascii="Times New Roman" w:hAnsi="Times New Roman" w:cs="Times New Roman"/>
          <w:b/>
          <w:bCs/>
          <w:sz w:val="24"/>
          <w:szCs w:val="24"/>
          <w:lang w:val="fr-CA"/>
        </w:rPr>
        <w:t>009</w:t>
      </w:r>
      <w:r>
        <w:rPr>
          <w:rFonts w:ascii="Times New Roman" w:hAnsi="Times New Roman" w:cs="Times New Roman"/>
          <w:b/>
          <w:bCs/>
          <w:sz w:val="24"/>
          <w:szCs w:val="24"/>
          <w:lang w:val="fr-CA"/>
        </w:rPr>
        <w:t>-</w:t>
      </w:r>
      <w:r w:rsidR="00A31026">
        <w:rPr>
          <w:rFonts w:ascii="Times New Roman" w:hAnsi="Times New Roman" w:cs="Times New Roman"/>
          <w:b/>
          <w:bCs/>
          <w:sz w:val="24"/>
          <w:szCs w:val="24"/>
          <w:lang w:val="fr-CA"/>
        </w:rPr>
        <w:t>3</w:t>
      </w:r>
      <w:r>
        <w:rPr>
          <w:rFonts w:ascii="Times New Roman" w:hAnsi="Times New Roman" w:cs="Times New Roman"/>
          <w:b/>
          <w:bCs/>
          <w:sz w:val="24"/>
          <w:szCs w:val="24"/>
          <w:lang w:val="fr-CA"/>
        </w:rPr>
        <w:t>, E3</w:t>
      </w:r>
    </w:p>
    <w:p w14:paraId="51B18987" w14:textId="77777777" w:rsidR="00EA7114" w:rsidRPr="00922A4F" w:rsidRDefault="00EA7114" w:rsidP="00EA7114">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EA7114" w:rsidRPr="00D63C98" w14:paraId="65856A27" w14:textId="77777777" w:rsidTr="00253C44">
        <w:tc>
          <w:tcPr>
            <w:tcW w:w="376" w:type="dxa"/>
          </w:tcPr>
          <w:p w14:paraId="22F5E5A6" w14:textId="77777777" w:rsidR="00EA7114" w:rsidRPr="00922A4F" w:rsidRDefault="00EA7114" w:rsidP="00041B5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E77D078" w14:textId="3BA072E7" w:rsidR="00EA7114" w:rsidRPr="003366EB" w:rsidRDefault="005D6092" w:rsidP="0085762A">
            <w:pPr>
              <w:widowControl w:val="0"/>
              <w:tabs>
                <w:tab w:val="left" w:pos="0"/>
                <w:tab w:val="left" w:pos="900"/>
                <w:tab w:val="left" w:pos="6360"/>
              </w:tabs>
              <w:jc w:val="both"/>
              <w:rPr>
                <w:rFonts w:ascii="Times New Roman" w:hAnsi="Times New Roman" w:cs="Times New Roman"/>
                <w:color w:val="auto"/>
                <w:highlight w:val="cyan"/>
                <w:lang w:val="fr-CA"/>
              </w:rPr>
            </w:pPr>
            <w:r w:rsidRPr="005D6092">
              <w:rPr>
                <w:rFonts w:ascii="Times New Roman" w:hAnsi="Times New Roman" w:cs="Times New Roman"/>
                <w:color w:val="auto"/>
                <w:lang w:val="fr-CA"/>
              </w:rPr>
              <w:t>(E3)</w:t>
            </w:r>
            <w:r w:rsidR="00B2614E">
              <w:rPr>
                <w:rFonts w:ascii="Times New Roman" w:hAnsi="Times New Roman" w:cs="Times New Roman"/>
                <w:color w:val="auto"/>
                <w:lang w:val="fr-CA"/>
              </w:rPr>
              <w:t xml:space="preserve"> </w:t>
            </w:r>
            <w:r w:rsidR="006875C7" w:rsidRPr="00154866">
              <w:rPr>
                <w:rFonts w:ascii="Times New Roman" w:hAnsi="Times New Roman" w:cs="Times New Roman"/>
                <w:color w:val="auto"/>
                <w:lang w:val="fr-CA"/>
              </w:rPr>
              <w:t xml:space="preserve">Pour </w:t>
            </w:r>
            <w:r w:rsidR="006875C7">
              <w:rPr>
                <w:rFonts w:ascii="Times New Roman" w:hAnsi="Times New Roman" w:cs="Times New Roman"/>
                <w:color w:val="auto"/>
                <w:lang w:val="fr-CA"/>
              </w:rPr>
              <w:t>l’ensemble</w:t>
            </w:r>
            <w:r w:rsidR="006875C7" w:rsidRPr="00154866">
              <w:rPr>
                <w:rFonts w:ascii="Times New Roman" w:hAnsi="Times New Roman" w:cs="Times New Roman"/>
                <w:color w:val="auto"/>
                <w:lang w:val="fr-CA"/>
              </w:rPr>
              <w:t xml:space="preserve">, ou un échantillon, des </w:t>
            </w:r>
            <w:r w:rsidR="006875C7" w:rsidRPr="006875C7">
              <w:rPr>
                <w:rFonts w:ascii="Times New Roman" w:hAnsi="Times New Roman" w:cs="Times New Roman"/>
                <w:i/>
                <w:color w:val="auto"/>
                <w:lang w:val="fr-CA"/>
              </w:rPr>
              <w:t>échanges confirmés</w:t>
            </w:r>
            <w:r w:rsidR="006875C7">
              <w:rPr>
                <w:rFonts w:ascii="Times New Roman" w:hAnsi="Times New Roman" w:cs="Times New Roman"/>
                <w:color w:val="auto"/>
                <w:lang w:val="fr-CA"/>
              </w:rPr>
              <w:t xml:space="preserve"> mis en œuvre dans</w:t>
            </w:r>
            <w:r w:rsidR="00B2614E">
              <w:rPr>
                <w:rFonts w:ascii="Times New Roman" w:hAnsi="Times New Roman" w:cs="Times New Roman"/>
                <w:color w:val="auto"/>
                <w:lang w:val="fr-CA"/>
              </w:rPr>
              <w:t xml:space="preserve"> </w:t>
            </w:r>
            <w:r w:rsidR="006875C7" w:rsidRPr="003C1533">
              <w:rPr>
                <w:rFonts w:ascii="Times New Roman" w:hAnsi="Times New Roman" w:cs="Times New Roman"/>
                <w:iCs/>
                <w:lang w:val="fr-CA"/>
              </w:rPr>
              <w:t xml:space="preserve">l’interconnexion à courant continu haute tension </w:t>
            </w:r>
            <w:r w:rsidR="002E2545">
              <w:rPr>
                <w:rFonts w:ascii="Times New Roman" w:hAnsi="Times New Roman" w:cs="Times New Roman"/>
                <w:iCs/>
                <w:lang w:val="fr-CA"/>
              </w:rPr>
              <w:t>au cours de la période de surveillance de la conformité, vérifier que l’entité a</w:t>
            </w:r>
            <w:r w:rsidR="0085762A">
              <w:rPr>
                <w:rFonts w:ascii="Times New Roman" w:hAnsi="Times New Roman" w:cs="Times New Roman"/>
                <w:iCs/>
                <w:lang w:val="fr-CA"/>
              </w:rPr>
              <w:t xml:space="preserve"> coord</w:t>
            </w:r>
            <w:r w:rsidR="002E2545">
              <w:rPr>
                <w:rFonts w:ascii="Times New Roman" w:hAnsi="Times New Roman" w:cs="Times New Roman"/>
                <w:iCs/>
                <w:lang w:val="fr-CA"/>
              </w:rPr>
              <w:t xml:space="preserve">onné </w:t>
            </w:r>
            <w:r w:rsidR="0085762A" w:rsidRPr="003C1533">
              <w:rPr>
                <w:rFonts w:ascii="Times New Roman" w:hAnsi="Times New Roman" w:cs="Times New Roman"/>
                <w:iCs/>
                <w:lang w:val="fr-CA"/>
              </w:rPr>
              <w:t>l’</w:t>
            </w:r>
            <w:r w:rsidR="0085762A" w:rsidRPr="00556ABB">
              <w:rPr>
                <w:rFonts w:ascii="Times New Roman" w:hAnsi="Times New Roman" w:cs="Times New Roman"/>
                <w:i/>
                <w:lang w:val="fr-CA"/>
              </w:rPr>
              <w:t>échange</w:t>
            </w:r>
            <w:r w:rsidR="0085762A" w:rsidRPr="003C1533">
              <w:rPr>
                <w:rFonts w:ascii="Times New Roman" w:hAnsi="Times New Roman" w:cs="Times New Roman"/>
                <w:lang w:val="fr-CA"/>
              </w:rPr>
              <w:t xml:space="preserve"> </w:t>
            </w:r>
            <w:r w:rsidR="0085762A" w:rsidRPr="00556ABB">
              <w:rPr>
                <w:rFonts w:ascii="Times New Roman" w:hAnsi="Times New Roman" w:cs="Times New Roman"/>
                <w:i/>
                <w:lang w:val="fr-CA"/>
              </w:rPr>
              <w:t>confirmé</w:t>
            </w:r>
            <w:r w:rsidR="0085762A">
              <w:rPr>
                <w:rFonts w:ascii="Times New Roman" w:hAnsi="Times New Roman" w:cs="Times New Roman"/>
                <w:iCs/>
                <w:lang w:val="fr-CA"/>
              </w:rPr>
              <w:t xml:space="preserve"> </w:t>
            </w:r>
            <w:r w:rsidR="0085762A" w:rsidRPr="003C1533">
              <w:rPr>
                <w:rFonts w:ascii="Times New Roman" w:hAnsi="Times New Roman" w:cs="Times New Roman"/>
                <w:iCs/>
                <w:lang w:val="fr-CA"/>
              </w:rPr>
              <w:t>avec l’</w:t>
            </w:r>
            <w:r w:rsidR="0085762A" w:rsidRPr="00830193">
              <w:rPr>
                <w:rFonts w:ascii="Times New Roman" w:hAnsi="Times New Roman" w:cs="Times New Roman"/>
                <w:i/>
                <w:lang w:val="fr-CA"/>
              </w:rPr>
              <w:t xml:space="preserve">exploitant de réseau de transport </w:t>
            </w:r>
            <w:r w:rsidR="0085762A" w:rsidRPr="003C1533">
              <w:rPr>
                <w:rFonts w:ascii="Times New Roman" w:hAnsi="Times New Roman" w:cs="Times New Roman"/>
                <w:iCs/>
                <w:lang w:val="fr-CA"/>
              </w:rPr>
              <w:t>qui exploite l’interconnexion à courant continu haute tension concernée</w:t>
            </w:r>
          </w:p>
        </w:tc>
      </w:tr>
      <w:tr w:rsidR="00EA7114" w:rsidRPr="00D63C98" w14:paraId="03993324" w14:textId="77777777" w:rsidTr="00253C44">
        <w:tc>
          <w:tcPr>
            <w:tcW w:w="10910" w:type="dxa"/>
            <w:gridSpan w:val="2"/>
            <w:tcBorders>
              <w:bottom w:val="single" w:sz="4" w:space="0" w:color="auto"/>
            </w:tcBorders>
            <w:shd w:val="clear" w:color="auto" w:fill="DCDCFF"/>
          </w:tcPr>
          <w:p w14:paraId="4A463CD9" w14:textId="63233253" w:rsidR="00EA7114" w:rsidRPr="003366EB" w:rsidRDefault="00EA7114" w:rsidP="0085762A">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0085762A" w:rsidRPr="0085762A">
              <w:rPr>
                <w:rFonts w:ascii="Times New Roman" w:hAnsi="Times New Roman" w:cs="Times New Roman"/>
                <w:bCs/>
                <w:lang w:val="fr-CA"/>
              </w:rPr>
              <w:t>Si l’entité n’a mis en œuvre aucun</w:t>
            </w:r>
            <w:r w:rsidR="0085762A">
              <w:rPr>
                <w:rFonts w:ascii="Times New Roman" w:hAnsi="Times New Roman" w:cs="Times New Roman"/>
                <w:bCs/>
                <w:lang w:val="fr-CA"/>
              </w:rPr>
              <w:t xml:space="preserve"> </w:t>
            </w:r>
            <w:r w:rsidR="0085762A" w:rsidRPr="00556ABB">
              <w:rPr>
                <w:rFonts w:ascii="Times New Roman" w:hAnsi="Times New Roman" w:cs="Times New Roman"/>
                <w:i/>
                <w:lang w:val="fr-CA"/>
              </w:rPr>
              <w:t>échange</w:t>
            </w:r>
            <w:r w:rsidR="0085762A" w:rsidRPr="003C1533">
              <w:rPr>
                <w:rFonts w:ascii="Times New Roman" w:hAnsi="Times New Roman" w:cs="Times New Roman"/>
                <w:lang w:val="fr-CA"/>
              </w:rPr>
              <w:t xml:space="preserve"> </w:t>
            </w:r>
            <w:r w:rsidR="0085762A" w:rsidRPr="00556ABB">
              <w:rPr>
                <w:rFonts w:ascii="Times New Roman" w:hAnsi="Times New Roman" w:cs="Times New Roman"/>
                <w:i/>
                <w:lang w:val="fr-CA"/>
              </w:rPr>
              <w:t>confirmé</w:t>
            </w:r>
            <w:r w:rsidR="0085762A" w:rsidRPr="0085762A">
              <w:rPr>
                <w:rFonts w:ascii="Times New Roman" w:hAnsi="Times New Roman" w:cs="Times New Roman"/>
                <w:lang w:val="fr-CA"/>
              </w:rPr>
              <w:t xml:space="preserve"> </w:t>
            </w:r>
            <w:r w:rsidR="0085762A">
              <w:rPr>
                <w:rFonts w:ascii="Times New Roman" w:hAnsi="Times New Roman" w:cs="Times New Roman"/>
                <w:color w:val="auto"/>
                <w:lang w:val="fr-CA"/>
              </w:rPr>
              <w:t xml:space="preserve">dans </w:t>
            </w:r>
            <w:r w:rsidR="0085762A" w:rsidRPr="003C1533">
              <w:rPr>
                <w:rFonts w:ascii="Times New Roman" w:hAnsi="Times New Roman" w:cs="Times New Roman"/>
                <w:iCs/>
                <w:lang w:val="fr-CA"/>
              </w:rPr>
              <w:t xml:space="preserve">l’interconnexion à courant continu haute tension </w:t>
            </w:r>
            <w:r w:rsidR="0085762A">
              <w:rPr>
                <w:rFonts w:ascii="Times New Roman" w:hAnsi="Times New Roman" w:cs="Times New Roman"/>
                <w:iCs/>
                <w:lang w:val="fr-CA"/>
              </w:rPr>
              <w:t>au cours de la période de surveillance de la conformité, alors l’exigence E3 n’est pas applicable.</w:t>
            </w:r>
          </w:p>
        </w:tc>
      </w:tr>
    </w:tbl>
    <w:p w14:paraId="274BAB8B"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1D00C791" w14:textId="77777777"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7F8C480"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77777777"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EE30C93" w14:textId="77777777" w:rsidR="007F298B" w:rsidRPr="00922A4F" w:rsidRDefault="007F298B" w:rsidP="00F00C86">
      <w:pPr>
        <w:autoSpaceDE/>
        <w:autoSpaceDN/>
        <w:adjustRightInd/>
        <w:jc w:val="both"/>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131A1FB4"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B831C8">
        <w:rPr>
          <w:rFonts w:ascii="Times New Roman" w:hAnsi="Times New Roman" w:cs="Times New Roman"/>
          <w:sz w:val="24"/>
          <w:szCs w:val="22"/>
          <w:lang w:val="fr-CA"/>
        </w:rPr>
        <w:t>INT-009-3</w:t>
      </w:r>
      <w:r w:rsidRPr="00F807AB">
        <w:rPr>
          <w:rFonts w:ascii="Times New Roman" w:hAnsi="Times New Roman" w:cs="Times New Roman"/>
          <w:sz w:val="24"/>
          <w:szCs w:val="22"/>
          <w:lang w:val="fr-CA"/>
        </w:rPr>
        <w:t xml:space="preserve"> peut être consulté sur le site internet de la Régie de l’énergie, à la section </w:t>
      </w:r>
      <w:hyperlink r:id="rId9"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7BF7D13F" w:rsidR="007F298B" w:rsidRPr="000D3BDF" w:rsidRDefault="007F298B" w:rsidP="00F00C86">
      <w:pPr>
        <w:autoSpaceDE/>
        <w:autoSpaceDN/>
        <w:adjustRightInd/>
        <w:jc w:val="both"/>
        <w:rPr>
          <w:rFonts w:ascii="Times New Roman" w:hAnsi="Times New Roman" w:cs="Times New Roman"/>
          <w:sz w:val="24"/>
          <w:szCs w:val="22"/>
          <w:lang w:val="fr-CA"/>
        </w:rPr>
      </w:pPr>
    </w:p>
    <w:p w14:paraId="6D234C55" w14:textId="7B337376" w:rsidR="000D3BDF" w:rsidRPr="000D3BDF" w:rsidRDefault="0048261A" w:rsidP="00F00C86">
      <w:pPr>
        <w:autoSpaceDE/>
        <w:autoSpaceDN/>
        <w:adjustRightInd/>
        <w:jc w:val="both"/>
        <w:rPr>
          <w:rFonts w:ascii="Times New Roman" w:hAnsi="Times New Roman" w:cs="Times New Roman"/>
          <w:sz w:val="24"/>
          <w:szCs w:val="22"/>
          <w:lang w:val="fr-CA"/>
        </w:rPr>
      </w:pPr>
      <w:r w:rsidRPr="000D3BDF">
        <w:rPr>
          <w:rFonts w:ascii="Times New Roman" w:hAnsi="Times New Roman" w:cs="Times New Roman"/>
          <w:sz w:val="24"/>
          <w:szCs w:val="22"/>
          <w:lang w:val="fr-CA"/>
        </w:rPr>
        <w:object w:dxaOrig="1538" w:dyaOrig="993" w14:anchorId="69152657">
          <v:shape id="_x0000_i1026" type="#_x0000_t75" style="width:76.55pt;height:49.3pt" o:ole="">
            <v:imagedata r:id="rId10" o:title=""/>
          </v:shape>
          <o:OLEObject Type="Embed" ProgID="Acrobat.Document.2017" ShapeID="_x0000_i1026" DrawAspect="Icon" ObjectID="_1693659550" r:id="rId11"/>
        </w:object>
      </w:r>
    </w:p>
    <w:p w14:paraId="5DD71200" w14:textId="77777777" w:rsidR="000D3BDF" w:rsidRPr="000D3BDF" w:rsidRDefault="000D3BDF" w:rsidP="00F00C86">
      <w:pPr>
        <w:autoSpaceDE/>
        <w:autoSpaceDN/>
        <w:adjustRightInd/>
        <w:jc w:val="both"/>
        <w:rPr>
          <w:rFonts w:ascii="Times New Roman" w:hAnsi="Times New Roman" w:cs="Times New Roman"/>
          <w:sz w:val="24"/>
          <w:szCs w:val="22"/>
          <w:lang w:val="fr-CA"/>
        </w:rPr>
      </w:pPr>
    </w:p>
    <w:p w14:paraId="110B36DB" w14:textId="5FB9EE47" w:rsidR="00E72DAB" w:rsidRPr="00922A4F" w:rsidRDefault="00E72DAB" w:rsidP="00F00C86">
      <w:pPr>
        <w:jc w:val="both"/>
        <w:rPr>
          <w:rFonts w:ascii="Times New Roman" w:hAnsi="Times New Roman" w:cs="Times New Roman"/>
          <w:sz w:val="24"/>
          <w:szCs w:val="22"/>
          <w:highlight w:val="cyan"/>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701"/>
        <w:gridCol w:w="1842"/>
        <w:gridCol w:w="6237"/>
      </w:tblGrid>
      <w:tr w:rsidR="007D3D91" w:rsidRPr="00922A4F" w14:paraId="09B457AA" w14:textId="77777777" w:rsidTr="009D1895">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701"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842"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237"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D63C98" w14:paraId="492E7133" w14:textId="77777777" w:rsidTr="009D1895">
        <w:tc>
          <w:tcPr>
            <w:tcW w:w="1101" w:type="dxa"/>
            <w:vAlign w:val="center"/>
          </w:tcPr>
          <w:p w14:paraId="6693BA4B" w14:textId="77777777" w:rsidR="007D3D91" w:rsidRPr="00922A4F" w:rsidRDefault="007D3D91" w:rsidP="00F00C86">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701" w:type="dxa"/>
            <w:vAlign w:val="center"/>
          </w:tcPr>
          <w:p w14:paraId="4C5ECF86" w14:textId="0EFD0864" w:rsidR="007D3D91" w:rsidRPr="00922A4F" w:rsidRDefault="000D3BDF" w:rsidP="000D3BDF">
            <w:pPr>
              <w:jc w:val="both"/>
              <w:rPr>
                <w:rFonts w:ascii="Times New Roman" w:hAnsi="Times New Roman" w:cs="Times New Roman"/>
                <w:sz w:val="24"/>
                <w:szCs w:val="24"/>
                <w:lang w:val="fr-CA"/>
              </w:rPr>
            </w:pPr>
            <w:r>
              <w:rPr>
                <w:rFonts w:ascii="Times New Roman" w:hAnsi="Times New Roman" w:cs="Times New Roman"/>
                <w:sz w:val="24"/>
                <w:szCs w:val="24"/>
                <w:lang w:val="fr-CA"/>
              </w:rPr>
              <w:t>Septembre</w:t>
            </w:r>
            <w:r w:rsidR="00F254B1">
              <w:rPr>
                <w:rFonts w:ascii="Times New Roman" w:hAnsi="Times New Roman" w:cs="Times New Roman"/>
                <w:sz w:val="24"/>
                <w:szCs w:val="24"/>
                <w:lang w:val="fr-CA"/>
              </w:rPr>
              <w:t xml:space="preserve"> 202</w:t>
            </w:r>
            <w:r>
              <w:rPr>
                <w:rFonts w:ascii="Times New Roman" w:hAnsi="Times New Roman" w:cs="Times New Roman"/>
                <w:sz w:val="24"/>
                <w:szCs w:val="24"/>
                <w:lang w:val="fr-CA"/>
              </w:rPr>
              <w:t>1</w:t>
            </w:r>
          </w:p>
        </w:tc>
        <w:tc>
          <w:tcPr>
            <w:tcW w:w="1842" w:type="dxa"/>
            <w:vAlign w:val="center"/>
          </w:tcPr>
          <w:p w14:paraId="6C4C2051" w14:textId="77777777" w:rsidR="007D3D91" w:rsidRPr="00922A4F" w:rsidRDefault="007D3D91" w:rsidP="00F00C86">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237" w:type="dxa"/>
            <w:vAlign w:val="center"/>
          </w:tcPr>
          <w:p w14:paraId="3F80BF0F" w14:textId="77777777" w:rsidR="007D3D91" w:rsidRPr="00922A4F" w:rsidRDefault="007D3D91" w:rsidP="00F00C86">
            <w:pPr>
              <w:jc w:val="both"/>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D63C98" w14:paraId="29D8AF5C" w14:textId="77777777" w:rsidTr="009D1895">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77777777" w:rsidR="007D3D91" w:rsidRPr="00922A4F" w:rsidRDefault="007D3D91" w:rsidP="00F00C86">
            <w:pPr>
              <w:jc w:val="both"/>
              <w:rPr>
                <w:rFonts w:ascii="Times New Roman" w:hAnsi="Times New Roman" w:cs="Times New Roman"/>
                <w:sz w:val="24"/>
                <w:szCs w:val="24"/>
                <w:lang w:val="fr-CA"/>
              </w:rPr>
            </w:pPr>
          </w:p>
        </w:tc>
        <w:tc>
          <w:tcPr>
            <w:tcW w:w="1701" w:type="dxa"/>
            <w:tcBorders>
              <w:top w:val="single" w:sz="4" w:space="0" w:color="000000"/>
              <w:left w:val="single" w:sz="4" w:space="0" w:color="000000"/>
              <w:bottom w:val="single" w:sz="4" w:space="0" w:color="000000"/>
              <w:right w:val="single" w:sz="4" w:space="0" w:color="000000"/>
            </w:tcBorders>
          </w:tcPr>
          <w:p w14:paraId="09978D29" w14:textId="77777777" w:rsidR="007D3D91" w:rsidRPr="00922A4F" w:rsidRDefault="007D3D91" w:rsidP="00F00C86">
            <w:pPr>
              <w:jc w:val="both"/>
              <w:rPr>
                <w:rFonts w:ascii="Times New Roman" w:hAnsi="Times New Roman" w:cs="Times New Roman"/>
                <w:sz w:val="24"/>
                <w:szCs w:val="24"/>
                <w:lang w:val="fr-CA"/>
              </w:rPr>
            </w:pPr>
          </w:p>
        </w:tc>
        <w:tc>
          <w:tcPr>
            <w:tcW w:w="1842" w:type="dxa"/>
            <w:tcBorders>
              <w:top w:val="single" w:sz="4" w:space="0" w:color="000000"/>
              <w:left w:val="single" w:sz="4" w:space="0" w:color="000000"/>
              <w:bottom w:val="single" w:sz="4" w:space="0" w:color="000000"/>
              <w:right w:val="single" w:sz="4" w:space="0" w:color="000000"/>
            </w:tcBorders>
          </w:tcPr>
          <w:p w14:paraId="160F1B0A" w14:textId="77777777" w:rsidR="007D3D91" w:rsidRPr="00922A4F" w:rsidRDefault="007D3D91" w:rsidP="00F00C86">
            <w:pPr>
              <w:jc w:val="both"/>
              <w:rPr>
                <w:rFonts w:ascii="Times New Roman" w:hAnsi="Times New Roman" w:cs="Times New Roman"/>
                <w:sz w:val="24"/>
                <w:szCs w:val="24"/>
                <w:lang w:val="fr-CA"/>
              </w:rPr>
            </w:pPr>
          </w:p>
        </w:tc>
        <w:tc>
          <w:tcPr>
            <w:tcW w:w="6237" w:type="dxa"/>
            <w:tcBorders>
              <w:top w:val="single" w:sz="4" w:space="0" w:color="000000"/>
              <w:left w:val="single" w:sz="4" w:space="0" w:color="000000"/>
              <w:bottom w:val="single" w:sz="4" w:space="0" w:color="000000"/>
              <w:right w:val="single" w:sz="4" w:space="0" w:color="000000"/>
            </w:tcBorders>
          </w:tcPr>
          <w:p w14:paraId="5C8D0A80" w14:textId="77777777" w:rsidR="007D3D91" w:rsidRPr="00922A4F" w:rsidRDefault="007D3D91" w:rsidP="00F00C86">
            <w:pPr>
              <w:jc w:val="both"/>
              <w:rPr>
                <w:rFonts w:ascii="Times New Roman" w:hAnsi="Times New Roman" w:cs="Times New Roman"/>
                <w:sz w:val="24"/>
                <w:szCs w:val="24"/>
                <w:lang w:val="fr-CA"/>
              </w:rPr>
            </w:pPr>
          </w:p>
        </w:tc>
      </w:tr>
      <w:tr w:rsidR="007D3D91" w:rsidRPr="00D63C98" w14:paraId="08EF0E48" w14:textId="77777777" w:rsidTr="009D1895">
        <w:tc>
          <w:tcPr>
            <w:tcW w:w="1101" w:type="dxa"/>
            <w:vAlign w:val="center"/>
          </w:tcPr>
          <w:p w14:paraId="78CC349C" w14:textId="77777777" w:rsidR="007D3D91" w:rsidRPr="00922A4F" w:rsidRDefault="007D3D91" w:rsidP="00F00C86">
            <w:pPr>
              <w:jc w:val="both"/>
              <w:rPr>
                <w:rFonts w:ascii="Times New Roman" w:hAnsi="Times New Roman" w:cs="Times New Roman"/>
                <w:sz w:val="24"/>
                <w:szCs w:val="24"/>
                <w:lang w:val="fr-CA"/>
              </w:rPr>
            </w:pPr>
          </w:p>
        </w:tc>
        <w:tc>
          <w:tcPr>
            <w:tcW w:w="1701" w:type="dxa"/>
          </w:tcPr>
          <w:p w14:paraId="4D0B3CDB" w14:textId="77777777" w:rsidR="007D3D91" w:rsidRPr="00922A4F" w:rsidRDefault="007D3D91" w:rsidP="00F00C86">
            <w:pPr>
              <w:jc w:val="both"/>
              <w:rPr>
                <w:rFonts w:ascii="Times New Roman" w:hAnsi="Times New Roman" w:cs="Times New Roman"/>
                <w:sz w:val="24"/>
                <w:szCs w:val="24"/>
                <w:lang w:val="fr-CA"/>
              </w:rPr>
            </w:pPr>
          </w:p>
        </w:tc>
        <w:tc>
          <w:tcPr>
            <w:tcW w:w="1842" w:type="dxa"/>
          </w:tcPr>
          <w:p w14:paraId="432A84E3"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5138BE72" w14:textId="77777777" w:rsidR="007D3D91" w:rsidRPr="00922A4F" w:rsidRDefault="007D3D91" w:rsidP="00F00C86">
            <w:pPr>
              <w:jc w:val="both"/>
              <w:rPr>
                <w:rFonts w:ascii="Times New Roman" w:hAnsi="Times New Roman" w:cs="Times New Roman"/>
                <w:sz w:val="24"/>
                <w:szCs w:val="24"/>
                <w:lang w:val="fr-CA"/>
              </w:rPr>
            </w:pPr>
          </w:p>
        </w:tc>
      </w:tr>
      <w:tr w:rsidR="007D3D91" w:rsidRPr="00D63C98" w14:paraId="474A08EE" w14:textId="77777777" w:rsidTr="009D1895">
        <w:tc>
          <w:tcPr>
            <w:tcW w:w="1101" w:type="dxa"/>
            <w:vAlign w:val="center"/>
          </w:tcPr>
          <w:p w14:paraId="5603A517" w14:textId="77777777" w:rsidR="007D3D91" w:rsidRPr="00922A4F" w:rsidRDefault="007D3D91" w:rsidP="00F00C86">
            <w:pPr>
              <w:jc w:val="both"/>
              <w:rPr>
                <w:rFonts w:ascii="Times New Roman" w:hAnsi="Times New Roman" w:cs="Times New Roman"/>
                <w:sz w:val="24"/>
                <w:szCs w:val="24"/>
                <w:lang w:val="fr-CA"/>
              </w:rPr>
            </w:pPr>
          </w:p>
        </w:tc>
        <w:tc>
          <w:tcPr>
            <w:tcW w:w="1701" w:type="dxa"/>
          </w:tcPr>
          <w:p w14:paraId="64E14163" w14:textId="77777777" w:rsidR="007D3D91" w:rsidRPr="00922A4F" w:rsidRDefault="007D3D91" w:rsidP="00F00C86">
            <w:pPr>
              <w:jc w:val="both"/>
              <w:rPr>
                <w:rFonts w:ascii="Times New Roman" w:hAnsi="Times New Roman" w:cs="Times New Roman"/>
                <w:sz w:val="24"/>
                <w:szCs w:val="24"/>
                <w:lang w:val="fr-CA"/>
              </w:rPr>
            </w:pPr>
          </w:p>
        </w:tc>
        <w:tc>
          <w:tcPr>
            <w:tcW w:w="1842" w:type="dxa"/>
          </w:tcPr>
          <w:p w14:paraId="30967198"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1690AD03" w14:textId="77777777" w:rsidR="007D3D91" w:rsidRPr="00922A4F" w:rsidRDefault="007D3D91" w:rsidP="00F00C86">
            <w:pPr>
              <w:jc w:val="both"/>
              <w:rPr>
                <w:rFonts w:ascii="Times New Roman" w:hAnsi="Times New Roman" w:cs="Times New Roman"/>
                <w:sz w:val="24"/>
                <w:szCs w:val="24"/>
                <w:lang w:val="fr-CA"/>
              </w:rPr>
            </w:pPr>
          </w:p>
        </w:tc>
      </w:tr>
      <w:tr w:rsidR="007D3D91" w:rsidRPr="00D63C98" w14:paraId="70958954" w14:textId="77777777" w:rsidTr="009D1895">
        <w:tc>
          <w:tcPr>
            <w:tcW w:w="1101" w:type="dxa"/>
            <w:vAlign w:val="center"/>
          </w:tcPr>
          <w:p w14:paraId="7E457F2E" w14:textId="77777777" w:rsidR="007D3D91" w:rsidRPr="00922A4F" w:rsidRDefault="007D3D91" w:rsidP="00F00C86">
            <w:pPr>
              <w:jc w:val="both"/>
              <w:rPr>
                <w:rFonts w:ascii="Times New Roman" w:hAnsi="Times New Roman" w:cs="Times New Roman"/>
                <w:sz w:val="24"/>
                <w:szCs w:val="24"/>
                <w:lang w:val="fr-CA"/>
              </w:rPr>
            </w:pPr>
          </w:p>
        </w:tc>
        <w:tc>
          <w:tcPr>
            <w:tcW w:w="1701" w:type="dxa"/>
          </w:tcPr>
          <w:p w14:paraId="4B2CF70E" w14:textId="77777777" w:rsidR="007D3D91" w:rsidRPr="00922A4F" w:rsidRDefault="007D3D91" w:rsidP="00F00C86">
            <w:pPr>
              <w:jc w:val="both"/>
              <w:rPr>
                <w:rFonts w:ascii="Times New Roman" w:hAnsi="Times New Roman" w:cs="Times New Roman"/>
                <w:sz w:val="24"/>
                <w:szCs w:val="24"/>
                <w:lang w:val="fr-CA"/>
              </w:rPr>
            </w:pPr>
          </w:p>
        </w:tc>
        <w:tc>
          <w:tcPr>
            <w:tcW w:w="1842" w:type="dxa"/>
          </w:tcPr>
          <w:p w14:paraId="170EAAEE"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28C033F2" w14:textId="77777777" w:rsidR="007D3D91" w:rsidRPr="00922A4F" w:rsidRDefault="007D3D91" w:rsidP="00F00C86">
            <w:pPr>
              <w:jc w:val="both"/>
              <w:rPr>
                <w:rFonts w:ascii="Times New Roman" w:hAnsi="Times New Roman" w:cs="Times New Roman"/>
                <w:sz w:val="24"/>
                <w:szCs w:val="24"/>
                <w:lang w:val="fr-CA"/>
              </w:rPr>
            </w:pPr>
          </w:p>
        </w:tc>
      </w:tr>
      <w:tr w:rsidR="007D3D91" w:rsidRPr="00D63C98" w14:paraId="76DD8FEC" w14:textId="77777777" w:rsidTr="009D1895">
        <w:tc>
          <w:tcPr>
            <w:tcW w:w="1101" w:type="dxa"/>
            <w:vAlign w:val="center"/>
          </w:tcPr>
          <w:p w14:paraId="33C2411F" w14:textId="77777777" w:rsidR="007D3D91" w:rsidRPr="00922A4F" w:rsidRDefault="007D3D91" w:rsidP="00F00C86">
            <w:pPr>
              <w:jc w:val="both"/>
              <w:rPr>
                <w:rFonts w:ascii="Times New Roman" w:hAnsi="Times New Roman" w:cs="Times New Roman"/>
                <w:sz w:val="24"/>
                <w:szCs w:val="24"/>
                <w:lang w:val="fr-CA"/>
              </w:rPr>
            </w:pPr>
          </w:p>
        </w:tc>
        <w:tc>
          <w:tcPr>
            <w:tcW w:w="1701" w:type="dxa"/>
          </w:tcPr>
          <w:p w14:paraId="3E49016D" w14:textId="77777777" w:rsidR="007D3D91" w:rsidRPr="00922A4F" w:rsidRDefault="007D3D91" w:rsidP="00F00C86">
            <w:pPr>
              <w:jc w:val="both"/>
              <w:rPr>
                <w:rFonts w:ascii="Times New Roman" w:hAnsi="Times New Roman" w:cs="Times New Roman"/>
                <w:sz w:val="24"/>
                <w:szCs w:val="24"/>
                <w:lang w:val="fr-CA"/>
              </w:rPr>
            </w:pPr>
          </w:p>
        </w:tc>
        <w:tc>
          <w:tcPr>
            <w:tcW w:w="1842" w:type="dxa"/>
          </w:tcPr>
          <w:p w14:paraId="11C89129"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56758E36" w14:textId="77777777" w:rsidR="007D3D91" w:rsidRPr="00922A4F" w:rsidRDefault="007D3D91" w:rsidP="00F00C86">
            <w:pPr>
              <w:jc w:val="both"/>
              <w:rPr>
                <w:rFonts w:ascii="Times New Roman" w:hAnsi="Times New Roman" w:cs="Times New Roman"/>
                <w:sz w:val="24"/>
                <w:szCs w:val="24"/>
                <w:lang w:val="fr-CA"/>
              </w:rPr>
            </w:pPr>
          </w:p>
        </w:tc>
      </w:tr>
      <w:tr w:rsidR="007D3D91" w:rsidRPr="00D63C98" w14:paraId="56E220F3" w14:textId="77777777" w:rsidTr="009D1895">
        <w:tc>
          <w:tcPr>
            <w:tcW w:w="1101" w:type="dxa"/>
            <w:vAlign w:val="center"/>
          </w:tcPr>
          <w:p w14:paraId="2CE73690" w14:textId="77777777" w:rsidR="007D3D91" w:rsidRPr="00922A4F" w:rsidRDefault="007D3D91" w:rsidP="00F00C86">
            <w:pPr>
              <w:jc w:val="both"/>
              <w:rPr>
                <w:rFonts w:ascii="Times New Roman" w:hAnsi="Times New Roman" w:cs="Times New Roman"/>
                <w:sz w:val="24"/>
                <w:szCs w:val="24"/>
                <w:lang w:val="fr-CA"/>
              </w:rPr>
            </w:pPr>
          </w:p>
        </w:tc>
        <w:tc>
          <w:tcPr>
            <w:tcW w:w="1701" w:type="dxa"/>
          </w:tcPr>
          <w:p w14:paraId="3D250675" w14:textId="77777777" w:rsidR="007D3D91" w:rsidRPr="00922A4F" w:rsidRDefault="007D3D91" w:rsidP="00F00C86">
            <w:pPr>
              <w:jc w:val="both"/>
              <w:rPr>
                <w:rFonts w:ascii="Times New Roman" w:hAnsi="Times New Roman" w:cs="Times New Roman"/>
                <w:sz w:val="24"/>
                <w:szCs w:val="24"/>
                <w:lang w:val="fr-CA"/>
              </w:rPr>
            </w:pPr>
          </w:p>
        </w:tc>
        <w:tc>
          <w:tcPr>
            <w:tcW w:w="1842" w:type="dxa"/>
          </w:tcPr>
          <w:p w14:paraId="50758FAB"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491572CE" w14:textId="77777777" w:rsidR="007D3D91" w:rsidRPr="00922A4F" w:rsidRDefault="007D3D91" w:rsidP="00F00C86">
            <w:pPr>
              <w:jc w:val="both"/>
              <w:rPr>
                <w:rFonts w:ascii="Times New Roman" w:hAnsi="Times New Roman" w:cs="Times New Roman"/>
                <w:sz w:val="24"/>
                <w:szCs w:val="24"/>
                <w:lang w:val="fr-CA"/>
              </w:rPr>
            </w:pPr>
          </w:p>
        </w:tc>
      </w:tr>
      <w:tr w:rsidR="007D3D91" w:rsidRPr="00D63C98" w14:paraId="5B931851" w14:textId="77777777" w:rsidTr="009D1895">
        <w:tc>
          <w:tcPr>
            <w:tcW w:w="1101" w:type="dxa"/>
            <w:vAlign w:val="center"/>
          </w:tcPr>
          <w:p w14:paraId="3C16FB7F" w14:textId="77777777" w:rsidR="007D3D91" w:rsidRPr="00922A4F" w:rsidRDefault="007D3D91" w:rsidP="00F00C86">
            <w:pPr>
              <w:jc w:val="both"/>
              <w:rPr>
                <w:rFonts w:ascii="Times New Roman" w:hAnsi="Times New Roman" w:cs="Times New Roman"/>
                <w:sz w:val="24"/>
                <w:szCs w:val="24"/>
                <w:lang w:val="fr-CA"/>
              </w:rPr>
            </w:pPr>
          </w:p>
        </w:tc>
        <w:tc>
          <w:tcPr>
            <w:tcW w:w="1701" w:type="dxa"/>
          </w:tcPr>
          <w:p w14:paraId="58BAFC38" w14:textId="77777777" w:rsidR="007D3D91" w:rsidRPr="00922A4F" w:rsidRDefault="007D3D91" w:rsidP="00F00C86">
            <w:pPr>
              <w:jc w:val="both"/>
              <w:rPr>
                <w:rFonts w:ascii="Times New Roman" w:hAnsi="Times New Roman" w:cs="Times New Roman"/>
                <w:sz w:val="24"/>
                <w:szCs w:val="24"/>
                <w:lang w:val="fr-CA"/>
              </w:rPr>
            </w:pPr>
          </w:p>
        </w:tc>
        <w:tc>
          <w:tcPr>
            <w:tcW w:w="1842" w:type="dxa"/>
          </w:tcPr>
          <w:p w14:paraId="186ADC51"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5692DF73" w14:textId="77777777" w:rsidR="007D3D91" w:rsidRPr="00922A4F" w:rsidRDefault="007D3D91" w:rsidP="00F00C86">
            <w:pPr>
              <w:jc w:val="both"/>
              <w:rPr>
                <w:rFonts w:ascii="Times New Roman" w:hAnsi="Times New Roman" w:cs="Times New Roman"/>
                <w:sz w:val="24"/>
                <w:szCs w:val="24"/>
                <w:lang w:val="fr-CA"/>
              </w:rPr>
            </w:pPr>
          </w:p>
        </w:tc>
      </w:tr>
    </w:tbl>
    <w:p w14:paraId="3518B797" w14:textId="77777777"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even" r:id="rId12"/>
      <w:headerReference w:type="default" r:id="rId13"/>
      <w:footerReference w:type="even" r:id="rId14"/>
      <w:footerReference w:type="default" r:id="rId15"/>
      <w:headerReference w:type="first" r:id="rId16"/>
      <w:footerReference w:type="first" r:id="rId17"/>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03AEF" w14:textId="77777777" w:rsidR="00DB242F" w:rsidRDefault="00DB242F">
      <w:r>
        <w:separator/>
      </w:r>
    </w:p>
  </w:endnote>
  <w:endnote w:type="continuationSeparator" w:id="0">
    <w:p w14:paraId="48E67109" w14:textId="77777777" w:rsidR="00DB242F" w:rsidRDefault="00DB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9D991" w14:textId="77777777" w:rsidR="00D63C98" w:rsidRDefault="00D63C9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0A91B" w14:textId="6A4DCB19" w:rsidR="00BA2D75" w:rsidRPr="00525A4E" w:rsidRDefault="00BA2D75"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sidR="000316ED">
      <w:rPr>
        <w:rFonts w:ascii="Times New Roman" w:hAnsi="Times New Roman"/>
        <w:sz w:val="18"/>
        <w:szCs w:val="18"/>
        <w:lang w:val="fr-CA"/>
      </w:rPr>
      <w:t>_</w:t>
    </w:r>
    <w:r w:rsidR="004F3B09">
      <w:rPr>
        <w:rFonts w:ascii="Times New Roman" w:hAnsi="Times New Roman"/>
        <w:sz w:val="18"/>
        <w:szCs w:val="18"/>
        <w:lang w:val="fr-CA"/>
      </w:rPr>
      <w:t>INT</w:t>
    </w:r>
    <w:r w:rsidR="00602787">
      <w:rPr>
        <w:rFonts w:ascii="Times New Roman" w:hAnsi="Times New Roman"/>
        <w:sz w:val="18"/>
        <w:szCs w:val="18"/>
        <w:lang w:val="fr-CA"/>
      </w:rPr>
      <w:t>-</w:t>
    </w:r>
    <w:r w:rsidR="004F3B09">
      <w:rPr>
        <w:rFonts w:ascii="Times New Roman" w:hAnsi="Times New Roman"/>
        <w:sz w:val="18"/>
        <w:szCs w:val="18"/>
        <w:lang w:val="fr-CA"/>
      </w:rPr>
      <w:t>009</w:t>
    </w:r>
    <w:r w:rsidR="00602787">
      <w:rPr>
        <w:rFonts w:ascii="Times New Roman" w:hAnsi="Times New Roman"/>
        <w:sz w:val="18"/>
        <w:szCs w:val="18"/>
        <w:lang w:val="fr-CA"/>
      </w:rPr>
      <w:t>-</w:t>
    </w:r>
    <w:r w:rsidR="004F3B09">
      <w:rPr>
        <w:rFonts w:ascii="Times New Roman" w:hAnsi="Times New Roman"/>
        <w:sz w:val="18"/>
        <w:szCs w:val="18"/>
        <w:lang w:val="fr-CA"/>
      </w:rPr>
      <w:t>3</w:t>
    </w:r>
    <w:r w:rsidRPr="00235284">
      <w:rPr>
        <w:rFonts w:ascii="Times New Roman" w:hAnsi="Times New Roman"/>
        <w:sz w:val="18"/>
        <w:szCs w:val="18"/>
        <w:lang w:val="fr-CA"/>
      </w:rPr>
      <w:t>_v1FR</w:t>
    </w:r>
    <w:r w:rsidR="009B6192">
      <w:rPr>
        <w:rFonts w:ascii="Times New Roman" w:hAnsi="Times New Roman"/>
        <w:sz w:val="18"/>
        <w:szCs w:val="18"/>
        <w:lang w:val="fr-CA"/>
      </w:rPr>
      <w:t xml:space="preserve"> </w:t>
    </w:r>
    <w:r w:rsidR="009B6192">
      <w:rPr>
        <w:rFonts w:ascii="Times New Roman" w:hAnsi="Times New Roman"/>
        <w:sz w:val="18"/>
        <w:szCs w:val="18"/>
        <w:lang w:val="fr-CA"/>
      </w:rPr>
      <w:tab/>
    </w:r>
    <w:r w:rsidR="00425C37">
      <w:rPr>
        <w:rFonts w:ascii="Times New Roman" w:hAnsi="Times New Roman" w:cs="Times New Roman"/>
        <w:color w:val="000000"/>
        <w:sz w:val="18"/>
        <w:szCs w:val="18"/>
        <w:lang w:val="fr-CA"/>
      </w:rPr>
      <w:t xml:space="preserve">Date de révision : </w:t>
    </w:r>
    <w:r w:rsidR="004F3B09">
      <w:rPr>
        <w:rFonts w:ascii="Times New Roman" w:hAnsi="Times New Roman" w:cs="Times New Roman"/>
        <w:color w:val="000000"/>
        <w:sz w:val="18"/>
        <w:szCs w:val="18"/>
        <w:lang w:val="fr-CA"/>
      </w:rPr>
      <w:t>septembre</w:t>
    </w:r>
    <w:r w:rsidR="00425C37">
      <w:rPr>
        <w:rFonts w:ascii="Times New Roman" w:hAnsi="Times New Roman" w:cs="Times New Roman"/>
        <w:color w:val="000000"/>
        <w:sz w:val="18"/>
        <w:szCs w:val="18"/>
        <w:lang w:val="fr-CA"/>
      </w:rPr>
      <w:t xml:space="preserve"> 202</w:t>
    </w:r>
    <w:r w:rsidR="004F3B09">
      <w:rPr>
        <w:rFonts w:ascii="Times New Roman" w:hAnsi="Times New Roman" w:cs="Times New Roman"/>
        <w:color w:val="000000"/>
        <w:sz w:val="18"/>
        <w:szCs w:val="18"/>
        <w:lang w:val="fr-CA"/>
      </w:rPr>
      <w:t>1</w:t>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D63C98">
      <w:rPr>
        <w:rStyle w:val="Numrodepage"/>
        <w:rFonts w:ascii="Times New Roman" w:hAnsi="Times New Roman" w:cs="Times New Roman"/>
        <w:noProof/>
        <w:lang w:val="fr-CA"/>
      </w:rPr>
      <w:t>2</w:t>
    </w:r>
    <w:r w:rsidRPr="00023F15">
      <w:rPr>
        <w:rStyle w:val="Numrodepage"/>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8D22B" w14:textId="77777777" w:rsidR="00D63C98" w:rsidRDefault="00D63C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49DEC" w14:textId="77777777" w:rsidR="00DB242F" w:rsidRDefault="00DB242F">
      <w:r>
        <w:separator/>
      </w:r>
    </w:p>
  </w:footnote>
  <w:footnote w:type="continuationSeparator" w:id="0">
    <w:p w14:paraId="18F8563B" w14:textId="77777777" w:rsidR="00DB242F" w:rsidRDefault="00DB242F">
      <w:r>
        <w:continuationSeparator/>
      </w:r>
    </w:p>
  </w:footnote>
  <w:footnote w:id="1">
    <w:p w14:paraId="14AC2751" w14:textId="4B4F7299" w:rsidR="005079E8" w:rsidRPr="00D9418E" w:rsidRDefault="005079E8" w:rsidP="00920E8C">
      <w:pPr>
        <w:pStyle w:val="Notedebasdepage"/>
        <w:ind w:left="284" w:hanging="284"/>
        <w:rPr>
          <w:sz w:val="18"/>
          <w:szCs w:val="18"/>
          <w:lang w:val="fr-CA"/>
        </w:rPr>
      </w:pPr>
      <w:r w:rsidRPr="00920E8C">
        <w:rPr>
          <w:rStyle w:val="Appelnotedebasdep"/>
          <w:sz w:val="18"/>
          <w:szCs w:val="18"/>
        </w:rPr>
        <w:footnoteRef/>
      </w:r>
      <w:r w:rsidR="00920E8C" w:rsidRPr="00AF41C6">
        <w:rPr>
          <w:sz w:val="18"/>
          <w:szCs w:val="18"/>
          <w:lang w:val="fr-CA"/>
        </w:rPr>
        <w:tab/>
      </w:r>
      <w:r w:rsidR="00CA54D6" w:rsidRPr="00AF41C6">
        <w:rPr>
          <w:sz w:val="18"/>
          <w:szCs w:val="18"/>
          <w:lang w:val="fr-CA"/>
        </w:rPr>
        <w:t>Date</w:t>
      </w:r>
      <w:r w:rsidR="00D9418E">
        <w:rPr>
          <w:sz w:val="18"/>
          <w:szCs w:val="18"/>
          <w:lang w:val="fr-CA"/>
        </w:rPr>
        <w:t>(</w:t>
      </w:r>
      <w:r w:rsidR="00CA54D6" w:rsidRPr="00AF41C6">
        <w:rPr>
          <w:sz w:val="18"/>
          <w:szCs w:val="18"/>
          <w:lang w:val="fr-CA"/>
        </w:rPr>
        <w:t>s</w:t>
      </w:r>
      <w:r w:rsidR="00D9418E">
        <w:rPr>
          <w:sz w:val="18"/>
          <w:szCs w:val="18"/>
          <w:lang w:val="fr-CA"/>
        </w:rPr>
        <w:t>)</w:t>
      </w:r>
      <w:r w:rsidR="00CA54D6" w:rsidRPr="00AF41C6">
        <w:rPr>
          <w:sz w:val="18"/>
          <w:szCs w:val="18"/>
          <w:lang w:val="fr-CA"/>
        </w:rPr>
        <w:t xml:space="preserve"> d’évaluation de la conformité: </w:t>
      </w:r>
      <w:r w:rsidR="00AF41C6" w:rsidRPr="00AF41C6">
        <w:rPr>
          <w:sz w:val="18"/>
          <w:szCs w:val="18"/>
          <w:lang w:val="fr-CA"/>
        </w:rPr>
        <w:t>L</w:t>
      </w:r>
      <w:r w:rsidR="00D9418E">
        <w:rPr>
          <w:sz w:val="18"/>
          <w:szCs w:val="18"/>
          <w:lang w:val="fr-CA"/>
        </w:rPr>
        <w:t>a ou l</w:t>
      </w:r>
      <w:r w:rsidR="00AF41C6" w:rsidRPr="00AF41C6">
        <w:rPr>
          <w:sz w:val="18"/>
          <w:szCs w:val="18"/>
          <w:lang w:val="fr-CA"/>
        </w:rPr>
        <w:t xml:space="preserve">es dates </w:t>
      </w:r>
      <w:r w:rsidR="00D9418E">
        <w:rPr>
          <w:sz w:val="18"/>
          <w:szCs w:val="18"/>
          <w:lang w:val="fr-CA"/>
        </w:rPr>
        <w:t>auxquelles</w:t>
      </w:r>
      <w:r w:rsidR="00AF41C6" w:rsidRPr="00AF41C6">
        <w:rPr>
          <w:sz w:val="18"/>
          <w:szCs w:val="18"/>
          <w:lang w:val="fr-CA"/>
        </w:rPr>
        <w:t xml:space="preserve"> </w:t>
      </w:r>
      <w:r w:rsidR="00D9418E">
        <w:rPr>
          <w:sz w:val="18"/>
          <w:szCs w:val="18"/>
          <w:lang w:val="fr-CA"/>
        </w:rPr>
        <w:t>l’</w:t>
      </w:r>
      <w:r w:rsidR="00AF41C6" w:rsidRPr="00AF41C6">
        <w:rPr>
          <w:sz w:val="18"/>
          <w:szCs w:val="18"/>
          <w:lang w:val="fr-CA"/>
        </w:rPr>
        <w:t>évaluation de la conformité</w:t>
      </w:r>
      <w:r w:rsidR="00AF41C6">
        <w:rPr>
          <w:sz w:val="18"/>
          <w:szCs w:val="18"/>
          <w:lang w:val="fr-CA"/>
        </w:rPr>
        <w:t xml:space="preserve"> </w:t>
      </w:r>
      <w:r w:rsidR="00D9418E">
        <w:rPr>
          <w:sz w:val="18"/>
          <w:szCs w:val="18"/>
          <w:lang w:val="fr-CA"/>
        </w:rPr>
        <w:t>réelle</w:t>
      </w:r>
      <w:r w:rsidR="00D24311">
        <w:rPr>
          <w:sz w:val="18"/>
          <w:szCs w:val="18"/>
          <w:lang w:val="fr-CA"/>
        </w:rPr>
        <w:t xml:space="preserve"> (audit sur place, audit hors site, contrôle ponctuel, etc.) </w:t>
      </w:r>
      <w:r w:rsidR="00AF41C6" w:rsidRPr="00AF41C6">
        <w:rPr>
          <w:sz w:val="18"/>
          <w:szCs w:val="18"/>
          <w:lang w:val="fr-CA"/>
        </w:rPr>
        <w:t>a lieu</w:t>
      </w:r>
      <w:r w:rsidR="00D9418E">
        <w:rPr>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92163" w14:textId="77777777" w:rsidR="00D63C98" w:rsidRDefault="00D63C9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A5607" w14:textId="77777777" w:rsidR="00BA2D75" w:rsidRDefault="00BA2D75" w:rsidP="00C53B00">
    <w:pPr>
      <w:widowControl w:val="0"/>
      <w:spacing w:line="240" w:lineRule="exact"/>
      <w:rPr>
        <w:rFonts w:cs="Times New Roman"/>
      </w:rPr>
    </w:pPr>
  </w:p>
  <w:p w14:paraId="594358E8" w14:textId="3D27422D" w:rsidR="00BA2D75" w:rsidRPr="00F46EF1" w:rsidRDefault="00726B9E"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00BA2D75" w:rsidRPr="00D50668">
      <w:rPr>
        <w:rFonts w:ascii="Times New Roman" w:hAnsi="Times New Roman" w:cs="Times New Roman"/>
        <w:b/>
        <w:bCs/>
        <w:color w:val="003366"/>
        <w:sz w:val="24"/>
        <w:szCs w:val="24"/>
        <w:lang w:val="fr-CA"/>
      </w:rPr>
      <w:t>ormulaire d’audit de la norme de fiabilité au Québec</w:t>
    </w:r>
  </w:p>
  <w:p w14:paraId="07B69A9F" w14:textId="77777777" w:rsidR="00BA2D75" w:rsidRDefault="00BA2D75"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BA2D75" w:rsidRPr="00C53B00" w:rsidRDefault="00BA2D75" w:rsidP="00C53B0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9E726" w14:textId="77777777" w:rsidR="00D63C98" w:rsidRDefault="00D63C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7pt;height:11.7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0"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1"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2"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5"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8"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19"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5"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6"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28"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9"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0"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1"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abstractNumId w:val="32"/>
  </w:num>
  <w:num w:numId="2">
    <w:abstractNumId w:val="14"/>
  </w:num>
  <w:num w:numId="3">
    <w:abstractNumId w:val="4"/>
  </w:num>
  <w:num w:numId="4">
    <w:abstractNumId w:val="29"/>
  </w:num>
  <w:num w:numId="5">
    <w:abstractNumId w:val="18"/>
  </w:num>
  <w:num w:numId="6">
    <w:abstractNumId w:val="6"/>
  </w:num>
  <w:num w:numId="7">
    <w:abstractNumId w:val="0"/>
  </w:num>
  <w:num w:numId="8">
    <w:abstractNumId w:val="19"/>
  </w:num>
  <w:num w:numId="9">
    <w:abstractNumId w:val="27"/>
  </w:num>
  <w:num w:numId="10">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5"/>
  </w:num>
  <w:num w:numId="13">
    <w:abstractNumId w:val="30"/>
  </w:num>
  <w:num w:numId="14">
    <w:abstractNumId w:val="1"/>
  </w:num>
  <w:num w:numId="15">
    <w:abstractNumId w:val="8"/>
  </w:num>
  <w:num w:numId="16">
    <w:abstractNumId w:val="3"/>
  </w:num>
  <w:num w:numId="17">
    <w:abstractNumId w:val="7"/>
  </w:num>
  <w:num w:numId="18">
    <w:abstractNumId w:val="15"/>
  </w:num>
  <w:num w:numId="19">
    <w:abstractNumId w:val="28"/>
  </w:num>
  <w:num w:numId="20">
    <w:abstractNumId w:val="17"/>
  </w:num>
  <w:num w:numId="21">
    <w:abstractNumId w:val="12"/>
  </w:num>
  <w:num w:numId="22">
    <w:abstractNumId w:val="20"/>
  </w:num>
  <w:num w:numId="23">
    <w:abstractNumId w:val="24"/>
  </w:num>
  <w:num w:numId="24">
    <w:abstractNumId w:val="16"/>
  </w:num>
  <w:num w:numId="25">
    <w:abstractNumId w:val="25"/>
  </w:num>
  <w:num w:numId="26">
    <w:abstractNumId w:val="31"/>
  </w:num>
  <w:num w:numId="27">
    <w:abstractNumId w:val="13"/>
  </w:num>
  <w:num w:numId="28">
    <w:abstractNumId w:val="22"/>
  </w:num>
  <w:num w:numId="29">
    <w:abstractNumId w:val="9"/>
  </w:num>
  <w:num w:numId="30">
    <w:abstractNumId w:val="21"/>
  </w:num>
  <w:num w:numId="31">
    <w:abstractNumId w:val="26"/>
  </w:num>
  <w:num w:numId="32">
    <w:abstractNumId w:val="11"/>
  </w:num>
  <w:num w:numId="33">
    <w:abstractNumId w:val="10"/>
  </w:num>
  <w:num w:numId="3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embedSystemFonts/>
  <w:bordersDoNotSurroundHeader/>
  <w:bordersDoNotSurroundFooter/>
  <w:activeWritingStyle w:appName="MSWord" w:lang="fr-CA"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3D58"/>
    <w:rsid w:val="000555CE"/>
    <w:rsid w:val="00055D74"/>
    <w:rsid w:val="00056F78"/>
    <w:rsid w:val="0005764D"/>
    <w:rsid w:val="000605B2"/>
    <w:rsid w:val="0006106F"/>
    <w:rsid w:val="00061C48"/>
    <w:rsid w:val="000639A2"/>
    <w:rsid w:val="0006446A"/>
    <w:rsid w:val="00065649"/>
    <w:rsid w:val="00065DBC"/>
    <w:rsid w:val="00067C1A"/>
    <w:rsid w:val="00067CD2"/>
    <w:rsid w:val="00075199"/>
    <w:rsid w:val="00076250"/>
    <w:rsid w:val="00076B11"/>
    <w:rsid w:val="00080743"/>
    <w:rsid w:val="00082263"/>
    <w:rsid w:val="000839F6"/>
    <w:rsid w:val="000852F4"/>
    <w:rsid w:val="000854D1"/>
    <w:rsid w:val="000862DA"/>
    <w:rsid w:val="00086D0F"/>
    <w:rsid w:val="00087CB0"/>
    <w:rsid w:val="0009136A"/>
    <w:rsid w:val="000922D8"/>
    <w:rsid w:val="00092738"/>
    <w:rsid w:val="000A3BB5"/>
    <w:rsid w:val="000A3EAC"/>
    <w:rsid w:val="000A5DF1"/>
    <w:rsid w:val="000A5F04"/>
    <w:rsid w:val="000B31CD"/>
    <w:rsid w:val="000B3DBF"/>
    <w:rsid w:val="000B40FF"/>
    <w:rsid w:val="000B58C6"/>
    <w:rsid w:val="000B5951"/>
    <w:rsid w:val="000B6285"/>
    <w:rsid w:val="000C0D4D"/>
    <w:rsid w:val="000C4CA8"/>
    <w:rsid w:val="000C6DA6"/>
    <w:rsid w:val="000D338E"/>
    <w:rsid w:val="000D3BDF"/>
    <w:rsid w:val="000D5152"/>
    <w:rsid w:val="000D55F2"/>
    <w:rsid w:val="000D63E4"/>
    <w:rsid w:val="000D67BC"/>
    <w:rsid w:val="000D74C9"/>
    <w:rsid w:val="000D767F"/>
    <w:rsid w:val="000D7E39"/>
    <w:rsid w:val="000E1095"/>
    <w:rsid w:val="000E1A8E"/>
    <w:rsid w:val="000E3FEF"/>
    <w:rsid w:val="000E6345"/>
    <w:rsid w:val="000F3837"/>
    <w:rsid w:val="000F52CC"/>
    <w:rsid w:val="000F5583"/>
    <w:rsid w:val="000F59AC"/>
    <w:rsid w:val="000F64A3"/>
    <w:rsid w:val="001008EB"/>
    <w:rsid w:val="00102995"/>
    <w:rsid w:val="001040F7"/>
    <w:rsid w:val="001053CB"/>
    <w:rsid w:val="00105ED6"/>
    <w:rsid w:val="001066C3"/>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8B3"/>
    <w:rsid w:val="00164AF0"/>
    <w:rsid w:val="00164C3A"/>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6826"/>
    <w:rsid w:val="00197065"/>
    <w:rsid w:val="001A0BFA"/>
    <w:rsid w:val="001A3A69"/>
    <w:rsid w:val="001A4760"/>
    <w:rsid w:val="001B088F"/>
    <w:rsid w:val="001B08A3"/>
    <w:rsid w:val="001B3014"/>
    <w:rsid w:val="001B5200"/>
    <w:rsid w:val="001B5205"/>
    <w:rsid w:val="001B6E7C"/>
    <w:rsid w:val="001C00B4"/>
    <w:rsid w:val="001C247B"/>
    <w:rsid w:val="001C4393"/>
    <w:rsid w:val="001C5969"/>
    <w:rsid w:val="001D2740"/>
    <w:rsid w:val="001D737C"/>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3AC9"/>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D1184"/>
    <w:rsid w:val="002D14E1"/>
    <w:rsid w:val="002D6D9F"/>
    <w:rsid w:val="002D7DB4"/>
    <w:rsid w:val="002E2545"/>
    <w:rsid w:val="002E320C"/>
    <w:rsid w:val="002E3620"/>
    <w:rsid w:val="002E3B4B"/>
    <w:rsid w:val="002E65EA"/>
    <w:rsid w:val="002E72DA"/>
    <w:rsid w:val="002F01F0"/>
    <w:rsid w:val="002F4E06"/>
    <w:rsid w:val="002F6AE1"/>
    <w:rsid w:val="003038AD"/>
    <w:rsid w:val="00303D14"/>
    <w:rsid w:val="0030649A"/>
    <w:rsid w:val="00307A4F"/>
    <w:rsid w:val="003119F0"/>
    <w:rsid w:val="00313FD4"/>
    <w:rsid w:val="00321D2C"/>
    <w:rsid w:val="00324EBE"/>
    <w:rsid w:val="003310A3"/>
    <w:rsid w:val="00331276"/>
    <w:rsid w:val="00334419"/>
    <w:rsid w:val="00334853"/>
    <w:rsid w:val="0033522D"/>
    <w:rsid w:val="003366EB"/>
    <w:rsid w:val="0033676D"/>
    <w:rsid w:val="003371D2"/>
    <w:rsid w:val="003374C5"/>
    <w:rsid w:val="00341998"/>
    <w:rsid w:val="0034409F"/>
    <w:rsid w:val="003446A1"/>
    <w:rsid w:val="00344DEE"/>
    <w:rsid w:val="003462B2"/>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4D56"/>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1533"/>
    <w:rsid w:val="003C33C7"/>
    <w:rsid w:val="003C69B1"/>
    <w:rsid w:val="003C6D1C"/>
    <w:rsid w:val="003D0091"/>
    <w:rsid w:val="003D0A5B"/>
    <w:rsid w:val="003D29E3"/>
    <w:rsid w:val="003D48C5"/>
    <w:rsid w:val="003D6751"/>
    <w:rsid w:val="003E0350"/>
    <w:rsid w:val="003E1785"/>
    <w:rsid w:val="003E1F4F"/>
    <w:rsid w:val="003E2D21"/>
    <w:rsid w:val="003E30F5"/>
    <w:rsid w:val="003E6BC1"/>
    <w:rsid w:val="003E6E3E"/>
    <w:rsid w:val="003F0399"/>
    <w:rsid w:val="003F1268"/>
    <w:rsid w:val="003F3A52"/>
    <w:rsid w:val="003F4275"/>
    <w:rsid w:val="003F4390"/>
    <w:rsid w:val="003F4420"/>
    <w:rsid w:val="003F6DC9"/>
    <w:rsid w:val="003F7F5F"/>
    <w:rsid w:val="00400EDA"/>
    <w:rsid w:val="00403301"/>
    <w:rsid w:val="00404CC2"/>
    <w:rsid w:val="0040578B"/>
    <w:rsid w:val="00405B33"/>
    <w:rsid w:val="004071A8"/>
    <w:rsid w:val="00407AA3"/>
    <w:rsid w:val="00411FAB"/>
    <w:rsid w:val="00412B3A"/>
    <w:rsid w:val="00415261"/>
    <w:rsid w:val="004155D4"/>
    <w:rsid w:val="00415644"/>
    <w:rsid w:val="00415B05"/>
    <w:rsid w:val="004160C9"/>
    <w:rsid w:val="004168BB"/>
    <w:rsid w:val="00420447"/>
    <w:rsid w:val="00421399"/>
    <w:rsid w:val="0042571A"/>
    <w:rsid w:val="00425C37"/>
    <w:rsid w:val="0042659E"/>
    <w:rsid w:val="00426D77"/>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61A"/>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F47"/>
    <w:rsid w:val="004F0B92"/>
    <w:rsid w:val="004F3B09"/>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ABB"/>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5C"/>
    <w:rsid w:val="005B6D43"/>
    <w:rsid w:val="005B6F5E"/>
    <w:rsid w:val="005C19C6"/>
    <w:rsid w:val="005C4C53"/>
    <w:rsid w:val="005C60AE"/>
    <w:rsid w:val="005C75BC"/>
    <w:rsid w:val="005D15C9"/>
    <w:rsid w:val="005D34AC"/>
    <w:rsid w:val="005D6092"/>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0F40"/>
    <w:rsid w:val="00602683"/>
    <w:rsid w:val="00602787"/>
    <w:rsid w:val="0061340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71912"/>
    <w:rsid w:val="00674B94"/>
    <w:rsid w:val="00674BCB"/>
    <w:rsid w:val="00677E62"/>
    <w:rsid w:val="00682FAC"/>
    <w:rsid w:val="0068413E"/>
    <w:rsid w:val="00685287"/>
    <w:rsid w:val="00685A83"/>
    <w:rsid w:val="00685D1C"/>
    <w:rsid w:val="006875C7"/>
    <w:rsid w:val="00690A62"/>
    <w:rsid w:val="00690ED1"/>
    <w:rsid w:val="00691DF9"/>
    <w:rsid w:val="00692791"/>
    <w:rsid w:val="00692E6B"/>
    <w:rsid w:val="0069354F"/>
    <w:rsid w:val="00694CE7"/>
    <w:rsid w:val="00696BE3"/>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4D00"/>
    <w:rsid w:val="007554D5"/>
    <w:rsid w:val="007572B8"/>
    <w:rsid w:val="00757CCC"/>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0193"/>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62A"/>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18AD"/>
    <w:rsid w:val="0091373D"/>
    <w:rsid w:val="00913FD6"/>
    <w:rsid w:val="00914D8F"/>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7BE0"/>
    <w:rsid w:val="00A07E19"/>
    <w:rsid w:val="00A10B10"/>
    <w:rsid w:val="00A1256C"/>
    <w:rsid w:val="00A12B56"/>
    <w:rsid w:val="00A1588E"/>
    <w:rsid w:val="00A161DF"/>
    <w:rsid w:val="00A1632E"/>
    <w:rsid w:val="00A16F04"/>
    <w:rsid w:val="00A17AB1"/>
    <w:rsid w:val="00A20753"/>
    <w:rsid w:val="00A23A61"/>
    <w:rsid w:val="00A24228"/>
    <w:rsid w:val="00A26383"/>
    <w:rsid w:val="00A27138"/>
    <w:rsid w:val="00A31026"/>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5A4"/>
    <w:rsid w:val="00A97D3C"/>
    <w:rsid w:val="00AA06B6"/>
    <w:rsid w:val="00AA08C3"/>
    <w:rsid w:val="00AA142E"/>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2614E"/>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1C8"/>
    <w:rsid w:val="00B837F6"/>
    <w:rsid w:val="00B83BE7"/>
    <w:rsid w:val="00B845B4"/>
    <w:rsid w:val="00B87515"/>
    <w:rsid w:val="00B90839"/>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44E8C"/>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3EB1"/>
    <w:rsid w:val="00CB4E9B"/>
    <w:rsid w:val="00CB6531"/>
    <w:rsid w:val="00CB6B9B"/>
    <w:rsid w:val="00CB71C0"/>
    <w:rsid w:val="00CB7C1F"/>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3C98"/>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2F"/>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2FB7"/>
    <w:rsid w:val="00ED6764"/>
    <w:rsid w:val="00EE0958"/>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B035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1"/>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e-energie.qc.ca/audiences/NormesFiabiliteTransportElectricite/RegistreEntite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ie-energie.qc.ca/audiences/NormesFiabiliteTransportElectricite/NormesFiabilite.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gie-energie.qc.ca/audiences/NormesFiabiliteTransportElectricite/index.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1523</Words>
  <Characters>9343</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10845</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2021-09-20T20:12:00Z</dcterms:created>
  <dcterms:modified xsi:type="dcterms:W3CDTF">2021-09-20T20:12:00Z</dcterms:modified>
</cp:coreProperties>
</file>