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39162697" w:rsidR="005079E8" w:rsidRPr="00920E8C" w:rsidRDefault="00C23F51"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IRO-006-5 — Coordination de la fiabilité – Allégement de la charge de transport</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F57F8C"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F57F8C"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C23F51">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C23F51">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4F2E0037" w:rsidR="00A10B10" w:rsidRPr="00C23F51" w:rsidRDefault="00C23F51" w:rsidP="006712E5">
            <w:pPr>
              <w:jc w:val="center"/>
              <w:rPr>
                <w:rFonts w:ascii="Times New Roman" w:hAnsi="Times New Roman" w:cs="Times New Roman"/>
                <w:b/>
                <w:sz w:val="24"/>
                <w:szCs w:val="24"/>
                <w:lang w:val="fr-CA"/>
              </w:rPr>
            </w:pPr>
            <w:r w:rsidRPr="00C23F51">
              <w:rPr>
                <w:rFonts w:ascii="Times New Roman" w:hAnsi="Times New Roman" w:cs="Times New Roman"/>
                <w:b/>
                <w:sz w:val="24"/>
                <w:szCs w:val="24"/>
                <w:lang w:val="fr-CA"/>
              </w:rPr>
              <w:t>X</w:t>
            </w:r>
          </w:p>
        </w:tc>
        <w:tc>
          <w:tcPr>
            <w:tcW w:w="851" w:type="dxa"/>
            <w:shd w:val="clear" w:color="auto" w:fill="DCDCFF"/>
          </w:tcPr>
          <w:p w14:paraId="0915C529" w14:textId="77777777" w:rsidR="00A10B10" w:rsidRPr="00C23F51"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33971FD" w14:textId="77777777" w:rsidR="00A10B10" w:rsidRPr="00C23F51"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DD6C44F" w14:textId="77777777" w:rsidR="00A10B10" w:rsidRPr="00C23F51" w:rsidRDefault="00A10B10" w:rsidP="006712E5">
            <w:pPr>
              <w:jc w:val="center"/>
              <w:rPr>
                <w:rFonts w:ascii="Times New Roman" w:hAnsi="Times New Roman" w:cs="Times New Roman"/>
                <w:b/>
                <w:sz w:val="24"/>
                <w:szCs w:val="24"/>
                <w:lang w:val="fr-CA"/>
              </w:rPr>
            </w:pPr>
          </w:p>
        </w:tc>
        <w:tc>
          <w:tcPr>
            <w:tcW w:w="851" w:type="dxa"/>
            <w:shd w:val="clear" w:color="auto" w:fill="DCDCFF"/>
          </w:tcPr>
          <w:p w14:paraId="6335FCE3" w14:textId="77777777" w:rsidR="00A10B10" w:rsidRPr="00C23F51" w:rsidRDefault="00A10B10" w:rsidP="006712E5">
            <w:pPr>
              <w:jc w:val="center"/>
              <w:rPr>
                <w:rFonts w:ascii="Times New Roman" w:hAnsi="Times New Roman" w:cs="Times New Roman"/>
                <w:b/>
                <w:sz w:val="24"/>
                <w:szCs w:val="24"/>
                <w:lang w:val="fr-CA"/>
              </w:rPr>
            </w:pPr>
          </w:p>
        </w:tc>
        <w:tc>
          <w:tcPr>
            <w:tcW w:w="851" w:type="dxa"/>
            <w:shd w:val="clear" w:color="auto" w:fill="DCDCFF"/>
          </w:tcPr>
          <w:p w14:paraId="293389C7" w14:textId="77777777" w:rsidR="00A10B10" w:rsidRPr="00C23F51" w:rsidRDefault="00A10B10" w:rsidP="006712E5">
            <w:pPr>
              <w:jc w:val="center"/>
              <w:rPr>
                <w:rFonts w:ascii="Times New Roman" w:hAnsi="Times New Roman" w:cs="Times New Roman"/>
                <w:b/>
                <w:sz w:val="24"/>
                <w:szCs w:val="24"/>
                <w:lang w:val="fr-CA"/>
              </w:rPr>
            </w:pPr>
          </w:p>
        </w:tc>
        <w:tc>
          <w:tcPr>
            <w:tcW w:w="851" w:type="dxa"/>
            <w:shd w:val="clear" w:color="auto" w:fill="DCDCFF"/>
          </w:tcPr>
          <w:p w14:paraId="39394DB1" w14:textId="2713D558" w:rsidR="00A10B10" w:rsidRPr="00C23F51" w:rsidRDefault="00C23F51" w:rsidP="006712E5">
            <w:pPr>
              <w:jc w:val="center"/>
              <w:rPr>
                <w:rFonts w:ascii="Times New Roman" w:hAnsi="Times New Roman" w:cs="Times New Roman"/>
                <w:b/>
                <w:sz w:val="24"/>
                <w:szCs w:val="24"/>
                <w:lang w:val="fr-CA"/>
              </w:rPr>
            </w:pPr>
            <w:r w:rsidRPr="00C23F51">
              <w:rPr>
                <w:rFonts w:ascii="Times New Roman" w:hAnsi="Times New Roman" w:cs="Times New Roman"/>
                <w:b/>
                <w:sz w:val="24"/>
                <w:szCs w:val="24"/>
                <w:lang w:val="fr-CA"/>
              </w:rPr>
              <w:t>X</w:t>
            </w: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F57F8C"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4D779B07" w14:textId="77777777" w:rsidR="00E42A0C" w:rsidRPr="00922A4F" w:rsidRDefault="00E42A0C" w:rsidP="00E42A0C">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C23F51">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00CC0E92" w:rsidRPr="00922A4F">
              <w:rPr>
                <w:rFonts w:ascii="Times New Roman" w:hAnsi="Times New Roman" w:cs="Times New Roman"/>
                <w:b/>
                <w:bCs/>
                <w:lang w:val="fr-CA"/>
              </w:rPr>
              <w:t>.</w:t>
            </w:r>
          </w:p>
        </w:tc>
        <w:tc>
          <w:tcPr>
            <w:tcW w:w="1425"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131"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491"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C23F51">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25"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131"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491"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3B4BCDC9" w:rsidR="00DC1431" w:rsidRPr="00C23F51" w:rsidRDefault="00C23F51" w:rsidP="00C23F51">
      <w:pPr>
        <w:pStyle w:val="Requirement"/>
        <w:numPr>
          <w:ilvl w:val="0"/>
          <w:numId w:val="21"/>
        </w:numPr>
        <w:jc w:val="both"/>
        <w:rPr>
          <w:sz w:val="24"/>
          <w:lang w:val="fr-CA"/>
        </w:rPr>
      </w:pPr>
      <w:r w:rsidRPr="005E1CFE">
        <w:rPr>
          <w:bCs/>
          <w:sz w:val="24"/>
          <w:lang w:val="fr-CA"/>
        </w:rPr>
        <w:t>Chaque</w:t>
      </w:r>
      <w:r w:rsidRPr="00466EC0">
        <w:rPr>
          <w:bCs/>
          <w:i/>
          <w:sz w:val="24"/>
          <w:lang w:val="fr-CA"/>
        </w:rPr>
        <w:t xml:space="preserve"> coordonnateur de la fiabilité </w:t>
      </w:r>
      <w:r w:rsidRPr="005E1CFE">
        <w:rPr>
          <w:bCs/>
          <w:sz w:val="24"/>
          <w:lang w:val="fr-CA"/>
        </w:rPr>
        <w:t xml:space="preserve">et chaque </w:t>
      </w:r>
      <w:r w:rsidRPr="00466EC0">
        <w:rPr>
          <w:bCs/>
          <w:i/>
          <w:sz w:val="24"/>
          <w:lang w:val="fr-CA"/>
        </w:rPr>
        <w:t xml:space="preserve">responsable de l’équilibrage </w:t>
      </w:r>
      <w:r w:rsidRPr="005E1CFE">
        <w:rPr>
          <w:bCs/>
          <w:sz w:val="24"/>
          <w:lang w:val="fr-CA"/>
        </w:rPr>
        <w:t xml:space="preserve">qui reçoit, dans le cadre d’une procédure d’allégement de la charge de transport applicable à l’ensemble d’une </w:t>
      </w:r>
      <w:r w:rsidRPr="00466EC0">
        <w:rPr>
          <w:bCs/>
          <w:i/>
          <w:sz w:val="24"/>
          <w:lang w:val="fr-CA"/>
        </w:rPr>
        <w:t>Interconnexion</w:t>
      </w:r>
      <w:r w:rsidRPr="005E1CFE">
        <w:rPr>
          <w:bCs/>
          <w:sz w:val="24"/>
          <w:lang w:val="fr-CA"/>
        </w:rPr>
        <w:t xml:space="preserve"> (telle que la procédure « TLR » de l’</w:t>
      </w:r>
      <w:r w:rsidRPr="00466EC0">
        <w:rPr>
          <w:bCs/>
          <w:i/>
          <w:sz w:val="24"/>
          <w:lang w:val="fr-CA"/>
        </w:rPr>
        <w:t>Interconnexion de l’Est</w:t>
      </w:r>
      <w:r w:rsidRPr="005E1CFE">
        <w:rPr>
          <w:bCs/>
          <w:sz w:val="24"/>
          <w:lang w:val="fr-CA"/>
        </w:rPr>
        <w:t xml:space="preserve">, la procédure « </w:t>
      </w:r>
      <w:proofErr w:type="spellStart"/>
      <w:r w:rsidRPr="005E1CFE">
        <w:rPr>
          <w:bCs/>
          <w:sz w:val="24"/>
          <w:lang w:val="fr-CA"/>
        </w:rPr>
        <w:t>Unscheduled</w:t>
      </w:r>
      <w:proofErr w:type="spellEnd"/>
      <w:r w:rsidRPr="005E1CFE">
        <w:rPr>
          <w:bCs/>
          <w:sz w:val="24"/>
          <w:lang w:val="fr-CA"/>
        </w:rPr>
        <w:t xml:space="preserve"> Flow Mitigation »</w:t>
      </w:r>
      <w:r>
        <w:rPr>
          <w:bCs/>
          <w:sz w:val="24"/>
          <w:lang w:val="fr-CA"/>
        </w:rPr>
        <w:t xml:space="preserve"> </w:t>
      </w:r>
      <w:r w:rsidRPr="005E1CFE">
        <w:rPr>
          <w:bCs/>
          <w:sz w:val="24"/>
          <w:lang w:val="fr-CA"/>
        </w:rPr>
        <w:t xml:space="preserve">du WECC ou une procédure de gestion de la congestion découlant des protocoles de ERCOT) de la part d’un </w:t>
      </w:r>
      <w:r w:rsidRPr="00466EC0">
        <w:rPr>
          <w:bCs/>
          <w:i/>
          <w:sz w:val="24"/>
          <w:lang w:val="fr-CA"/>
        </w:rPr>
        <w:t>coordonnateur de la fiabilité</w:t>
      </w:r>
      <w:r w:rsidRPr="005E1CFE">
        <w:rPr>
          <w:bCs/>
          <w:sz w:val="24"/>
          <w:lang w:val="fr-CA"/>
        </w:rPr>
        <w:t xml:space="preserve">, d’un </w:t>
      </w:r>
      <w:r w:rsidRPr="00466EC0">
        <w:rPr>
          <w:bCs/>
          <w:i/>
          <w:sz w:val="24"/>
          <w:lang w:val="fr-CA"/>
        </w:rPr>
        <w:t>responsable de l’équilibrage</w:t>
      </w:r>
      <w:r w:rsidRPr="005E1CFE">
        <w:rPr>
          <w:bCs/>
          <w:sz w:val="24"/>
          <w:lang w:val="fr-CA"/>
        </w:rPr>
        <w:t xml:space="preserve"> ou d’un </w:t>
      </w:r>
      <w:r w:rsidRPr="00466EC0">
        <w:rPr>
          <w:bCs/>
          <w:i/>
          <w:sz w:val="24"/>
          <w:lang w:val="fr-CA"/>
        </w:rPr>
        <w:t>exploitant de réseau de transport</w:t>
      </w:r>
      <w:r w:rsidRPr="005E1CFE">
        <w:rPr>
          <w:bCs/>
          <w:sz w:val="24"/>
          <w:lang w:val="fr-CA"/>
        </w:rPr>
        <w:t xml:space="preserve"> d’une autre </w:t>
      </w:r>
      <w:r w:rsidRPr="00466EC0">
        <w:rPr>
          <w:bCs/>
          <w:i/>
          <w:sz w:val="24"/>
          <w:lang w:val="fr-CA"/>
        </w:rPr>
        <w:t>Interconnexion</w:t>
      </w:r>
      <w:r w:rsidRPr="005E1CFE">
        <w:rPr>
          <w:bCs/>
          <w:sz w:val="24"/>
          <w:lang w:val="fr-CA"/>
        </w:rPr>
        <w:t>, une demande de réduction d’une transaction d’échange qui traverse la frontière de l’</w:t>
      </w:r>
      <w:r w:rsidRPr="00466EC0">
        <w:rPr>
          <w:bCs/>
          <w:i/>
          <w:sz w:val="24"/>
          <w:lang w:val="fr-CA"/>
        </w:rPr>
        <w:t>Interconnexion</w:t>
      </w:r>
      <w:r w:rsidRPr="005E1CFE">
        <w:rPr>
          <w:bCs/>
          <w:sz w:val="24"/>
          <w:lang w:val="fr-CA"/>
        </w:rPr>
        <w:t xml:space="preserve">, doit se conformer à cette demande ou, s’il n’est pas en mesure de le faire, fournir au demandeur une justification fondée sur la fiabilité. </w:t>
      </w:r>
      <w:r w:rsidRPr="00466EC0">
        <w:rPr>
          <w:bCs/>
          <w:i/>
          <w:sz w:val="24"/>
          <w:lang w:val="fr-CA"/>
        </w:rPr>
        <w:t>[Facteur de risque (VRF) : élevé] [Horizon de temps : exploitation en temps réel]</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639C4B1A" w:rsidR="00D2299F" w:rsidRPr="009452F8" w:rsidRDefault="009452F8" w:rsidP="004A1D41">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9452F8">
        <w:rPr>
          <w:rFonts w:ascii="Times New Roman" w:hAnsi="Times New Roman" w:cs="Times New Roman"/>
          <w:sz w:val="24"/>
          <w:szCs w:val="24"/>
          <w:lang w:val="fr-CA"/>
        </w:rPr>
        <w:t>Chaque coordonnateur de la fiabilité et chaque responsable de l’équilibrage doit fournir des pièces justificatives (telles que des registres datés, des enregistrements vocaux, des registres d’étiquettes et des études, sous format papier ou électronique) attestant qu’après avoir reçu de la part d’un coordonnateur de la fiabilité, d’un responsable de l’équilibrage ou d’un exploitant de réseau de transport d’une autre Interconnexion, dans le cadre d’une procédure d’allégement de la charge de transport applicable à l’ensemble de cette Interconnexion, une demande de réduction d’une transaction d’échange qui traverse la frontière de l’Interconnexion, il s’est conformé à cette demande ou, s’il n’était pas en mesure de le faire, il</w:t>
      </w:r>
      <w:r>
        <w:rPr>
          <w:rFonts w:ascii="Times New Roman" w:hAnsi="Times New Roman" w:cs="Times New Roman"/>
          <w:sz w:val="24"/>
          <w:szCs w:val="24"/>
          <w:lang w:val="fr-CA"/>
        </w:rPr>
        <w:t xml:space="preserve"> </w:t>
      </w:r>
      <w:r w:rsidRPr="009452F8">
        <w:rPr>
          <w:rFonts w:ascii="Times New Roman" w:hAnsi="Times New Roman" w:cs="Times New Roman"/>
          <w:sz w:val="24"/>
          <w:szCs w:val="24"/>
          <w:lang w:val="fr-CA"/>
        </w:rPr>
        <w:t>a fourni au demandeur une justification fondée sur la fiabilité. (E1)</w:t>
      </w:r>
    </w:p>
    <w:p w14:paraId="59485FBF" w14:textId="65159D2D"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72928D69" w14:textId="2EECF01C"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F57F8C"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F57F8C"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F57F8C"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57F8C"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F57F8C"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F57F8C"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57F8C"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F57F8C"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1B2E5B8B"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C23F51">
        <w:rPr>
          <w:rFonts w:ascii="Times New Roman" w:hAnsi="Times New Roman" w:cs="Times New Roman"/>
          <w:b/>
          <w:bCs/>
          <w:sz w:val="24"/>
          <w:szCs w:val="24"/>
          <w:lang w:val="fr-CA"/>
        </w:rPr>
        <w:t>IRO-006-5</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6444BE" w:rsidRPr="00F57F8C" w14:paraId="51FF3DC1" w14:textId="77777777" w:rsidTr="00CC0E92">
        <w:tc>
          <w:tcPr>
            <w:tcW w:w="378" w:type="dxa"/>
          </w:tcPr>
          <w:p w14:paraId="47160FFD" w14:textId="77777777" w:rsidR="006444BE" w:rsidRPr="00922A4F" w:rsidRDefault="006444BE" w:rsidP="00F00C86">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34704476" w14:textId="1229B681" w:rsidR="006444BE" w:rsidRPr="00CE4F7F" w:rsidRDefault="00C23F51" w:rsidP="00CE4F7F">
            <w:pPr>
              <w:autoSpaceDE/>
              <w:autoSpaceDN/>
              <w:adjustRightInd/>
              <w:jc w:val="both"/>
              <w:rPr>
                <w:rFonts w:ascii="Times New Roman" w:hAnsi="Times New Roman" w:cs="Times New Roman"/>
                <w:lang w:val="fr-CA"/>
              </w:rPr>
            </w:pPr>
            <w:r w:rsidRPr="00CE4F7F">
              <w:rPr>
                <w:rFonts w:ascii="Times New Roman" w:hAnsi="Times New Roman" w:cs="Times New Roman"/>
                <w:bCs/>
                <w:lang w:val="fr-CA"/>
              </w:rPr>
              <w:t>Vérifier que chaque</w:t>
            </w:r>
            <w:r w:rsidRPr="00CE4F7F">
              <w:rPr>
                <w:rFonts w:ascii="Times New Roman" w:hAnsi="Times New Roman" w:cs="Times New Roman"/>
                <w:bCs/>
                <w:i/>
                <w:lang w:val="fr-CA"/>
              </w:rPr>
              <w:t xml:space="preserve"> coordonnateur de la fiabilité </w:t>
            </w:r>
            <w:r w:rsidRPr="00CE4F7F">
              <w:rPr>
                <w:rFonts w:ascii="Times New Roman" w:hAnsi="Times New Roman" w:cs="Times New Roman"/>
                <w:bCs/>
                <w:lang w:val="fr-CA"/>
              </w:rPr>
              <w:t xml:space="preserve">et chaque </w:t>
            </w:r>
            <w:r w:rsidRPr="00CE4F7F">
              <w:rPr>
                <w:rFonts w:ascii="Times New Roman" w:hAnsi="Times New Roman" w:cs="Times New Roman"/>
                <w:bCs/>
                <w:i/>
                <w:lang w:val="fr-CA"/>
              </w:rPr>
              <w:t xml:space="preserve">responsable de l’équilibrage </w:t>
            </w:r>
            <w:r w:rsidRPr="00CE4F7F">
              <w:rPr>
                <w:rFonts w:ascii="Times New Roman" w:hAnsi="Times New Roman" w:cs="Times New Roman"/>
                <w:bCs/>
                <w:lang w:val="fr-CA"/>
              </w:rPr>
              <w:t xml:space="preserve">qui ont reçu, dans le cadre d’une procédure d’allégement de la charge de transport applicable à l’ensemble d’une </w:t>
            </w:r>
            <w:r w:rsidRPr="00CE4F7F">
              <w:rPr>
                <w:rFonts w:ascii="Times New Roman" w:hAnsi="Times New Roman" w:cs="Times New Roman"/>
                <w:bCs/>
                <w:i/>
                <w:lang w:val="fr-CA"/>
              </w:rPr>
              <w:t>Interconnexion</w:t>
            </w:r>
            <w:r w:rsidRPr="00CE4F7F">
              <w:rPr>
                <w:rFonts w:ascii="Times New Roman" w:hAnsi="Times New Roman" w:cs="Times New Roman"/>
                <w:bCs/>
                <w:lang w:val="fr-CA"/>
              </w:rPr>
              <w:t xml:space="preserve"> (telle que la procédure « TLR » de l’</w:t>
            </w:r>
            <w:r w:rsidRPr="00CE4F7F">
              <w:rPr>
                <w:rFonts w:ascii="Times New Roman" w:hAnsi="Times New Roman" w:cs="Times New Roman"/>
                <w:bCs/>
                <w:i/>
                <w:lang w:val="fr-CA"/>
              </w:rPr>
              <w:t>Interconnexion de l’Est</w:t>
            </w:r>
            <w:r w:rsidRPr="00CE4F7F">
              <w:rPr>
                <w:rFonts w:ascii="Times New Roman" w:hAnsi="Times New Roman" w:cs="Times New Roman"/>
                <w:bCs/>
                <w:lang w:val="fr-CA"/>
              </w:rPr>
              <w:t xml:space="preserve">, la procédure « </w:t>
            </w:r>
            <w:proofErr w:type="spellStart"/>
            <w:r w:rsidRPr="00CE4F7F">
              <w:rPr>
                <w:rFonts w:ascii="Times New Roman" w:hAnsi="Times New Roman" w:cs="Times New Roman"/>
                <w:bCs/>
                <w:lang w:val="fr-CA"/>
              </w:rPr>
              <w:t>Unscheduled</w:t>
            </w:r>
            <w:proofErr w:type="spellEnd"/>
            <w:r w:rsidRPr="00CE4F7F">
              <w:rPr>
                <w:rFonts w:ascii="Times New Roman" w:hAnsi="Times New Roman" w:cs="Times New Roman"/>
                <w:bCs/>
                <w:lang w:val="fr-CA"/>
              </w:rPr>
              <w:t xml:space="preserve"> Flow Mitigation »</w:t>
            </w:r>
            <w:r w:rsidRPr="00CE4F7F">
              <w:rPr>
                <w:bCs/>
                <w:lang w:val="fr-CA"/>
              </w:rPr>
              <w:t xml:space="preserve"> </w:t>
            </w:r>
            <w:r w:rsidRPr="00CE4F7F">
              <w:rPr>
                <w:rFonts w:ascii="Times New Roman" w:hAnsi="Times New Roman" w:cs="Times New Roman"/>
                <w:bCs/>
                <w:lang w:val="fr-CA"/>
              </w:rPr>
              <w:t xml:space="preserve">du WECC ou une procédure de gestion de la congestion découlant des protocoles de </w:t>
            </w:r>
            <w:r w:rsidRPr="00CE4F7F">
              <w:rPr>
                <w:rFonts w:ascii="Times New Roman" w:hAnsi="Times New Roman" w:cs="Times New Roman"/>
                <w:bCs/>
                <w:lang w:val="fr-CA"/>
              </w:rPr>
              <w:lastRenderedPageBreak/>
              <w:t xml:space="preserve">ERCOT) de la part d’un </w:t>
            </w:r>
            <w:r w:rsidRPr="00CE4F7F">
              <w:rPr>
                <w:rFonts w:ascii="Times New Roman" w:hAnsi="Times New Roman" w:cs="Times New Roman"/>
                <w:bCs/>
                <w:i/>
                <w:lang w:val="fr-CA"/>
              </w:rPr>
              <w:t>coordonnateur de la fiabilité</w:t>
            </w:r>
            <w:r w:rsidRPr="00CE4F7F">
              <w:rPr>
                <w:rFonts w:ascii="Times New Roman" w:hAnsi="Times New Roman" w:cs="Times New Roman"/>
                <w:bCs/>
                <w:lang w:val="fr-CA"/>
              </w:rPr>
              <w:t xml:space="preserve">, d’un </w:t>
            </w:r>
            <w:r w:rsidRPr="00CE4F7F">
              <w:rPr>
                <w:rFonts w:ascii="Times New Roman" w:hAnsi="Times New Roman" w:cs="Times New Roman"/>
                <w:bCs/>
                <w:i/>
                <w:lang w:val="fr-CA"/>
              </w:rPr>
              <w:t>responsable de l’équilibrage</w:t>
            </w:r>
            <w:r w:rsidRPr="00CE4F7F">
              <w:rPr>
                <w:rFonts w:ascii="Times New Roman" w:hAnsi="Times New Roman" w:cs="Times New Roman"/>
                <w:bCs/>
                <w:lang w:val="fr-CA"/>
              </w:rPr>
              <w:t xml:space="preserve"> ou d’un </w:t>
            </w:r>
            <w:r w:rsidRPr="00CE4F7F">
              <w:rPr>
                <w:rFonts w:ascii="Times New Roman" w:hAnsi="Times New Roman" w:cs="Times New Roman"/>
                <w:bCs/>
                <w:i/>
                <w:lang w:val="fr-CA"/>
              </w:rPr>
              <w:t>exploitant de réseau de transport</w:t>
            </w:r>
            <w:r w:rsidRPr="00CE4F7F">
              <w:rPr>
                <w:rFonts w:ascii="Times New Roman" w:hAnsi="Times New Roman" w:cs="Times New Roman"/>
                <w:bCs/>
                <w:lang w:val="fr-CA"/>
              </w:rPr>
              <w:t xml:space="preserve"> d’une autre </w:t>
            </w:r>
            <w:r w:rsidRPr="00CE4F7F">
              <w:rPr>
                <w:rFonts w:ascii="Times New Roman" w:hAnsi="Times New Roman" w:cs="Times New Roman"/>
                <w:bCs/>
                <w:i/>
                <w:lang w:val="fr-CA"/>
              </w:rPr>
              <w:t>Interconnexion</w:t>
            </w:r>
            <w:r w:rsidRPr="00CE4F7F">
              <w:rPr>
                <w:rFonts w:ascii="Times New Roman" w:hAnsi="Times New Roman" w:cs="Times New Roman"/>
                <w:bCs/>
                <w:lang w:val="fr-CA"/>
              </w:rPr>
              <w:t>, une demande de réduction d’une transaction d’échange qui traverse la frontière de l’</w:t>
            </w:r>
            <w:r w:rsidRPr="00CE4F7F">
              <w:rPr>
                <w:rFonts w:ascii="Times New Roman" w:hAnsi="Times New Roman" w:cs="Times New Roman"/>
                <w:bCs/>
                <w:i/>
                <w:lang w:val="fr-CA"/>
              </w:rPr>
              <w:t>Interconnexion</w:t>
            </w:r>
            <w:r w:rsidRPr="00CE4F7F">
              <w:rPr>
                <w:rFonts w:ascii="Times New Roman" w:hAnsi="Times New Roman" w:cs="Times New Roman"/>
                <w:bCs/>
                <w:lang w:val="fr-CA"/>
              </w:rPr>
              <w:t>, se sont conformés à cette demande ou, s’il n’ont pas été en mesure de le faire, ont fourni au demandeur une justification fondée sur la fiabilité.</w:t>
            </w:r>
          </w:p>
        </w:tc>
      </w:tr>
      <w:tr w:rsidR="00C9584C" w:rsidRPr="00922A4F" w14:paraId="0AF235FA" w14:textId="77777777" w:rsidTr="00C9584C">
        <w:tc>
          <w:tcPr>
            <w:tcW w:w="11016" w:type="dxa"/>
            <w:gridSpan w:val="2"/>
            <w:tcBorders>
              <w:bottom w:val="single" w:sz="4" w:space="0" w:color="auto"/>
            </w:tcBorders>
            <w:shd w:val="clear" w:color="auto" w:fill="DCDCFF"/>
          </w:tcPr>
          <w:p w14:paraId="02F1A276" w14:textId="032C8995"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lastRenderedPageBreak/>
              <w:t xml:space="preserve">Notes pour l’auditeur: </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654B21C4"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5B512B" w14:textId="6045A6DA" w:rsidR="00CE4F7F" w:rsidRDefault="00CE4F7F"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B1ED6EE" w14:textId="77777777" w:rsidR="00CE4F7F" w:rsidRPr="00922A4F" w:rsidRDefault="00CE4F7F"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3C5C2A09"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C23F51">
        <w:rPr>
          <w:rFonts w:ascii="Times New Roman" w:hAnsi="Times New Roman" w:cs="Times New Roman"/>
          <w:sz w:val="24"/>
          <w:szCs w:val="22"/>
          <w:lang w:val="fr-CA"/>
        </w:rPr>
        <w:t>IRO-006-5</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CE4F7F" w:rsidRDefault="007F298B" w:rsidP="00F00C86">
      <w:pPr>
        <w:autoSpaceDE/>
        <w:autoSpaceDN/>
        <w:adjustRightInd/>
        <w:jc w:val="both"/>
        <w:rPr>
          <w:rFonts w:ascii="Times New Roman" w:hAnsi="Times New Roman" w:cs="Times New Roman"/>
          <w:sz w:val="24"/>
          <w:szCs w:val="22"/>
          <w:lang w:val="fr-CA"/>
        </w:rPr>
      </w:pPr>
    </w:p>
    <w:p w14:paraId="529CF669" w14:textId="1C525F9D" w:rsidR="00C04EB9" w:rsidRPr="00CE4F7F" w:rsidRDefault="00CE4F7F" w:rsidP="00F00C86">
      <w:pPr>
        <w:autoSpaceDE/>
        <w:autoSpaceDN/>
        <w:adjustRightInd/>
        <w:jc w:val="both"/>
        <w:rPr>
          <w:rFonts w:ascii="Times New Roman" w:hAnsi="Times New Roman" w:cs="Times New Roman"/>
          <w:sz w:val="24"/>
          <w:szCs w:val="22"/>
          <w:lang w:val="fr-CA"/>
        </w:rPr>
      </w:pPr>
      <w:r w:rsidRPr="00CE4F7F">
        <w:rPr>
          <w:rFonts w:ascii="Times New Roman" w:hAnsi="Times New Roman" w:cs="Times New Roman"/>
          <w:sz w:val="24"/>
          <w:szCs w:val="22"/>
          <w:lang w:val="fr-CA"/>
        </w:rPr>
        <w:object w:dxaOrig="1538" w:dyaOrig="993" w14:anchorId="1F2AD27E">
          <v:shape id="_x0000_i1028" type="#_x0000_t75" style="width:77pt;height:49.8pt" o:ole="">
            <v:imagedata r:id="rId16" o:title=""/>
          </v:shape>
          <o:OLEObject Type="Embed" ProgID="Acrobat.Document.2017" ShapeID="_x0000_i1028" DrawAspect="Icon" ObjectID="_1717223982" r:id="rId17"/>
        </w:object>
      </w:r>
    </w:p>
    <w:p w14:paraId="110B36DB" w14:textId="19284B38" w:rsidR="00E72DAB" w:rsidRPr="00CE4F7F"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CE4F7F">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F57F8C" w14:paraId="492E7133" w14:textId="77777777" w:rsidTr="00CE4F7F">
        <w:tc>
          <w:tcPr>
            <w:tcW w:w="1101" w:type="dxa"/>
            <w:vAlign w:val="center"/>
          </w:tcPr>
          <w:p w14:paraId="6693BA4B" w14:textId="77777777" w:rsidR="007D3D91" w:rsidRPr="00922A4F" w:rsidRDefault="007D3D91" w:rsidP="00CE4F7F">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0FBB41E0" w:rsidR="007D3D91" w:rsidRPr="00922A4F" w:rsidRDefault="00C23F51" w:rsidP="00CE4F7F">
            <w:pPr>
              <w:jc w:val="both"/>
              <w:rPr>
                <w:rFonts w:ascii="Times New Roman" w:hAnsi="Times New Roman" w:cs="Times New Roman"/>
                <w:sz w:val="24"/>
                <w:szCs w:val="24"/>
                <w:lang w:val="fr-CA"/>
              </w:rPr>
            </w:pPr>
            <w:r>
              <w:rPr>
                <w:rFonts w:ascii="Times New Roman" w:hAnsi="Times New Roman" w:cs="Times New Roman"/>
                <w:sz w:val="24"/>
                <w:szCs w:val="24"/>
                <w:lang w:val="fr-CA"/>
              </w:rPr>
              <w:t>Février 2016</w:t>
            </w:r>
          </w:p>
        </w:tc>
        <w:tc>
          <w:tcPr>
            <w:tcW w:w="1985" w:type="dxa"/>
            <w:vAlign w:val="center"/>
          </w:tcPr>
          <w:p w14:paraId="6C4C2051" w14:textId="77777777" w:rsidR="007D3D91" w:rsidRPr="00922A4F" w:rsidRDefault="007D3D91" w:rsidP="00CE4F7F">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CE4F7F">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C23F51" w14:paraId="29D8AF5C" w14:textId="77777777" w:rsidTr="00CE4F7F">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0ED89619" w:rsidR="007D3D91" w:rsidRPr="00922A4F" w:rsidRDefault="00C23F51" w:rsidP="00CE4F7F">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tcPr>
          <w:p w14:paraId="09978D29" w14:textId="71764B04" w:rsidR="007D3D91" w:rsidRPr="00922A4F" w:rsidRDefault="00CE4F7F" w:rsidP="00CE4F7F">
            <w:pPr>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Juillet </w:t>
            </w:r>
            <w:r w:rsidR="00C23F51">
              <w:rPr>
                <w:rFonts w:ascii="Times New Roman" w:hAnsi="Times New Roman" w:cs="Times New Roman"/>
                <w:sz w:val="24"/>
                <w:szCs w:val="24"/>
                <w:lang w:val="fr-CA"/>
              </w:rPr>
              <w:t>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tcPr>
          <w:p w14:paraId="160F1B0A" w14:textId="5FBEAF8F" w:rsidR="007D3D91" w:rsidRPr="00922A4F" w:rsidRDefault="00C23F51" w:rsidP="00CE4F7F">
            <w:pPr>
              <w:jc w:val="both"/>
              <w:rPr>
                <w:rFonts w:ascii="Times New Roman" w:hAnsi="Times New Roman" w:cs="Times New Roman"/>
                <w:sz w:val="24"/>
                <w:szCs w:val="24"/>
                <w:lang w:val="fr-CA"/>
              </w:rPr>
            </w:pPr>
            <w:r>
              <w:rPr>
                <w:rFonts w:ascii="Times New Roman" w:hAnsi="Times New Roman" w:cs="Times New Roman"/>
                <w:sz w:val="24"/>
                <w:szCs w:val="24"/>
                <w:lang w:val="fr-CA"/>
              </w:rPr>
              <w:t>Ré</w:t>
            </w:r>
            <w:r w:rsidR="00CE4F7F">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tcPr>
          <w:p w14:paraId="5C8D0A80" w14:textId="3488A87A" w:rsidR="007D3D91" w:rsidRPr="00922A4F" w:rsidRDefault="00C23F51" w:rsidP="00CE4F7F">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C23F51" w14:paraId="08EF0E48" w14:textId="77777777" w:rsidTr="00CE4F7F">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C23F51" w14:paraId="474A08EE" w14:textId="77777777" w:rsidTr="00CE4F7F">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C23F51" w14:paraId="70958954" w14:textId="77777777" w:rsidTr="00CE4F7F">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C23F51" w14:paraId="76DD8FEC" w14:textId="77777777" w:rsidTr="00CE4F7F">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C23F51" w14:paraId="56E220F3" w14:textId="77777777" w:rsidTr="00CE4F7F">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C23F51" w14:paraId="5B931851" w14:textId="77777777" w:rsidTr="00CE4F7F">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966B60F"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CE4F7F">
      <w:rPr>
        <w:rFonts w:ascii="Times New Roman" w:hAnsi="Times New Roman"/>
        <w:sz w:val="18"/>
        <w:szCs w:val="18"/>
        <w:lang w:val="fr-CA"/>
      </w:rPr>
      <w:t>_</w:t>
    </w:r>
    <w:r w:rsidR="00C23F51">
      <w:rPr>
        <w:rFonts w:ascii="Times New Roman" w:hAnsi="Times New Roman"/>
        <w:sz w:val="18"/>
        <w:szCs w:val="18"/>
        <w:lang w:val="fr-CA"/>
      </w:rPr>
      <w:t>IRO-006-5_v2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C23F51">
      <w:rPr>
        <w:rFonts w:ascii="Times New Roman" w:hAnsi="Times New Roman" w:cs="Times New Roman"/>
        <w:color w:val="000000"/>
        <w:sz w:val="18"/>
        <w:szCs w:val="18"/>
        <w:lang w:val="fr-CA"/>
      </w:rPr>
      <w:t xml:space="preserve">Date de révision : </w:t>
    </w:r>
    <w:r w:rsidR="00F57F8C">
      <w:rPr>
        <w:rFonts w:ascii="Times New Roman" w:hAnsi="Times New Roman" w:cs="Times New Roman"/>
        <w:color w:val="000000"/>
        <w:sz w:val="18"/>
        <w:szCs w:val="18"/>
        <w:lang w:val="fr-CA"/>
      </w:rPr>
      <w:t>juillet</w:t>
    </w:r>
    <w:r w:rsidR="00C23F51">
      <w:rPr>
        <w:rFonts w:ascii="Times New Roman" w:hAnsi="Times New Roman" w:cs="Times New Roman"/>
        <w:color w:val="000000"/>
        <w:sz w:val="18"/>
        <w:szCs w:val="18"/>
        <w:lang w:val="fr-CA"/>
      </w:rPr>
      <w:t xml:space="preserve"> 202</w:t>
    </w:r>
    <w:r w:rsidR="00F57F8C">
      <w:rPr>
        <w:rFonts w:ascii="Times New Roman" w:hAnsi="Times New Roman" w:cs="Times New Roman"/>
        <w:color w:val="000000"/>
        <w:sz w:val="18"/>
        <w:szCs w:val="18"/>
        <w:lang w:val="fr-CA"/>
      </w:rPr>
      <w:t>2</w:t>
    </w:r>
    <w:r w:rsidR="00F57F8C">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E42A0C">
      <w:rPr>
        <w:rStyle w:val="Numrodepage"/>
        <w:rFonts w:ascii="Times New Roman" w:hAnsi="Times New Roman" w:cs="Times New Roman"/>
        <w:noProof/>
        <w:lang w:val="fr-CA"/>
      </w:rPr>
      <w:t>3</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6C49982C"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F57F8C">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5pt;height:11.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1067" w:hanging="360"/>
      </w:pPr>
      <w:rPr>
        <w:rFonts w:ascii="Arial" w:hAnsi="Arial" w:cs="Arial"/>
        <w:b/>
        <w:bCs/>
        <w:color w:val="254D74"/>
        <w:spacing w:val="-1"/>
        <w:sz w:val="24"/>
        <w:szCs w:val="24"/>
      </w:rPr>
    </w:lvl>
    <w:lvl w:ilvl="1">
      <w:start w:val="1"/>
      <w:numFmt w:val="decimal"/>
      <w:lvlText w:val="%2."/>
      <w:lvlJc w:val="left"/>
      <w:pPr>
        <w:ind w:left="1067" w:hanging="360"/>
      </w:pPr>
      <w:rPr>
        <w:rFonts w:ascii="Calibri" w:hAnsi="Calibri" w:cs="Calibri"/>
        <w:b/>
        <w:bCs/>
        <w:w w:val="99"/>
        <w:sz w:val="24"/>
        <w:szCs w:val="24"/>
      </w:rPr>
    </w:lvl>
    <w:lvl w:ilvl="2">
      <w:start w:val="1"/>
      <w:numFmt w:val="decimal"/>
      <w:lvlText w:val="%2.%3."/>
      <w:lvlJc w:val="left"/>
      <w:pPr>
        <w:ind w:left="1607" w:hanging="540"/>
      </w:pPr>
      <w:rPr>
        <w:rFonts w:ascii="Calibri" w:hAnsi="Calibri" w:cs="Calibri"/>
        <w:b/>
        <w:bCs/>
        <w:w w:val="99"/>
        <w:sz w:val="24"/>
        <w:szCs w:val="24"/>
      </w:rPr>
    </w:lvl>
    <w:lvl w:ilvl="3">
      <w:numFmt w:val="bullet"/>
      <w:lvlText w:val="•"/>
      <w:lvlJc w:val="left"/>
      <w:pPr>
        <w:ind w:left="3518" w:hanging="540"/>
      </w:pPr>
    </w:lvl>
    <w:lvl w:ilvl="4">
      <w:numFmt w:val="bullet"/>
      <w:lvlText w:val="•"/>
      <w:lvlJc w:val="left"/>
      <w:pPr>
        <w:ind w:left="4473" w:hanging="540"/>
      </w:pPr>
    </w:lvl>
    <w:lvl w:ilvl="5">
      <w:numFmt w:val="bullet"/>
      <w:lvlText w:val="•"/>
      <w:lvlJc w:val="left"/>
      <w:pPr>
        <w:ind w:left="5429" w:hanging="540"/>
      </w:pPr>
    </w:lvl>
    <w:lvl w:ilvl="6">
      <w:numFmt w:val="bullet"/>
      <w:lvlText w:val="•"/>
      <w:lvlJc w:val="left"/>
      <w:pPr>
        <w:ind w:left="6384" w:hanging="540"/>
      </w:pPr>
    </w:lvl>
    <w:lvl w:ilvl="7">
      <w:numFmt w:val="bullet"/>
      <w:lvlText w:val="•"/>
      <w:lvlJc w:val="left"/>
      <w:pPr>
        <w:ind w:left="7340" w:hanging="540"/>
      </w:pPr>
    </w:lvl>
    <w:lvl w:ilvl="8">
      <w:numFmt w:val="bullet"/>
      <w:lvlText w:val="•"/>
      <w:lvlJc w:val="left"/>
      <w:pPr>
        <w:ind w:left="8295"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abstractNum w:abstractNumId="33" w15:restartNumberingAfterBreak="0">
    <w:nsid w:val="7F077B95"/>
    <w:multiLevelType w:val="hybridMultilevel"/>
    <w:tmpl w:val="F67A5D32"/>
    <w:lvl w:ilvl="0" w:tplc="9DFC4E30">
      <w:numFmt w:val="bullet"/>
      <w:lvlText w:val="-"/>
      <w:lvlJc w:val="left"/>
      <w:pPr>
        <w:ind w:left="720" w:hanging="360"/>
      </w:pPr>
      <w:rPr>
        <w:rFonts w:ascii="Times New Roman" w:eastAsia="Times New Roman" w:hAnsi="Times New Roman" w:cs="Times New Roman" w:hint="default"/>
      </w:rPr>
    </w:lvl>
    <w:lvl w:ilvl="1" w:tplc="9DFC4E3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420307">
    <w:abstractNumId w:val="32"/>
  </w:num>
  <w:num w:numId="2" w16cid:durableId="2096440513">
    <w:abstractNumId w:val="14"/>
  </w:num>
  <w:num w:numId="3" w16cid:durableId="20012418">
    <w:abstractNumId w:val="4"/>
  </w:num>
  <w:num w:numId="4" w16cid:durableId="2094353268">
    <w:abstractNumId w:val="29"/>
  </w:num>
  <w:num w:numId="5" w16cid:durableId="54664572">
    <w:abstractNumId w:val="18"/>
  </w:num>
  <w:num w:numId="6" w16cid:durableId="1241258838">
    <w:abstractNumId w:val="6"/>
  </w:num>
  <w:num w:numId="7" w16cid:durableId="1652638943">
    <w:abstractNumId w:val="0"/>
  </w:num>
  <w:num w:numId="8" w16cid:durableId="1417896755">
    <w:abstractNumId w:val="19"/>
  </w:num>
  <w:num w:numId="9" w16cid:durableId="448739539">
    <w:abstractNumId w:val="27"/>
  </w:num>
  <w:num w:numId="10" w16cid:durableId="160028677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401368">
    <w:abstractNumId w:val="23"/>
  </w:num>
  <w:num w:numId="12" w16cid:durableId="1397819604">
    <w:abstractNumId w:val="5"/>
  </w:num>
  <w:num w:numId="13" w16cid:durableId="904949462">
    <w:abstractNumId w:val="30"/>
  </w:num>
  <w:num w:numId="14" w16cid:durableId="1873030940">
    <w:abstractNumId w:val="1"/>
  </w:num>
  <w:num w:numId="15" w16cid:durableId="1078400494">
    <w:abstractNumId w:val="8"/>
  </w:num>
  <w:num w:numId="16" w16cid:durableId="1026056503">
    <w:abstractNumId w:val="3"/>
  </w:num>
  <w:num w:numId="17" w16cid:durableId="1376928748">
    <w:abstractNumId w:val="7"/>
  </w:num>
  <w:num w:numId="18" w16cid:durableId="1240557082">
    <w:abstractNumId w:val="15"/>
  </w:num>
  <w:num w:numId="19" w16cid:durableId="138766931">
    <w:abstractNumId w:val="28"/>
  </w:num>
  <w:num w:numId="20" w16cid:durableId="812987647">
    <w:abstractNumId w:val="17"/>
  </w:num>
  <w:num w:numId="21" w16cid:durableId="824125486">
    <w:abstractNumId w:val="12"/>
  </w:num>
  <w:num w:numId="22" w16cid:durableId="1726223459">
    <w:abstractNumId w:val="20"/>
  </w:num>
  <w:num w:numId="23" w16cid:durableId="694186622">
    <w:abstractNumId w:val="24"/>
  </w:num>
  <w:num w:numId="24" w16cid:durableId="272514133">
    <w:abstractNumId w:val="16"/>
  </w:num>
  <w:num w:numId="25" w16cid:durableId="556087383">
    <w:abstractNumId w:val="25"/>
  </w:num>
  <w:num w:numId="26" w16cid:durableId="1176846622">
    <w:abstractNumId w:val="31"/>
  </w:num>
  <w:num w:numId="27" w16cid:durableId="828983782">
    <w:abstractNumId w:val="13"/>
  </w:num>
  <w:num w:numId="28" w16cid:durableId="2030135288">
    <w:abstractNumId w:val="22"/>
  </w:num>
  <w:num w:numId="29" w16cid:durableId="268390769">
    <w:abstractNumId w:val="9"/>
  </w:num>
  <w:num w:numId="30" w16cid:durableId="70661595">
    <w:abstractNumId w:val="21"/>
  </w:num>
  <w:num w:numId="31" w16cid:durableId="1051001370">
    <w:abstractNumId w:val="26"/>
  </w:num>
  <w:num w:numId="32" w16cid:durableId="461656620">
    <w:abstractNumId w:val="11"/>
  </w:num>
  <w:num w:numId="33" w16cid:durableId="213126630">
    <w:abstractNumId w:val="10"/>
  </w:num>
  <w:num w:numId="34" w16cid:durableId="248735844">
    <w:abstractNumId w:val="2"/>
  </w:num>
  <w:num w:numId="35" w16cid:durableId="182068267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E77B9"/>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153A"/>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2F8"/>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3F51"/>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4F7F"/>
    <w:rsid w:val="00CE5158"/>
    <w:rsid w:val="00CE67E8"/>
    <w:rsid w:val="00CE7BB0"/>
    <w:rsid w:val="00CF0771"/>
    <w:rsid w:val="00CF1684"/>
    <w:rsid w:val="00CF193A"/>
    <w:rsid w:val="00CF290D"/>
    <w:rsid w:val="00CF3F93"/>
    <w:rsid w:val="00CF5D47"/>
    <w:rsid w:val="00D0102D"/>
    <w:rsid w:val="00D01731"/>
    <w:rsid w:val="00D01A92"/>
    <w:rsid w:val="00D01CF1"/>
    <w:rsid w:val="00D030D4"/>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6B3"/>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2A0C"/>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57F8C"/>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39AAD-A1E6-4902-976B-0E6E6E8DC166}">
  <ds:schemaRefs>
    <ds:schemaRef ds:uri="http://schemas.openxmlformats.org/officeDocument/2006/bibliography"/>
  </ds:schemaRefs>
</ds:datastoreItem>
</file>

<file path=customXml/itemProps3.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4.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5.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6.xml><?xml version="1.0" encoding="utf-8"?>
<ds:datastoreItem xmlns:ds="http://schemas.openxmlformats.org/officeDocument/2006/customXml" ds:itemID="{18BFE194-8FB6-42B8-A18D-CAF4E6785FF9}">
  <ds:schemaRefs>
    <ds:schemaRef ds:uri="http://purl.org/dc/dcmitype/"/>
    <ds:schemaRef ds:uri="987b8a77-3dc6-4154-9fe1-b1e590735b1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bf880be-c7c2-4487-81cc-39803b2f22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1186</Words>
  <Characters>7057</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8227</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4</cp:revision>
  <cp:lastPrinted>2009-04-09T15:02:00Z</cp:lastPrinted>
  <dcterms:created xsi:type="dcterms:W3CDTF">2022-06-20T13:49:00Z</dcterms:created>
  <dcterms:modified xsi:type="dcterms:W3CDTF">2022-06-20T13:53:00Z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