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customXML/itemProps1.xml" ContentType="application/vnd.openxmlformats-officedocument.customXmlProperties+xml"/>
  <Override PartName="/customXML/itemProps4.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936E79" w14:textId="56B3465D" w:rsidR="007F5C9A" w:rsidRDefault="0025576E">
      <w:pPr>
        <w:spacing w:after="220" w:line="240" w:lineRule="auto"/>
        <w:jc w:val="center"/>
        <w:rPr>
          <w:b/>
          <w:bCs/>
        </w:rPr>
      </w:pPr>
      <w:r>
        <w:rPr>
          <w:b/>
        </w:rPr>
        <w:t>DEMANDE</w:t>
      </w:r>
      <w:r w:rsidR="00095E2E">
        <w:rPr>
          <w:b/>
        </w:rPr>
        <w:t xml:space="preserve"> DE</w:t>
      </w:r>
      <w:r>
        <w:rPr>
          <w:b/>
        </w:rPr>
        <w:t xml:space="preserve"> RENSEIGNEMENTS N</w:t>
      </w:r>
      <w:r>
        <w:rPr>
          <w:b/>
          <w:vertAlign w:val="superscript"/>
        </w:rPr>
        <w:t>O</w:t>
      </w:r>
      <w:r w:rsidR="005E7407">
        <w:rPr>
          <w:b/>
        </w:rPr>
        <w:t> </w:t>
      </w:r>
      <w:r w:rsidR="05DE236E" w:rsidRPr="05DE236E">
        <w:rPr>
          <w:b/>
          <w:bCs/>
        </w:rPr>
        <w:t>1</w:t>
      </w:r>
    </w:p>
    <w:p w14:paraId="1693E758" w14:textId="77777777" w:rsidR="00095E2E" w:rsidRDefault="00095E2E">
      <w:pPr>
        <w:spacing w:after="220" w:line="240" w:lineRule="auto"/>
        <w:jc w:val="center"/>
        <w:rPr>
          <w:b/>
        </w:rPr>
      </w:pPr>
    </w:p>
    <w:p w14:paraId="12721F9A" w14:textId="18C442E8" w:rsidR="00095E2E" w:rsidRDefault="5CCC8D74" w:rsidP="00095E2E">
      <w:pPr>
        <w:spacing w:after="220" w:line="240" w:lineRule="auto"/>
        <w:jc w:val="center"/>
        <w:rPr>
          <w:b/>
          <w:bCs/>
        </w:rPr>
      </w:pPr>
      <w:r w:rsidRPr="5CCC8D74">
        <w:rPr>
          <w:b/>
          <w:bCs/>
        </w:rPr>
        <w:t>DEMANDE DE RENSEIGNEMENTS No</w:t>
      </w:r>
      <w:r w:rsidR="005E7407">
        <w:rPr>
          <w:b/>
          <w:bCs/>
        </w:rPr>
        <w:t> </w:t>
      </w:r>
      <w:r w:rsidRPr="5CCC8D74">
        <w:rPr>
          <w:b/>
          <w:bCs/>
        </w:rPr>
        <w:t>1 DE l’ASSOCIATION QUÉBÉCOISE DE LA PRODUCTION D’ÉNERGIE RENOUVELABLE («</w:t>
      </w:r>
      <w:r w:rsidR="005E7407">
        <w:rPr>
          <w:b/>
          <w:bCs/>
        </w:rPr>
        <w:t> </w:t>
      </w:r>
      <w:r w:rsidRPr="5CCC8D74">
        <w:rPr>
          <w:b/>
          <w:bCs/>
        </w:rPr>
        <w:t>AQPER</w:t>
      </w:r>
      <w:r w:rsidR="005E7407">
        <w:rPr>
          <w:b/>
          <w:bCs/>
        </w:rPr>
        <w:t> </w:t>
      </w:r>
      <w:r w:rsidRPr="5CCC8D74">
        <w:rPr>
          <w:b/>
          <w:bCs/>
        </w:rPr>
        <w:t>») RELATIVE À LA DEMANDE D’ÉNERGIR, S.E.C. (Énergir) CONCERNANT LA MISE EN PLACE DE MESURES RELATIVES À L’ACHAT ET À LA VENTE DE GAZ NATUREL RENOUVELABLE</w:t>
      </w:r>
    </w:p>
    <w:p w14:paraId="33A7021B" w14:textId="132B0B3C" w:rsidR="007F5C9A" w:rsidRPr="00095E2E" w:rsidRDefault="0025576E" w:rsidP="00095E2E">
      <w:pPr>
        <w:spacing w:after="220" w:line="240" w:lineRule="auto"/>
        <w:jc w:val="center"/>
        <w:rPr>
          <w:b/>
        </w:rPr>
      </w:pPr>
      <w:r>
        <w:br/>
      </w:r>
      <w:r>
        <w:br/>
      </w:r>
      <w:r>
        <w:rPr>
          <w:b/>
        </w:rPr>
        <w:t>Montréal, le 26</w:t>
      </w:r>
      <w:r w:rsidR="005E7407">
        <w:rPr>
          <w:b/>
        </w:rPr>
        <w:t> </w:t>
      </w:r>
      <w:r>
        <w:rPr>
          <w:b/>
        </w:rPr>
        <w:t>juin</w:t>
      </w:r>
      <w:r w:rsidR="005E7407">
        <w:rPr>
          <w:b/>
        </w:rPr>
        <w:t> </w:t>
      </w:r>
      <w:r>
        <w:rPr>
          <w:b/>
        </w:rPr>
        <w:t>2023</w:t>
      </w:r>
    </w:p>
    <w:p w14:paraId="29088CFE" w14:textId="2F2CCBBA" w:rsidR="007F5C9A" w:rsidRDefault="0025576E">
      <w:pPr>
        <w:pBdr>
          <w:bottom w:val="single" w:sz="4" w:space="1" w:color="000000"/>
        </w:pBdr>
        <w:spacing w:line="240" w:lineRule="auto"/>
        <w:jc w:val="center"/>
        <w:rPr>
          <w:rFonts w:ascii="Arial Gras" w:eastAsia="Arial Gras" w:hAnsi="Arial Gras" w:cs="Arial Gras"/>
          <w:b/>
        </w:rPr>
      </w:pPr>
      <w:r>
        <w:br w:type="page"/>
      </w:r>
      <w:r>
        <w:rPr>
          <w:b/>
        </w:rPr>
        <w:lastRenderedPageBreak/>
        <w:t>DEMANDE DE RENSEIGNEMENTS No</w:t>
      </w:r>
      <w:r w:rsidR="005E7407">
        <w:rPr>
          <w:b/>
        </w:rPr>
        <w:t> </w:t>
      </w:r>
      <w:r w:rsidR="05DE236E" w:rsidRPr="05DE236E">
        <w:rPr>
          <w:b/>
          <w:bCs/>
        </w:rPr>
        <w:t>1</w:t>
      </w:r>
      <w:r>
        <w:rPr>
          <w:b/>
        </w:rPr>
        <w:t xml:space="preserve"> DE l’ASSOCIATION QUÉBÉCOISE DE LA PRODUCTION D’ÉNERGIE RENOUVELABLE («</w:t>
      </w:r>
      <w:r w:rsidR="005E7407">
        <w:rPr>
          <w:b/>
        </w:rPr>
        <w:t> </w:t>
      </w:r>
      <w:r>
        <w:rPr>
          <w:b/>
        </w:rPr>
        <w:t>AQPER</w:t>
      </w:r>
      <w:r w:rsidR="005E7407">
        <w:rPr>
          <w:b/>
        </w:rPr>
        <w:t> </w:t>
      </w:r>
      <w:r>
        <w:rPr>
          <w:b/>
        </w:rPr>
        <w:t>») RELATIVE À LA DEMANDE D’ÉNERGIR, S.E.C. (Énergir) CONCERNANT LA MISE EN PLACE DE MESURES RELATIVES À L’ACHAT ET À LA VENTE DE GAZ NATUREL RENOUVELABLE</w:t>
      </w:r>
      <w:r>
        <w:br/>
      </w:r>
    </w:p>
    <w:p w14:paraId="4815B52E" w14:textId="77777777" w:rsidR="007F5C9A" w:rsidRDefault="007F5C9A">
      <w:pPr>
        <w:spacing w:line="240" w:lineRule="auto"/>
        <w:jc w:val="center"/>
        <w:rPr>
          <w:rFonts w:ascii="Arial Gras" w:eastAsia="Arial Gras" w:hAnsi="Arial Gras" w:cs="Arial Gras"/>
        </w:rPr>
      </w:pPr>
    </w:p>
    <w:p w14:paraId="03D47570" w14:textId="77777777" w:rsidR="007F5C9A" w:rsidRPr="00CC62E5" w:rsidRDefault="007F5C9A">
      <w:pPr>
        <w:spacing w:line="240" w:lineRule="auto"/>
        <w:jc w:val="center"/>
      </w:pPr>
    </w:p>
    <w:p w14:paraId="08AA075B" w14:textId="46365F0B" w:rsidR="007F5C9A" w:rsidRPr="00095E2E" w:rsidRDefault="00CC62E5" w:rsidP="00095E2E">
      <w:pPr>
        <w:pStyle w:val="Paragraphedeliste"/>
        <w:numPr>
          <w:ilvl w:val="0"/>
          <w:numId w:val="8"/>
        </w:numPr>
        <w:pBdr>
          <w:top w:val="nil"/>
          <w:left w:val="nil"/>
          <w:bottom w:val="nil"/>
          <w:right w:val="nil"/>
          <w:between w:val="nil"/>
        </w:pBdr>
        <w:spacing w:line="240" w:lineRule="auto"/>
        <w:jc w:val="center"/>
        <w:rPr>
          <w:b/>
          <w:bCs/>
        </w:rPr>
      </w:pPr>
      <w:r w:rsidRPr="00095E2E">
        <w:rPr>
          <w:b/>
          <w:bCs/>
        </w:rPr>
        <w:t>PRÉVISIONS DE REVENUS D’ÉNERGIR</w:t>
      </w:r>
    </w:p>
    <w:p w14:paraId="7DE8F456" w14:textId="77777777" w:rsidR="007F5C9A" w:rsidRDefault="007F5C9A">
      <w:pPr>
        <w:spacing w:line="240" w:lineRule="auto"/>
        <w:jc w:val="center"/>
      </w:pPr>
    </w:p>
    <w:p w14:paraId="5A5731B1" w14:textId="15A5D569" w:rsidR="00095E2E" w:rsidRPr="00095E2E" w:rsidRDefault="0025576E" w:rsidP="00095E2E">
      <w:pPr>
        <w:keepNext/>
        <w:tabs>
          <w:tab w:val="left" w:pos="720"/>
        </w:tabs>
        <w:spacing w:after="220" w:line="240" w:lineRule="auto"/>
        <w:jc w:val="both"/>
      </w:pPr>
      <w:r w:rsidRPr="00095E2E">
        <w:rPr>
          <w:b/>
        </w:rPr>
        <w:t>Référence</w:t>
      </w:r>
      <w:r w:rsidR="00095E2E" w:rsidRPr="00095E2E">
        <w:rPr>
          <w:b/>
        </w:rPr>
        <w:t>s</w:t>
      </w:r>
      <w:r w:rsidR="005E7407">
        <w:rPr>
          <w:b/>
        </w:rPr>
        <w:t> </w:t>
      </w:r>
      <w:r w:rsidRPr="00095E2E">
        <w:rPr>
          <w:b/>
        </w:rPr>
        <w:t>:</w:t>
      </w:r>
    </w:p>
    <w:p w14:paraId="3B86304A" w14:textId="3BB7575F" w:rsidR="00B80CE7" w:rsidRPr="00095E2E" w:rsidRDefault="0025576E" w:rsidP="00095E2E">
      <w:pPr>
        <w:keepNext/>
        <w:tabs>
          <w:tab w:val="left" w:pos="720"/>
        </w:tabs>
        <w:spacing w:after="220" w:line="240" w:lineRule="auto"/>
        <w:ind w:left="720" w:hanging="720"/>
        <w:jc w:val="both"/>
        <w:rPr>
          <w:bCs/>
        </w:rPr>
      </w:pPr>
      <w:r w:rsidRPr="00095E2E">
        <w:rPr>
          <w:bCs/>
        </w:rPr>
        <w:t xml:space="preserve">(i) </w:t>
      </w:r>
      <w:r w:rsidRPr="00095E2E">
        <w:rPr>
          <w:bCs/>
        </w:rPr>
        <w:tab/>
      </w:r>
      <w:bookmarkStart w:id="0" w:name="_Hlk137645229"/>
      <w:r w:rsidR="00A85609" w:rsidRPr="00095E2E">
        <w:rPr>
          <w:bCs/>
        </w:rPr>
        <w:t>Pièce</w:t>
      </w:r>
      <w:r w:rsidR="005E7407">
        <w:rPr>
          <w:bCs/>
        </w:rPr>
        <w:t> </w:t>
      </w:r>
      <w:r w:rsidR="00A85609" w:rsidRPr="00095E2E">
        <w:rPr>
          <w:bCs/>
        </w:rPr>
        <w:t>B-0902, Complément de preuve Étape E, suivi de la décision</w:t>
      </w:r>
      <w:r w:rsidR="005E7407">
        <w:rPr>
          <w:bCs/>
        </w:rPr>
        <w:t> </w:t>
      </w:r>
      <w:r w:rsidR="00A85609" w:rsidRPr="00095E2E">
        <w:rPr>
          <w:bCs/>
        </w:rPr>
        <w:t>D-2022-156, section</w:t>
      </w:r>
      <w:r w:rsidR="005E7407">
        <w:rPr>
          <w:bCs/>
        </w:rPr>
        <w:t> </w:t>
      </w:r>
      <w:r w:rsidR="00A85609" w:rsidRPr="00095E2E">
        <w:rPr>
          <w:bCs/>
        </w:rPr>
        <w:t>5, pages</w:t>
      </w:r>
      <w:r w:rsidR="005E7407">
        <w:rPr>
          <w:bCs/>
        </w:rPr>
        <w:t> </w:t>
      </w:r>
      <w:r w:rsidR="00A85609" w:rsidRPr="00095E2E">
        <w:rPr>
          <w:bCs/>
        </w:rPr>
        <w:t>9 et 10</w:t>
      </w:r>
      <w:r w:rsidR="00EB0067" w:rsidRPr="00095E2E">
        <w:rPr>
          <w:bCs/>
        </w:rPr>
        <w:t>;</w:t>
      </w:r>
    </w:p>
    <w:p w14:paraId="1B8F77E5" w14:textId="1E8950B5" w:rsidR="00264FAE" w:rsidRPr="00095E2E" w:rsidRDefault="00A85609" w:rsidP="00095E2E">
      <w:pPr>
        <w:keepNext/>
        <w:tabs>
          <w:tab w:val="left" w:pos="720"/>
        </w:tabs>
        <w:spacing w:after="220" w:line="240" w:lineRule="auto"/>
        <w:ind w:left="720" w:hanging="720"/>
        <w:jc w:val="both"/>
        <w:rPr>
          <w:bCs/>
        </w:rPr>
      </w:pPr>
      <w:r w:rsidRPr="00095E2E">
        <w:rPr>
          <w:bCs/>
        </w:rPr>
        <w:t>(ii)</w:t>
      </w:r>
      <w:r w:rsidRPr="00095E2E">
        <w:rPr>
          <w:bCs/>
        </w:rPr>
        <w:tab/>
        <w:t xml:space="preserve"> </w:t>
      </w:r>
      <w:r w:rsidR="005A3E50" w:rsidRPr="00095E2E">
        <w:rPr>
          <w:bCs/>
        </w:rPr>
        <w:t>Pièce</w:t>
      </w:r>
      <w:r w:rsidR="005E7407">
        <w:rPr>
          <w:bCs/>
        </w:rPr>
        <w:t> </w:t>
      </w:r>
      <w:r w:rsidR="005A3E50" w:rsidRPr="00095E2E">
        <w:rPr>
          <w:bCs/>
        </w:rPr>
        <w:t>B-0896</w:t>
      </w:r>
      <w:bookmarkEnd w:id="0"/>
      <w:r w:rsidR="005A3E50" w:rsidRPr="00095E2E">
        <w:rPr>
          <w:bCs/>
        </w:rPr>
        <w:t xml:space="preserve">, </w:t>
      </w:r>
      <w:r w:rsidR="00093E45" w:rsidRPr="00095E2E">
        <w:rPr>
          <w:bCs/>
        </w:rPr>
        <w:t xml:space="preserve">Preuve Étape E, </w:t>
      </w:r>
      <w:r w:rsidR="0025576E" w:rsidRPr="00095E2E">
        <w:rPr>
          <w:bCs/>
        </w:rPr>
        <w:t>section</w:t>
      </w:r>
      <w:r w:rsidR="005E7407">
        <w:rPr>
          <w:bCs/>
        </w:rPr>
        <w:t> </w:t>
      </w:r>
      <w:r w:rsidR="0025576E" w:rsidRPr="00095E2E">
        <w:rPr>
          <w:bCs/>
        </w:rPr>
        <w:t>5.</w:t>
      </w:r>
      <w:r w:rsidR="00533DDC" w:rsidRPr="00095E2E">
        <w:rPr>
          <w:bCs/>
        </w:rPr>
        <w:t>2,</w:t>
      </w:r>
      <w:r w:rsidR="0025576E" w:rsidRPr="00095E2E">
        <w:rPr>
          <w:bCs/>
        </w:rPr>
        <w:t xml:space="preserve"> page</w:t>
      </w:r>
      <w:r w:rsidR="005E7407">
        <w:rPr>
          <w:bCs/>
        </w:rPr>
        <w:t> </w:t>
      </w:r>
      <w:r w:rsidR="00533DDC" w:rsidRPr="00095E2E">
        <w:rPr>
          <w:bCs/>
        </w:rPr>
        <w:t>25</w:t>
      </w:r>
      <w:r w:rsidR="0025576E" w:rsidRPr="00095E2E">
        <w:rPr>
          <w:bCs/>
        </w:rPr>
        <w:t>, lignes</w:t>
      </w:r>
      <w:r w:rsidR="005E7407">
        <w:rPr>
          <w:bCs/>
        </w:rPr>
        <w:t> </w:t>
      </w:r>
      <w:r w:rsidR="0025576E" w:rsidRPr="00095E2E">
        <w:rPr>
          <w:bCs/>
        </w:rPr>
        <w:t>1</w:t>
      </w:r>
      <w:r w:rsidR="00533DDC" w:rsidRPr="00095E2E">
        <w:rPr>
          <w:bCs/>
        </w:rPr>
        <w:t>0</w:t>
      </w:r>
      <w:r w:rsidR="0025576E" w:rsidRPr="00095E2E">
        <w:rPr>
          <w:bCs/>
        </w:rPr>
        <w:t xml:space="preserve"> à </w:t>
      </w:r>
      <w:r w:rsidR="00533DDC" w:rsidRPr="00095E2E">
        <w:rPr>
          <w:bCs/>
        </w:rPr>
        <w:t>24</w:t>
      </w:r>
      <w:r w:rsidR="0033375C" w:rsidRPr="00095E2E">
        <w:rPr>
          <w:bCs/>
        </w:rPr>
        <w:t xml:space="preserve">; </w:t>
      </w:r>
    </w:p>
    <w:p w14:paraId="4109CC60" w14:textId="2292D444" w:rsidR="005A3E50" w:rsidRPr="00095E2E" w:rsidRDefault="005A3E50" w:rsidP="00095E2E">
      <w:pPr>
        <w:keepNext/>
        <w:tabs>
          <w:tab w:val="left" w:pos="720"/>
        </w:tabs>
        <w:spacing w:after="220" w:line="240" w:lineRule="auto"/>
        <w:ind w:left="720" w:hanging="720"/>
        <w:jc w:val="both"/>
        <w:rPr>
          <w:bCs/>
        </w:rPr>
      </w:pPr>
      <w:r w:rsidRPr="00095E2E">
        <w:rPr>
          <w:bCs/>
        </w:rPr>
        <w:t>(ii</w:t>
      </w:r>
      <w:r w:rsidR="001B6547" w:rsidRPr="00095E2E">
        <w:rPr>
          <w:bCs/>
        </w:rPr>
        <w:t>i</w:t>
      </w:r>
      <w:r w:rsidRPr="00095E2E">
        <w:rPr>
          <w:bCs/>
        </w:rPr>
        <w:t xml:space="preserve">) </w:t>
      </w:r>
      <w:r w:rsidRPr="00095E2E">
        <w:rPr>
          <w:bCs/>
        </w:rPr>
        <w:tab/>
      </w:r>
      <w:bookmarkStart w:id="1" w:name="_Hlk137751351"/>
      <w:bookmarkStart w:id="2" w:name="_Hlk137757170"/>
      <w:r w:rsidRPr="00095E2E">
        <w:rPr>
          <w:bCs/>
        </w:rPr>
        <w:t>Pièce</w:t>
      </w:r>
      <w:r w:rsidR="005E7407">
        <w:rPr>
          <w:bCs/>
        </w:rPr>
        <w:t> </w:t>
      </w:r>
      <w:r w:rsidRPr="00095E2E">
        <w:rPr>
          <w:bCs/>
        </w:rPr>
        <w:t xml:space="preserve">B-0896, </w:t>
      </w:r>
      <w:r w:rsidR="00093E45" w:rsidRPr="00095E2E">
        <w:rPr>
          <w:bCs/>
        </w:rPr>
        <w:t xml:space="preserve">Preuve Étape E, </w:t>
      </w:r>
      <w:r w:rsidRPr="00095E2E">
        <w:rPr>
          <w:bCs/>
        </w:rPr>
        <w:t>tableau</w:t>
      </w:r>
      <w:r w:rsidR="005E7407">
        <w:rPr>
          <w:bCs/>
        </w:rPr>
        <w:t> </w:t>
      </w:r>
      <w:r w:rsidRPr="00095E2E">
        <w:rPr>
          <w:bCs/>
        </w:rPr>
        <w:t>5; page</w:t>
      </w:r>
      <w:r w:rsidR="005E7407">
        <w:rPr>
          <w:bCs/>
        </w:rPr>
        <w:t> </w:t>
      </w:r>
      <w:r w:rsidRPr="00095E2E">
        <w:rPr>
          <w:bCs/>
        </w:rPr>
        <w:t>26</w:t>
      </w:r>
      <w:bookmarkEnd w:id="1"/>
      <w:bookmarkEnd w:id="2"/>
      <w:r w:rsidR="00AE69C1" w:rsidRPr="00095E2E">
        <w:rPr>
          <w:bCs/>
        </w:rPr>
        <w:t xml:space="preserve">, </w:t>
      </w:r>
      <w:r w:rsidRPr="00095E2E">
        <w:rPr>
          <w:bCs/>
        </w:rPr>
        <w:t>page</w:t>
      </w:r>
      <w:r w:rsidR="005E7407">
        <w:rPr>
          <w:bCs/>
        </w:rPr>
        <w:t> </w:t>
      </w:r>
      <w:r w:rsidRPr="00095E2E">
        <w:rPr>
          <w:bCs/>
        </w:rPr>
        <w:t>23, lignes</w:t>
      </w:r>
      <w:r w:rsidR="005E7407">
        <w:rPr>
          <w:bCs/>
        </w:rPr>
        <w:t> </w:t>
      </w:r>
      <w:r w:rsidRPr="00095E2E">
        <w:rPr>
          <w:bCs/>
        </w:rPr>
        <w:t>16 et 17; page</w:t>
      </w:r>
      <w:r w:rsidR="005E7407">
        <w:rPr>
          <w:bCs/>
        </w:rPr>
        <w:t> </w:t>
      </w:r>
      <w:r w:rsidRPr="00095E2E">
        <w:rPr>
          <w:bCs/>
        </w:rPr>
        <w:t>24, lignes</w:t>
      </w:r>
      <w:r w:rsidR="005E7407">
        <w:rPr>
          <w:bCs/>
        </w:rPr>
        <w:t> </w:t>
      </w:r>
      <w:r w:rsidRPr="00095E2E">
        <w:rPr>
          <w:bCs/>
        </w:rPr>
        <w:t>3 à 9; page</w:t>
      </w:r>
      <w:r w:rsidR="005E7407">
        <w:rPr>
          <w:bCs/>
        </w:rPr>
        <w:t> </w:t>
      </w:r>
      <w:r w:rsidRPr="00095E2E">
        <w:rPr>
          <w:bCs/>
        </w:rPr>
        <w:t>40, tableau</w:t>
      </w:r>
      <w:r w:rsidR="005E7407">
        <w:rPr>
          <w:bCs/>
        </w:rPr>
        <w:t> </w:t>
      </w:r>
      <w:r w:rsidRPr="00095E2E">
        <w:rPr>
          <w:bCs/>
        </w:rPr>
        <w:t>12</w:t>
      </w:r>
      <w:r w:rsidR="00EB0067" w:rsidRPr="00095E2E">
        <w:rPr>
          <w:bCs/>
        </w:rPr>
        <w:t>;</w:t>
      </w:r>
    </w:p>
    <w:p w14:paraId="47AD2E1E" w14:textId="39B41DEA" w:rsidR="007F5C9A" w:rsidRPr="00095E2E" w:rsidRDefault="00264FAE" w:rsidP="00095E2E">
      <w:pPr>
        <w:keepNext/>
        <w:tabs>
          <w:tab w:val="left" w:pos="720"/>
        </w:tabs>
        <w:spacing w:after="220" w:line="240" w:lineRule="auto"/>
        <w:ind w:left="720" w:hanging="720"/>
        <w:jc w:val="both"/>
        <w:rPr>
          <w:bCs/>
        </w:rPr>
      </w:pPr>
      <w:r w:rsidRPr="00095E2E">
        <w:rPr>
          <w:bCs/>
        </w:rPr>
        <w:t>(i</w:t>
      </w:r>
      <w:r w:rsidR="001B6547" w:rsidRPr="00095E2E">
        <w:rPr>
          <w:bCs/>
        </w:rPr>
        <w:t>v</w:t>
      </w:r>
      <w:r w:rsidRPr="00095E2E">
        <w:rPr>
          <w:bCs/>
        </w:rPr>
        <w:t>)</w:t>
      </w:r>
      <w:r w:rsidRPr="00095E2E">
        <w:rPr>
          <w:bCs/>
        </w:rPr>
        <w:tab/>
        <w:t>Pièce</w:t>
      </w:r>
      <w:r w:rsidR="005E7407">
        <w:rPr>
          <w:bCs/>
        </w:rPr>
        <w:t> </w:t>
      </w:r>
      <w:r w:rsidRPr="00095E2E">
        <w:rPr>
          <w:bCs/>
        </w:rPr>
        <w:t xml:space="preserve">B-0896, </w:t>
      </w:r>
      <w:r w:rsidR="00093E45" w:rsidRPr="00095E2E">
        <w:rPr>
          <w:bCs/>
        </w:rPr>
        <w:t xml:space="preserve">Preuve Étape E, </w:t>
      </w:r>
      <w:r w:rsidRPr="00095E2E">
        <w:rPr>
          <w:bCs/>
        </w:rPr>
        <w:t>section</w:t>
      </w:r>
      <w:r w:rsidR="005E7407">
        <w:rPr>
          <w:bCs/>
        </w:rPr>
        <w:t> </w:t>
      </w:r>
      <w:r w:rsidRPr="00095E2E">
        <w:rPr>
          <w:bCs/>
        </w:rPr>
        <w:t>5.1, page</w:t>
      </w:r>
      <w:r w:rsidR="005E7407">
        <w:rPr>
          <w:bCs/>
        </w:rPr>
        <w:t> </w:t>
      </w:r>
      <w:r w:rsidRPr="00095E2E">
        <w:rPr>
          <w:bCs/>
        </w:rPr>
        <w:t>23, lignes</w:t>
      </w:r>
      <w:r w:rsidR="005E7407">
        <w:rPr>
          <w:bCs/>
        </w:rPr>
        <w:t> </w:t>
      </w:r>
      <w:r w:rsidRPr="00095E2E">
        <w:rPr>
          <w:bCs/>
        </w:rPr>
        <w:t xml:space="preserve">16 et 17 </w:t>
      </w:r>
      <w:r w:rsidR="009A44A7" w:rsidRPr="00095E2E">
        <w:rPr>
          <w:bCs/>
        </w:rPr>
        <w:t xml:space="preserve">et </w:t>
      </w:r>
      <w:r w:rsidR="00156AFF" w:rsidRPr="00095E2E">
        <w:rPr>
          <w:bCs/>
        </w:rPr>
        <w:t>page</w:t>
      </w:r>
      <w:r w:rsidR="005E7407">
        <w:rPr>
          <w:bCs/>
        </w:rPr>
        <w:t> </w:t>
      </w:r>
      <w:r w:rsidR="00156AFF" w:rsidRPr="00095E2E">
        <w:rPr>
          <w:bCs/>
        </w:rPr>
        <w:t>24, lignes</w:t>
      </w:r>
      <w:r w:rsidR="005E7407">
        <w:rPr>
          <w:bCs/>
        </w:rPr>
        <w:t> </w:t>
      </w:r>
      <w:r w:rsidR="00156AFF" w:rsidRPr="00095E2E">
        <w:rPr>
          <w:bCs/>
        </w:rPr>
        <w:t xml:space="preserve">1 et 2; </w:t>
      </w:r>
    </w:p>
    <w:p w14:paraId="3E42ECF7" w14:textId="0036DF43" w:rsidR="007F5C9A" w:rsidRDefault="0025576E" w:rsidP="00095E2E">
      <w:pPr>
        <w:keepNext/>
        <w:tabs>
          <w:tab w:val="left" w:pos="720"/>
        </w:tabs>
        <w:spacing w:after="220" w:line="240" w:lineRule="auto"/>
        <w:ind w:left="720" w:hanging="720"/>
        <w:jc w:val="both"/>
        <w:rPr>
          <w:bCs/>
        </w:rPr>
      </w:pPr>
      <w:r w:rsidRPr="00095E2E">
        <w:rPr>
          <w:bCs/>
        </w:rPr>
        <w:t>(</w:t>
      </w:r>
      <w:r w:rsidR="005A3E50" w:rsidRPr="00095E2E">
        <w:rPr>
          <w:bCs/>
        </w:rPr>
        <w:t>v</w:t>
      </w:r>
      <w:r w:rsidRPr="00095E2E">
        <w:rPr>
          <w:bCs/>
        </w:rPr>
        <w:t>)</w:t>
      </w:r>
      <w:r w:rsidRPr="00095E2E">
        <w:rPr>
          <w:bCs/>
        </w:rPr>
        <w:tab/>
      </w:r>
      <w:r w:rsidR="00574C5F" w:rsidRPr="00095E2E">
        <w:rPr>
          <w:bCs/>
        </w:rPr>
        <w:t>Pièce</w:t>
      </w:r>
      <w:r w:rsidR="005E7407">
        <w:rPr>
          <w:bCs/>
        </w:rPr>
        <w:t> </w:t>
      </w:r>
      <w:r w:rsidR="00574C5F" w:rsidRPr="00095E2E">
        <w:rPr>
          <w:bCs/>
        </w:rPr>
        <w:t>B-0896, Preuve Étape E, section</w:t>
      </w:r>
      <w:r w:rsidR="005E7407">
        <w:rPr>
          <w:bCs/>
        </w:rPr>
        <w:t> </w:t>
      </w:r>
      <w:r w:rsidR="00574C5F" w:rsidRPr="00095E2E">
        <w:rPr>
          <w:bCs/>
        </w:rPr>
        <w:t>5.3, page</w:t>
      </w:r>
      <w:r w:rsidR="005E7407">
        <w:rPr>
          <w:bCs/>
        </w:rPr>
        <w:t> </w:t>
      </w:r>
      <w:r w:rsidR="00B121BD" w:rsidRPr="00095E2E">
        <w:rPr>
          <w:bCs/>
        </w:rPr>
        <w:t>26, lignes</w:t>
      </w:r>
      <w:r w:rsidR="005E7407">
        <w:rPr>
          <w:bCs/>
        </w:rPr>
        <w:t> </w:t>
      </w:r>
      <w:r w:rsidR="00574C5F" w:rsidRPr="00095E2E">
        <w:rPr>
          <w:bCs/>
        </w:rPr>
        <w:t>1 à 3, tableau</w:t>
      </w:r>
      <w:r w:rsidR="005E7407">
        <w:rPr>
          <w:bCs/>
        </w:rPr>
        <w:t> </w:t>
      </w:r>
      <w:r w:rsidR="00574C5F" w:rsidRPr="00095E2E">
        <w:rPr>
          <w:bCs/>
        </w:rPr>
        <w:t>6</w:t>
      </w:r>
      <w:r w:rsidR="00A96822" w:rsidRPr="00095E2E">
        <w:rPr>
          <w:bCs/>
        </w:rPr>
        <w:t>,</w:t>
      </w:r>
      <w:r w:rsidR="005E1A27" w:rsidRPr="00095E2E">
        <w:rPr>
          <w:bCs/>
        </w:rPr>
        <w:t xml:space="preserve"> tableau</w:t>
      </w:r>
      <w:r w:rsidR="005E7407">
        <w:rPr>
          <w:bCs/>
        </w:rPr>
        <w:t> </w:t>
      </w:r>
      <w:r w:rsidR="005E1A27" w:rsidRPr="00095E2E">
        <w:rPr>
          <w:bCs/>
        </w:rPr>
        <w:t>10,</w:t>
      </w:r>
      <w:r w:rsidR="00A96822" w:rsidRPr="00095E2E">
        <w:rPr>
          <w:bCs/>
        </w:rPr>
        <w:t xml:space="preserve"> tableau</w:t>
      </w:r>
      <w:r w:rsidR="005E7407">
        <w:rPr>
          <w:bCs/>
        </w:rPr>
        <w:t> </w:t>
      </w:r>
      <w:r w:rsidR="00A96822" w:rsidRPr="00095E2E">
        <w:rPr>
          <w:bCs/>
        </w:rPr>
        <w:t>12</w:t>
      </w:r>
      <w:r w:rsidR="00574C5F" w:rsidRPr="00095E2E">
        <w:rPr>
          <w:bCs/>
        </w:rPr>
        <w:t>.</w:t>
      </w:r>
      <w:r w:rsidR="00A96822" w:rsidRPr="00095E2E">
        <w:rPr>
          <w:bCs/>
        </w:rPr>
        <w:t xml:space="preserve"> </w:t>
      </w:r>
    </w:p>
    <w:p w14:paraId="28899AC5" w14:textId="098FC596" w:rsidR="007F5C9A" w:rsidRDefault="0025576E" w:rsidP="00095E2E">
      <w:pPr>
        <w:spacing w:after="220" w:line="240" w:lineRule="auto"/>
        <w:jc w:val="both"/>
      </w:pPr>
      <w:r>
        <w:rPr>
          <w:b/>
        </w:rPr>
        <w:t>Préambule</w:t>
      </w:r>
      <w:r w:rsidR="005E7407">
        <w:t> </w:t>
      </w:r>
      <w:r>
        <w:t>:</w:t>
      </w:r>
    </w:p>
    <w:p w14:paraId="4988D7BB" w14:textId="525E71BA" w:rsidR="00B80CE7" w:rsidRPr="00095E2E" w:rsidRDefault="0025576E">
      <w:pPr>
        <w:tabs>
          <w:tab w:val="left" w:pos="720"/>
        </w:tabs>
        <w:spacing w:after="220" w:line="240" w:lineRule="auto"/>
        <w:jc w:val="both"/>
        <w:rPr>
          <w:u w:val="single"/>
        </w:rPr>
      </w:pPr>
      <w:r w:rsidRPr="00095E2E">
        <w:rPr>
          <w:u w:val="single"/>
        </w:rPr>
        <w:t>Référence (i)</w:t>
      </w:r>
      <w:r w:rsidR="005E7407">
        <w:rPr>
          <w:u w:val="single"/>
        </w:rPr>
        <w:t> </w:t>
      </w:r>
      <w:r w:rsidRPr="00095E2E">
        <w:rPr>
          <w:u w:val="single"/>
        </w:rPr>
        <w:t>:</w:t>
      </w:r>
    </w:p>
    <w:p w14:paraId="7DEF8583" w14:textId="13A694BE" w:rsidR="00B80CE7" w:rsidRPr="00B80CE7" w:rsidRDefault="00B80CE7" w:rsidP="00B80CE7">
      <w:pPr>
        <w:pBdr>
          <w:top w:val="nil"/>
          <w:left w:val="nil"/>
          <w:bottom w:val="nil"/>
          <w:right w:val="nil"/>
          <w:between w:val="nil"/>
        </w:pBdr>
        <w:spacing w:after="240" w:line="240" w:lineRule="auto"/>
        <w:ind w:left="709" w:right="864"/>
        <w:jc w:val="both"/>
        <w:rPr>
          <w:i/>
        </w:rPr>
      </w:pPr>
      <w:r>
        <w:rPr>
          <w:i/>
        </w:rPr>
        <w:t>«</w:t>
      </w:r>
      <w:r w:rsidR="005E7407">
        <w:rPr>
          <w:i/>
        </w:rPr>
        <w:t> </w:t>
      </w:r>
      <w:r w:rsidRPr="00B80CE7">
        <w:rPr>
          <w:i/>
        </w:rPr>
        <w:t xml:space="preserve">La Régie demande à Énergir </w:t>
      </w:r>
      <w:r w:rsidR="005E7407">
        <w:rPr>
          <w:i/>
        </w:rPr>
        <w:t>“</w:t>
      </w:r>
      <w:r w:rsidRPr="00B80CE7">
        <w:rPr>
          <w:i/>
        </w:rPr>
        <w:t>[d’i]</w:t>
      </w:r>
      <w:proofErr w:type="spellStart"/>
      <w:r w:rsidRPr="00B80CE7">
        <w:rPr>
          <w:i/>
        </w:rPr>
        <w:t>ndiquer</w:t>
      </w:r>
      <w:proofErr w:type="spellEnd"/>
      <w:r w:rsidRPr="00B80CE7">
        <w:rPr>
          <w:i/>
        </w:rPr>
        <w:t xml:space="preserve"> le volume, la valeur monétaire des attributs environnementaux (ex. unités de conformités au RCP, </w:t>
      </w:r>
      <w:proofErr w:type="spellStart"/>
      <w:r w:rsidRPr="00B80CE7">
        <w:rPr>
          <w:i/>
        </w:rPr>
        <w:t>Renewable</w:t>
      </w:r>
      <w:proofErr w:type="spellEnd"/>
      <w:r w:rsidRPr="00B80CE7">
        <w:rPr>
          <w:i/>
        </w:rPr>
        <w:t xml:space="preserve"> Identification Numbers (</w:t>
      </w:r>
      <w:proofErr w:type="spellStart"/>
      <w:r w:rsidRPr="00B80CE7">
        <w:rPr>
          <w:i/>
        </w:rPr>
        <w:t>RINs</w:t>
      </w:r>
      <w:proofErr w:type="spellEnd"/>
      <w:r w:rsidRPr="00B80CE7">
        <w:rPr>
          <w:i/>
        </w:rPr>
        <w:t xml:space="preserve">), Low Carbon Fuel Standard (LCFS) ou autres), la stratégie de commercialisation de ces attributs environnementaux auprès de la clientèle d’Énergir et les éventuelles retombées pour la clientèle, pour chacun des contrats d’approvisionnement en </w:t>
      </w:r>
      <w:r w:rsidR="000605F3">
        <w:rPr>
          <w:i/>
        </w:rPr>
        <w:t>GNR</w:t>
      </w:r>
      <w:r w:rsidRPr="00B80CE7">
        <w:rPr>
          <w:i/>
        </w:rPr>
        <w:t xml:space="preserve"> identifiés à la pièce</w:t>
      </w:r>
      <w:r w:rsidR="005E7407">
        <w:rPr>
          <w:i/>
        </w:rPr>
        <w:t> </w:t>
      </w:r>
      <w:r w:rsidRPr="00B80CE7">
        <w:rPr>
          <w:i/>
        </w:rPr>
        <w:t>B-0851. Dans le cas où l’information n’est pas disponible, en préciser la raison</w:t>
      </w:r>
      <w:r w:rsidR="00574C5F">
        <w:rPr>
          <w:i/>
        </w:rPr>
        <w:t>.</w:t>
      </w:r>
    </w:p>
    <w:p w14:paraId="68E1EF7E" w14:textId="2EBA417D" w:rsidR="00B80CE7" w:rsidRPr="00B80CE7" w:rsidRDefault="00B80CE7" w:rsidP="00B80CE7">
      <w:pPr>
        <w:pBdr>
          <w:top w:val="nil"/>
          <w:left w:val="nil"/>
          <w:bottom w:val="nil"/>
          <w:right w:val="nil"/>
          <w:between w:val="nil"/>
        </w:pBdr>
        <w:spacing w:after="240" w:line="240" w:lineRule="auto"/>
        <w:ind w:left="709" w:right="864"/>
        <w:jc w:val="both"/>
        <w:rPr>
          <w:i/>
        </w:rPr>
      </w:pPr>
      <w:r w:rsidRPr="00B80CE7">
        <w:rPr>
          <w:i/>
        </w:rPr>
        <w:t>Énergir réfère la Régie aux sections suivantes de sa preuve relative à l’Étape E, pièce</w:t>
      </w:r>
      <w:r w:rsidR="005E7407">
        <w:rPr>
          <w:i/>
        </w:rPr>
        <w:t> </w:t>
      </w:r>
      <w:r w:rsidRPr="00B80CE7">
        <w:rPr>
          <w:i/>
        </w:rPr>
        <w:t>B-0896, Gaz Métro</w:t>
      </w:r>
      <w:r w:rsidR="005E7407">
        <w:rPr>
          <w:i/>
        </w:rPr>
        <w:t> </w:t>
      </w:r>
      <w:r w:rsidRPr="00B80CE7">
        <w:rPr>
          <w:i/>
        </w:rPr>
        <w:t>-12, Document</w:t>
      </w:r>
      <w:r w:rsidR="005E7407">
        <w:rPr>
          <w:i/>
        </w:rPr>
        <w:t> </w:t>
      </w:r>
      <w:r w:rsidRPr="00B80CE7">
        <w:rPr>
          <w:i/>
        </w:rPr>
        <w:t>1</w:t>
      </w:r>
      <w:r w:rsidR="005E7407">
        <w:rPr>
          <w:i/>
        </w:rPr>
        <w:t> </w:t>
      </w:r>
      <w:r w:rsidRPr="00B80CE7">
        <w:rPr>
          <w:i/>
        </w:rPr>
        <w:t xml:space="preserve">: </w:t>
      </w:r>
    </w:p>
    <w:p w14:paraId="3EADAD2F" w14:textId="397AE967" w:rsidR="00B80CE7" w:rsidRPr="00B80CE7" w:rsidRDefault="00B80CE7" w:rsidP="00B80CE7">
      <w:pPr>
        <w:pBdr>
          <w:top w:val="nil"/>
          <w:left w:val="nil"/>
          <w:bottom w:val="nil"/>
          <w:right w:val="nil"/>
          <w:between w:val="nil"/>
        </w:pBdr>
        <w:spacing w:after="240" w:line="240" w:lineRule="auto"/>
        <w:ind w:left="709" w:right="864"/>
        <w:jc w:val="both"/>
        <w:rPr>
          <w:i/>
        </w:rPr>
      </w:pPr>
      <w:r w:rsidRPr="00B80CE7">
        <w:rPr>
          <w:i/>
        </w:rPr>
        <w:t>• Volume des unités de conformité (UC) issues du GNR</w:t>
      </w:r>
      <w:r w:rsidR="005E7407">
        <w:rPr>
          <w:i/>
        </w:rPr>
        <w:t> </w:t>
      </w:r>
      <w:r w:rsidRPr="00B80CE7">
        <w:rPr>
          <w:i/>
        </w:rPr>
        <w:t>: Section</w:t>
      </w:r>
      <w:r w:rsidR="005E7407">
        <w:rPr>
          <w:i/>
        </w:rPr>
        <w:t> </w:t>
      </w:r>
      <w:r w:rsidRPr="00B80CE7">
        <w:rPr>
          <w:i/>
        </w:rPr>
        <w:t>5.1, page</w:t>
      </w:r>
      <w:r w:rsidR="005E7407">
        <w:rPr>
          <w:i/>
        </w:rPr>
        <w:t> </w:t>
      </w:r>
      <w:r w:rsidRPr="00B80CE7">
        <w:rPr>
          <w:i/>
        </w:rPr>
        <w:t>24, tableau</w:t>
      </w:r>
      <w:r w:rsidR="005E7407">
        <w:rPr>
          <w:i/>
        </w:rPr>
        <w:t> </w:t>
      </w:r>
      <w:r w:rsidRPr="00B80CE7">
        <w:rPr>
          <w:i/>
        </w:rPr>
        <w:t xml:space="preserve">4. 4 </w:t>
      </w:r>
    </w:p>
    <w:p w14:paraId="27D9B9F2" w14:textId="5E09A807" w:rsidR="00B80CE7" w:rsidRPr="00B80CE7" w:rsidRDefault="00B80CE7" w:rsidP="00B80CE7">
      <w:pPr>
        <w:pBdr>
          <w:top w:val="nil"/>
          <w:left w:val="nil"/>
          <w:bottom w:val="nil"/>
          <w:right w:val="nil"/>
          <w:between w:val="nil"/>
        </w:pBdr>
        <w:spacing w:after="240" w:line="240" w:lineRule="auto"/>
        <w:ind w:left="709" w:right="864"/>
        <w:jc w:val="both"/>
        <w:rPr>
          <w:i/>
        </w:rPr>
      </w:pPr>
      <w:r w:rsidRPr="00B80CE7">
        <w:rPr>
          <w:i/>
        </w:rPr>
        <w:t>• Valeur monétaire des UC</w:t>
      </w:r>
      <w:r w:rsidR="005E7407">
        <w:rPr>
          <w:i/>
        </w:rPr>
        <w:t> </w:t>
      </w:r>
      <w:r w:rsidRPr="00B80CE7">
        <w:rPr>
          <w:i/>
        </w:rPr>
        <w:t>: Section</w:t>
      </w:r>
      <w:r w:rsidR="005E7407">
        <w:rPr>
          <w:i/>
        </w:rPr>
        <w:t> </w:t>
      </w:r>
      <w:r w:rsidRPr="00B80CE7">
        <w:rPr>
          <w:i/>
        </w:rPr>
        <w:t>5.3, page</w:t>
      </w:r>
      <w:r w:rsidR="005E7407">
        <w:rPr>
          <w:i/>
        </w:rPr>
        <w:t> </w:t>
      </w:r>
      <w:r w:rsidRPr="00B80CE7">
        <w:rPr>
          <w:i/>
        </w:rPr>
        <w:t>26, tableau</w:t>
      </w:r>
      <w:r w:rsidR="005E7407">
        <w:rPr>
          <w:i/>
        </w:rPr>
        <w:t> </w:t>
      </w:r>
      <w:r w:rsidRPr="00B80CE7">
        <w:rPr>
          <w:i/>
        </w:rPr>
        <w:t xml:space="preserve">6. </w:t>
      </w:r>
    </w:p>
    <w:p w14:paraId="66BF3288" w14:textId="4DCC3891" w:rsidR="00B80CE7" w:rsidRPr="00B80CE7" w:rsidRDefault="00B80CE7" w:rsidP="00B80CE7">
      <w:pPr>
        <w:pBdr>
          <w:top w:val="nil"/>
          <w:left w:val="nil"/>
          <w:bottom w:val="nil"/>
          <w:right w:val="nil"/>
          <w:between w:val="nil"/>
        </w:pBdr>
        <w:spacing w:after="240" w:line="240" w:lineRule="auto"/>
        <w:ind w:left="709" w:right="864"/>
        <w:jc w:val="both"/>
        <w:rPr>
          <w:i/>
        </w:rPr>
      </w:pPr>
      <w:r w:rsidRPr="00B80CE7">
        <w:rPr>
          <w:i/>
        </w:rPr>
        <w:t>• Stratégie de commercialisation et retombées pour la clientèle</w:t>
      </w:r>
      <w:r w:rsidR="005E7407">
        <w:rPr>
          <w:i/>
        </w:rPr>
        <w:t> </w:t>
      </w:r>
      <w:r w:rsidRPr="00B80CE7">
        <w:rPr>
          <w:i/>
        </w:rPr>
        <w:t>: Section</w:t>
      </w:r>
      <w:r w:rsidR="005E7407">
        <w:rPr>
          <w:i/>
        </w:rPr>
        <w:t> </w:t>
      </w:r>
      <w:r w:rsidRPr="00B80CE7">
        <w:rPr>
          <w:i/>
        </w:rPr>
        <w:t xml:space="preserve">7. </w:t>
      </w:r>
    </w:p>
    <w:p w14:paraId="38D5D23F" w14:textId="6CF595C9" w:rsidR="00B80CE7" w:rsidRDefault="00B80CE7" w:rsidP="00095E2E">
      <w:pPr>
        <w:tabs>
          <w:tab w:val="left" w:pos="720"/>
        </w:tabs>
        <w:spacing w:after="220" w:line="240" w:lineRule="auto"/>
        <w:ind w:left="720"/>
        <w:jc w:val="both"/>
        <w:rPr>
          <w:iCs/>
        </w:rPr>
      </w:pPr>
      <w:r w:rsidRPr="00B80CE7">
        <w:rPr>
          <w:i/>
        </w:rPr>
        <w:lastRenderedPageBreak/>
        <w:t>Énergir entend adopter la même stratégie pour chacun des contrats d’approvisionnement en GNR identifiés à l’annexe</w:t>
      </w:r>
      <w:r w:rsidR="005E7407">
        <w:rPr>
          <w:i/>
        </w:rPr>
        <w:t> </w:t>
      </w:r>
      <w:r w:rsidRPr="00B80CE7">
        <w:rPr>
          <w:i/>
        </w:rPr>
        <w:t>1 de la pièce</w:t>
      </w:r>
      <w:r w:rsidR="005E7407">
        <w:rPr>
          <w:i/>
        </w:rPr>
        <w:t> </w:t>
      </w:r>
      <w:r w:rsidRPr="00B80CE7">
        <w:rPr>
          <w:i/>
        </w:rPr>
        <w:t>B-0850, Gaz Métro</w:t>
      </w:r>
      <w:r w:rsidR="005E7407">
        <w:rPr>
          <w:i/>
        </w:rPr>
        <w:t> </w:t>
      </w:r>
      <w:r w:rsidRPr="00B80CE7">
        <w:rPr>
          <w:i/>
        </w:rPr>
        <w:t>-11, Document</w:t>
      </w:r>
      <w:r w:rsidR="005E7407">
        <w:rPr>
          <w:i/>
        </w:rPr>
        <w:t> </w:t>
      </w:r>
      <w:r w:rsidRPr="00B80CE7">
        <w:rPr>
          <w:i/>
        </w:rPr>
        <w:t>4, lorsque les conditions contractuelles le permettent</w:t>
      </w:r>
      <w:r>
        <w:rPr>
          <w:i/>
        </w:rPr>
        <w:t>.</w:t>
      </w:r>
      <w:r w:rsidR="005E7407">
        <w:rPr>
          <w:i/>
        </w:rPr>
        <w:t>”</w:t>
      </w:r>
      <w:r>
        <w:rPr>
          <w:iCs/>
        </w:rPr>
        <w:t xml:space="preserve"> (notes de bas de page omises)</w:t>
      </w:r>
    </w:p>
    <w:p w14:paraId="4A80B3B1" w14:textId="4323DB83" w:rsidR="00A85609" w:rsidRPr="00095E2E" w:rsidRDefault="00A85609" w:rsidP="00B80CE7">
      <w:pPr>
        <w:tabs>
          <w:tab w:val="left" w:pos="720"/>
        </w:tabs>
        <w:spacing w:after="220" w:line="240" w:lineRule="auto"/>
        <w:jc w:val="both"/>
        <w:rPr>
          <w:iCs/>
          <w:u w:val="single"/>
        </w:rPr>
      </w:pPr>
      <w:r w:rsidRPr="00095E2E">
        <w:rPr>
          <w:iCs/>
          <w:u w:val="single"/>
        </w:rPr>
        <w:t>Référence (ii)</w:t>
      </w:r>
    </w:p>
    <w:p w14:paraId="50A1AA8E" w14:textId="679F9747" w:rsidR="00533DDC" w:rsidRPr="00533DDC" w:rsidRDefault="005E7407" w:rsidP="00264FAE">
      <w:pPr>
        <w:spacing w:after="240" w:line="240" w:lineRule="auto"/>
        <w:ind w:left="709" w:right="864"/>
        <w:jc w:val="both"/>
        <w:rPr>
          <w:i/>
        </w:rPr>
      </w:pPr>
      <w:r>
        <w:rPr>
          <w:i/>
        </w:rPr>
        <w:t>“</w:t>
      </w:r>
      <w:r w:rsidR="00533DDC" w:rsidRPr="00533DDC">
        <w:rPr>
          <w:i/>
        </w:rPr>
        <w:t xml:space="preserve">Les prix des UC seront déterminés par l’offre et la demande dans le cadre du mécanisme de cession des UC, tel que créé par le </w:t>
      </w:r>
      <w:r w:rsidR="05DE236E" w:rsidRPr="05DE236E">
        <w:rPr>
          <w:i/>
          <w:iCs/>
        </w:rPr>
        <w:t>RCP.</w:t>
      </w:r>
      <w:r w:rsidR="00533DDC" w:rsidRPr="00533DDC">
        <w:rPr>
          <w:i/>
        </w:rPr>
        <w:t xml:space="preserve"> Ce mécanisme n’étant pas encore en place, il n’est pas possible d’avoir une estimation précise du prix de vente des UC dans le marché.</w:t>
      </w:r>
    </w:p>
    <w:p w14:paraId="6518E9A4" w14:textId="3BB4517D" w:rsidR="00533DDC" w:rsidRPr="00533DDC" w:rsidRDefault="00533DDC" w:rsidP="00533DDC">
      <w:pPr>
        <w:spacing w:after="240" w:line="240" w:lineRule="auto"/>
        <w:ind w:left="709" w:right="864"/>
        <w:jc w:val="both"/>
        <w:rPr>
          <w:i/>
        </w:rPr>
      </w:pPr>
      <w:r w:rsidRPr="00533DDC">
        <w:rPr>
          <w:i/>
        </w:rPr>
        <w:t>Cependant, ECCC a réalisé une étude d’impact du RCP dans laquelle il est question d’un coût sociétal par tonne de GES. L’étude d’impact précise que</w:t>
      </w:r>
      <w:r w:rsidR="005E7407">
        <w:rPr>
          <w:i/>
        </w:rPr>
        <w:t> </w:t>
      </w:r>
      <w:r w:rsidRPr="00533DDC">
        <w:rPr>
          <w:i/>
        </w:rPr>
        <w:t>:</w:t>
      </w:r>
    </w:p>
    <w:p w14:paraId="07C8338A" w14:textId="4D9D7145" w:rsidR="00533DDC" w:rsidRPr="00533DDC" w:rsidRDefault="00533DDC" w:rsidP="00533DDC">
      <w:pPr>
        <w:spacing w:after="240" w:line="240" w:lineRule="auto"/>
        <w:ind w:left="709" w:right="864"/>
        <w:jc w:val="both"/>
        <w:rPr>
          <w:i/>
        </w:rPr>
      </w:pPr>
      <w:r w:rsidRPr="00533DDC">
        <w:rPr>
          <w:i/>
        </w:rPr>
        <w:t xml:space="preserve">• </w:t>
      </w:r>
      <w:r w:rsidR="005E7407">
        <w:rPr>
          <w:i/>
        </w:rPr>
        <w:t>‘</w:t>
      </w:r>
      <w:r w:rsidRPr="00533DDC">
        <w:rPr>
          <w:i/>
        </w:rPr>
        <w:t>[l]e coût social du carbone (CSC) est une mesure monétaire des dommages mondiaux nets du changement climatique résultant d'une tonne métrique supplémentaire d'émissions de CO2 pour une année donnée</w:t>
      </w:r>
      <w:r w:rsidR="005E7407">
        <w:rPr>
          <w:i/>
        </w:rPr>
        <w:t>’</w:t>
      </w:r>
      <w:r w:rsidRPr="00533DDC">
        <w:rPr>
          <w:i/>
        </w:rPr>
        <w:t>; et</w:t>
      </w:r>
    </w:p>
    <w:p w14:paraId="36FEB4EE" w14:textId="5AF1FBBE" w:rsidR="00CE5A7F" w:rsidRDefault="00533DDC" w:rsidP="00A85609">
      <w:pPr>
        <w:spacing w:after="240" w:line="240" w:lineRule="auto"/>
        <w:ind w:left="709" w:right="864"/>
        <w:jc w:val="both"/>
        <w:rPr>
          <w:i/>
        </w:rPr>
      </w:pPr>
      <w:r w:rsidRPr="00533DDC">
        <w:rPr>
          <w:i/>
        </w:rPr>
        <w:t xml:space="preserve">• </w:t>
      </w:r>
      <w:r w:rsidR="005E7407">
        <w:rPr>
          <w:i/>
        </w:rPr>
        <w:t>‘</w:t>
      </w:r>
      <w:r w:rsidRPr="00533DDC">
        <w:rPr>
          <w:i/>
        </w:rPr>
        <w:t>[l]es réductions des émissions de GES seront atteintes à un coût net sociétal par tonne qui est estimé à une valeur d’allant [sic] d’environ 111</w:t>
      </w:r>
      <w:r w:rsidR="005E7407">
        <w:rPr>
          <w:i/>
        </w:rPr>
        <w:t> </w:t>
      </w:r>
      <w:r w:rsidRPr="00533DDC">
        <w:rPr>
          <w:i/>
        </w:rPr>
        <w:t>$ à 186</w:t>
      </w:r>
      <w:r w:rsidR="005E7407">
        <w:rPr>
          <w:i/>
        </w:rPr>
        <w:t> </w:t>
      </w:r>
      <w:r w:rsidRPr="00533DDC">
        <w:rPr>
          <w:i/>
        </w:rPr>
        <w:t>$, l’estimation centrale étant de 151</w:t>
      </w:r>
      <w:r w:rsidR="005E7407">
        <w:rPr>
          <w:i/>
        </w:rPr>
        <w:t> </w:t>
      </w:r>
      <w:r w:rsidRPr="00533DDC">
        <w:rPr>
          <w:i/>
        </w:rPr>
        <w:t>$.</w:t>
      </w:r>
      <w:r w:rsidR="005E7407">
        <w:rPr>
          <w:i/>
        </w:rPr>
        <w:t>’</w:t>
      </w:r>
    </w:p>
    <w:p w14:paraId="2AC1E2CC" w14:textId="38168004" w:rsidR="007F5C9A" w:rsidRDefault="5CCC8D74" w:rsidP="5CCC8D74">
      <w:pPr>
        <w:spacing w:after="240" w:line="240" w:lineRule="auto"/>
        <w:ind w:left="709" w:right="864"/>
        <w:jc w:val="both"/>
        <w:rPr>
          <w:i/>
          <w:iCs/>
        </w:rPr>
      </w:pPr>
      <w:r w:rsidRPr="5CCC8D74">
        <w:rPr>
          <w:i/>
          <w:iCs/>
        </w:rPr>
        <w:t>Énergir prend pour hypothèse, aux fins du présent dossier, que les prix de vente des UC seront équivalents au coût sociétal par tonne de GES majoré par un taux d’inflation de 2</w:t>
      </w:r>
      <w:r w:rsidR="005E7407">
        <w:rPr>
          <w:i/>
          <w:iCs/>
        </w:rPr>
        <w:t> </w:t>
      </w:r>
      <w:r w:rsidRPr="5CCC8D74">
        <w:rPr>
          <w:i/>
          <w:iCs/>
        </w:rPr>
        <w:t xml:space="preserve">% par année. Le tableau ci-dessous présente les estimations des prix de vente des UC selon trois </w:t>
      </w:r>
      <w:r w:rsidRPr="00651971">
        <w:rPr>
          <w:i/>
          <w:iCs/>
        </w:rPr>
        <w:t>scénarios pour la</w:t>
      </w:r>
      <w:r w:rsidRPr="5CCC8D74">
        <w:rPr>
          <w:i/>
          <w:iCs/>
        </w:rPr>
        <w:t xml:space="preserve"> période</w:t>
      </w:r>
      <w:r w:rsidR="005E7407">
        <w:rPr>
          <w:i/>
          <w:iCs/>
        </w:rPr>
        <w:t> </w:t>
      </w:r>
      <w:r w:rsidRPr="5CCC8D74">
        <w:rPr>
          <w:i/>
          <w:iCs/>
        </w:rPr>
        <w:t>2022 à 2030 sur la base de ces hypothèses. </w:t>
      </w:r>
    </w:p>
    <w:p w14:paraId="5B96152E" w14:textId="19488136" w:rsidR="00A85609" w:rsidRPr="00095E2E" w:rsidRDefault="009B7CC5" w:rsidP="00095E2E">
      <w:pPr>
        <w:spacing w:after="240" w:line="240" w:lineRule="auto"/>
        <w:ind w:firstLine="720"/>
        <w:jc w:val="center"/>
      </w:pPr>
      <w:r w:rsidRPr="009B7CC5">
        <w:rPr>
          <w:noProof/>
        </w:rPr>
        <w:drawing>
          <wp:inline distT="0" distB="0" distL="0" distR="0" wp14:anchorId="54AD3684" wp14:editId="58B155EE">
            <wp:extent cx="5699362" cy="1515745"/>
            <wp:effectExtent l="19050" t="19050" r="15875" b="27305"/>
            <wp:docPr id="1742606923" name="Image 1742606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r="4073" b="12210"/>
                    <a:stretch/>
                  </pic:blipFill>
                  <pic:spPr bwMode="auto">
                    <a:xfrm>
                      <a:off x="0" y="0"/>
                      <a:ext cx="5701535" cy="1516323"/>
                    </a:xfrm>
                    <a:prstGeom prst="rect">
                      <a:avLst/>
                    </a:prstGeom>
                    <a:noFill/>
                    <a:ln w="9525" cap="flat" cmpd="sng" algn="ctr">
                      <a:solidFill>
                        <a:srgbClr val="4F81BD"/>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rsidR="005E7407">
        <w:rPr>
          <w:i/>
        </w:rPr>
        <w:t>”</w:t>
      </w:r>
    </w:p>
    <w:p w14:paraId="37AB5466" w14:textId="20DE1E81" w:rsidR="00264FAE" w:rsidRPr="00095E2E" w:rsidRDefault="00264FAE" w:rsidP="0033375C">
      <w:pPr>
        <w:spacing w:after="220" w:line="240" w:lineRule="auto"/>
        <w:jc w:val="both"/>
        <w:rPr>
          <w:iCs/>
          <w:u w:val="single"/>
        </w:rPr>
      </w:pPr>
      <w:r w:rsidRPr="00095E2E">
        <w:rPr>
          <w:iCs/>
          <w:u w:val="single"/>
        </w:rPr>
        <w:t>Référence (ii</w:t>
      </w:r>
      <w:r w:rsidR="00CE5A7F" w:rsidRPr="00095E2E">
        <w:rPr>
          <w:iCs/>
          <w:u w:val="single"/>
        </w:rPr>
        <w:t>i</w:t>
      </w:r>
      <w:r w:rsidRPr="00095E2E">
        <w:rPr>
          <w:iCs/>
          <w:u w:val="single"/>
        </w:rPr>
        <w:t>)</w:t>
      </w:r>
    </w:p>
    <w:p w14:paraId="795B5193" w14:textId="5D3273B5" w:rsidR="00156AFF" w:rsidRPr="00156AFF" w:rsidRDefault="005E7407" w:rsidP="0033375C">
      <w:pPr>
        <w:pBdr>
          <w:top w:val="nil"/>
          <w:left w:val="nil"/>
          <w:bottom w:val="nil"/>
          <w:right w:val="nil"/>
          <w:between w:val="nil"/>
        </w:pBdr>
        <w:spacing w:after="240" w:line="240" w:lineRule="auto"/>
        <w:ind w:left="709" w:right="864"/>
        <w:jc w:val="both"/>
        <w:rPr>
          <w:iCs/>
        </w:rPr>
      </w:pPr>
      <w:r>
        <w:rPr>
          <w:i/>
        </w:rPr>
        <w:t>“</w:t>
      </w:r>
      <w:r w:rsidR="0033375C" w:rsidRPr="008423C5">
        <w:rPr>
          <w:i/>
        </w:rPr>
        <w:t>Énergir pose l’hypothèse qu’un accord de création puisse être signé avec tous les producteurs de GNR au Canada avec qui elle détient ou détiendra un contrat d’approvisionnement et qu’elle sera en mesure de confirmer son statut d’importateur au sens du RCP pour tous les contrats visant l’importation de GNR au Canada</w:t>
      </w:r>
      <w:r w:rsidR="0033375C">
        <w:rPr>
          <w:i/>
        </w:rPr>
        <w:t>.</w:t>
      </w:r>
      <w:r>
        <w:rPr>
          <w:i/>
        </w:rPr>
        <w:t>”</w:t>
      </w:r>
      <w:r w:rsidR="00095E2E">
        <w:rPr>
          <w:i/>
        </w:rPr>
        <w:t xml:space="preserve"> </w:t>
      </w:r>
      <w:r w:rsidR="00156AFF" w:rsidRPr="00156AFF">
        <w:rPr>
          <w:iCs/>
        </w:rPr>
        <w:t>[</w:t>
      </w:r>
      <w:r>
        <w:rPr>
          <w:iCs/>
        </w:rPr>
        <w:t>…</w:t>
      </w:r>
      <w:r w:rsidR="00156AFF" w:rsidRPr="00156AFF">
        <w:rPr>
          <w:iCs/>
        </w:rPr>
        <w:t>]</w:t>
      </w:r>
    </w:p>
    <w:p w14:paraId="28D45214" w14:textId="77777777" w:rsidR="00C533B9" w:rsidRDefault="00C533B9" w:rsidP="005046E6">
      <w:pPr>
        <w:spacing w:after="220" w:line="240" w:lineRule="auto"/>
        <w:jc w:val="both"/>
        <w:rPr>
          <w:iCs/>
          <w:u w:val="single"/>
        </w:rPr>
      </w:pPr>
    </w:p>
    <w:p w14:paraId="66939476" w14:textId="263A6228" w:rsidR="005046E6" w:rsidRPr="00095E2E" w:rsidRDefault="005046E6" w:rsidP="005046E6">
      <w:pPr>
        <w:spacing w:after="220" w:line="240" w:lineRule="auto"/>
        <w:jc w:val="both"/>
        <w:rPr>
          <w:iCs/>
          <w:u w:val="single"/>
        </w:rPr>
      </w:pPr>
      <w:r w:rsidRPr="00095E2E">
        <w:rPr>
          <w:iCs/>
          <w:u w:val="single"/>
        </w:rPr>
        <w:lastRenderedPageBreak/>
        <w:t>Référence (iv)</w:t>
      </w:r>
    </w:p>
    <w:p w14:paraId="2E6B57BB" w14:textId="70D389D5" w:rsidR="00AC1B2B" w:rsidRPr="00AC1B2B" w:rsidRDefault="005E7407" w:rsidP="00095E2E">
      <w:pPr>
        <w:spacing w:after="220" w:line="240" w:lineRule="auto"/>
        <w:ind w:left="720"/>
        <w:jc w:val="both"/>
        <w:rPr>
          <w:i/>
        </w:rPr>
      </w:pPr>
      <w:r>
        <w:rPr>
          <w:i/>
        </w:rPr>
        <w:t>“</w:t>
      </w:r>
      <w:r w:rsidR="00AC1B2B" w:rsidRPr="00AC1B2B">
        <w:rPr>
          <w:i/>
        </w:rPr>
        <w:t>Ainsi, la Régie demande à Énergir de fournir les renseignements suivants par période de conformité jusqu’en 2030</w:t>
      </w:r>
      <w:r>
        <w:rPr>
          <w:i/>
        </w:rPr>
        <w:t> </w:t>
      </w:r>
      <w:r w:rsidR="00AC1B2B" w:rsidRPr="00AC1B2B">
        <w:rPr>
          <w:i/>
        </w:rPr>
        <w:t>:</w:t>
      </w:r>
    </w:p>
    <w:p w14:paraId="53363CC2" w14:textId="21A38790" w:rsidR="00AC1B2B" w:rsidRPr="00156AFF" w:rsidRDefault="00AC1B2B" w:rsidP="00095E2E">
      <w:pPr>
        <w:pBdr>
          <w:top w:val="nil"/>
          <w:left w:val="nil"/>
          <w:bottom w:val="nil"/>
          <w:right w:val="nil"/>
          <w:between w:val="nil"/>
        </w:pBdr>
        <w:spacing w:after="240" w:line="240" w:lineRule="auto"/>
        <w:ind w:left="720" w:right="864"/>
        <w:jc w:val="both"/>
        <w:rPr>
          <w:iCs/>
        </w:rPr>
      </w:pPr>
      <w:r w:rsidRPr="00156AFF">
        <w:rPr>
          <w:iCs/>
        </w:rPr>
        <w:t>[</w:t>
      </w:r>
      <w:r w:rsidR="005E7407">
        <w:rPr>
          <w:iCs/>
        </w:rPr>
        <w:t>…</w:t>
      </w:r>
      <w:r w:rsidRPr="00156AFF">
        <w:rPr>
          <w:iCs/>
        </w:rPr>
        <w:t>]</w:t>
      </w:r>
    </w:p>
    <w:p w14:paraId="2512CA6E" w14:textId="1A10FA23" w:rsidR="00AC1B2B" w:rsidRPr="00AC1B2B" w:rsidRDefault="00AC1B2B" w:rsidP="00095E2E">
      <w:pPr>
        <w:spacing w:after="220" w:line="240" w:lineRule="auto"/>
        <w:ind w:left="720"/>
        <w:jc w:val="both"/>
        <w:rPr>
          <w:i/>
        </w:rPr>
      </w:pPr>
      <w:r w:rsidRPr="00AC1B2B">
        <w:rPr>
          <w:i/>
        </w:rPr>
        <w:t>•</w:t>
      </w:r>
      <w:r w:rsidRPr="00AC1B2B">
        <w:rPr>
          <w:i/>
        </w:rPr>
        <w:tab/>
      </w:r>
      <w:r w:rsidRPr="00AC1B2B">
        <w:rPr>
          <w:i/>
          <w:u w:val="single"/>
        </w:rPr>
        <w:t xml:space="preserve">les quantités de </w:t>
      </w:r>
      <w:r w:rsidR="000605F3">
        <w:rPr>
          <w:i/>
          <w:u w:val="single"/>
        </w:rPr>
        <w:t>GNR</w:t>
      </w:r>
      <w:r w:rsidRPr="00AC1B2B">
        <w:rPr>
          <w:i/>
          <w:u w:val="single"/>
        </w:rPr>
        <w:t xml:space="preserve"> pour lesquelles les producteurs canadiens et américains pourraient choisir de conserver les droits de création des UC en utilisant l’hypothèse que ceux affiliés à des firmes sophistiquées comme Shell et BP conserveraient le droit de créer des UC</w:t>
      </w:r>
      <w:r w:rsidRPr="00AC1B2B">
        <w:rPr>
          <w:i/>
        </w:rPr>
        <w:t>;</w:t>
      </w:r>
    </w:p>
    <w:p w14:paraId="0CE4936A" w14:textId="6DA2B9BD" w:rsidR="00AC1B2B" w:rsidRPr="00AC1B2B" w:rsidRDefault="00AC1B2B" w:rsidP="00AC1B2B">
      <w:pPr>
        <w:pBdr>
          <w:top w:val="nil"/>
          <w:left w:val="nil"/>
          <w:bottom w:val="nil"/>
          <w:right w:val="nil"/>
          <w:between w:val="nil"/>
        </w:pBdr>
        <w:spacing w:after="240" w:line="240" w:lineRule="auto"/>
        <w:ind w:right="864" w:firstLine="720"/>
        <w:jc w:val="both"/>
        <w:rPr>
          <w:iCs/>
        </w:rPr>
      </w:pPr>
      <w:r w:rsidRPr="00AC1B2B">
        <w:rPr>
          <w:iCs/>
        </w:rPr>
        <w:t>[</w:t>
      </w:r>
      <w:r w:rsidR="005E7407">
        <w:rPr>
          <w:iCs/>
        </w:rPr>
        <w:t>…</w:t>
      </w:r>
      <w:r w:rsidRPr="00AC1B2B">
        <w:rPr>
          <w:iCs/>
        </w:rPr>
        <w:t>]</w:t>
      </w:r>
      <w:r w:rsidR="005E7407">
        <w:rPr>
          <w:iCs/>
        </w:rPr>
        <w:t>”</w:t>
      </w:r>
      <w:r w:rsidRPr="00AC1B2B">
        <w:rPr>
          <w:iCs/>
        </w:rPr>
        <w:t xml:space="preserve"> </w:t>
      </w:r>
      <w:r>
        <w:rPr>
          <w:iCs/>
        </w:rPr>
        <w:t>(nos soulignés)</w:t>
      </w:r>
    </w:p>
    <w:p w14:paraId="2179D2F4" w14:textId="646E108E" w:rsidR="00574C5F" w:rsidRPr="00095E2E" w:rsidRDefault="00574C5F" w:rsidP="00574C5F">
      <w:pPr>
        <w:spacing w:after="220" w:line="240" w:lineRule="auto"/>
        <w:jc w:val="both"/>
        <w:rPr>
          <w:iCs/>
          <w:u w:val="single"/>
        </w:rPr>
      </w:pPr>
      <w:r w:rsidRPr="00095E2E">
        <w:rPr>
          <w:iCs/>
          <w:u w:val="single"/>
        </w:rPr>
        <w:t>Référence (v)</w:t>
      </w:r>
    </w:p>
    <w:p w14:paraId="54BFB2B6" w14:textId="6002A102" w:rsidR="008423C5" w:rsidRPr="00C0010E" w:rsidRDefault="005E7407" w:rsidP="00095E2E">
      <w:pPr>
        <w:pBdr>
          <w:top w:val="nil"/>
          <w:left w:val="nil"/>
          <w:bottom w:val="nil"/>
          <w:right w:val="nil"/>
          <w:between w:val="nil"/>
        </w:pBdr>
        <w:spacing w:after="240" w:line="240" w:lineRule="auto"/>
        <w:ind w:left="709" w:right="864"/>
      </w:pPr>
      <w:r>
        <w:rPr>
          <w:iCs/>
        </w:rPr>
        <w:t>“</w:t>
      </w:r>
      <w:r w:rsidR="00574C5F" w:rsidRPr="00574C5F">
        <w:rPr>
          <w:i/>
        </w:rPr>
        <w:t>Sur la base des prévisions du nombre d’UC généré à partir du GNR de la section</w:t>
      </w:r>
      <w:r>
        <w:rPr>
          <w:i/>
        </w:rPr>
        <w:t> </w:t>
      </w:r>
      <w:r w:rsidR="00574C5F" w:rsidRPr="00574C5F">
        <w:rPr>
          <w:i/>
        </w:rPr>
        <w:t>1 5.1 ainsi que des estimations du prix de vente des UC présentées à la section</w:t>
      </w:r>
      <w:r>
        <w:rPr>
          <w:i/>
        </w:rPr>
        <w:t> </w:t>
      </w:r>
      <w:r w:rsidR="00574C5F" w:rsidRPr="00574C5F">
        <w:rPr>
          <w:i/>
        </w:rPr>
        <w:t>5.2, il est possible d’estimer la valeur potentielle brute générée par la vente des UC comme présenté au tableau</w:t>
      </w:r>
      <w:r>
        <w:rPr>
          <w:i/>
        </w:rPr>
        <w:t> </w:t>
      </w:r>
      <w:r w:rsidR="00574C5F" w:rsidRPr="00574C5F">
        <w:rPr>
          <w:i/>
        </w:rPr>
        <w:t>6.</w:t>
      </w:r>
      <w:r w:rsidR="003B6E43" w:rsidRPr="003B6E43">
        <w:rPr>
          <w:noProof/>
        </w:rPr>
        <w:drawing>
          <wp:anchor distT="0" distB="0" distL="114300" distR="114300" simplePos="0" relativeHeight="251658240" behindDoc="0" locked="0" layoutInCell="1" allowOverlap="1" wp14:anchorId="758C97BC" wp14:editId="0610D524">
            <wp:simplePos x="0" y="0"/>
            <wp:positionH relativeFrom="column">
              <wp:posOffset>0</wp:posOffset>
            </wp:positionH>
            <wp:positionV relativeFrom="paragraph">
              <wp:posOffset>0</wp:posOffset>
            </wp:positionV>
            <wp:extent cx="5943600" cy="1572260"/>
            <wp:effectExtent l="19050" t="19050" r="19050" b="27940"/>
            <wp:wrapTopAndBottom/>
            <wp:docPr id="931610184" name="Image 931610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572260"/>
                    </a:xfrm>
                    <a:prstGeom prst="rect">
                      <a:avLst/>
                    </a:prstGeom>
                    <a:noFill/>
                    <a:ln>
                      <a:solidFill>
                        <a:schemeClr val="accent1"/>
                      </a:solidFill>
                    </a:ln>
                  </pic:spPr>
                </pic:pic>
              </a:graphicData>
            </a:graphic>
          </wp:anchor>
        </w:drawing>
      </w:r>
      <w:r w:rsidR="003B6E43">
        <w:rPr>
          <w:noProof/>
        </w:rPr>
        <w:drawing>
          <wp:inline distT="0" distB="0" distL="0" distR="0" wp14:anchorId="411A115E" wp14:editId="3B1EF55F">
            <wp:extent cx="4572000" cy="2952750"/>
            <wp:effectExtent l="19050" t="19050" r="19050" b="19050"/>
            <wp:docPr id="256211684" name="Image 256211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6211684"/>
                    <pic:cNvPicPr/>
                  </pic:nvPicPr>
                  <pic:blipFill>
                    <a:blip r:embed="rId9">
                      <a:extLst>
                        <a:ext uri="{28A0092B-C50C-407E-A947-70E740481C1C}">
                          <a14:useLocalDpi xmlns:a14="http://schemas.microsoft.com/office/drawing/2010/main" val="0"/>
                        </a:ext>
                      </a:extLst>
                    </a:blip>
                    <a:stretch>
                      <a:fillRect/>
                    </a:stretch>
                  </pic:blipFill>
                  <pic:spPr>
                    <a:xfrm>
                      <a:off x="0" y="0"/>
                      <a:ext cx="4572000" cy="2952750"/>
                    </a:xfrm>
                    <a:prstGeom prst="rect">
                      <a:avLst/>
                    </a:prstGeom>
                    <a:ln>
                      <a:solidFill>
                        <a:schemeClr val="accent1"/>
                      </a:solidFill>
                    </a:ln>
                  </pic:spPr>
                </pic:pic>
              </a:graphicData>
            </a:graphic>
          </wp:inline>
        </w:drawing>
      </w:r>
      <w:r w:rsidR="5CCC8D74" w:rsidRPr="5CCC8D74">
        <w:rPr>
          <w:i/>
          <w:iCs/>
        </w:rPr>
        <w:t>»</w:t>
      </w:r>
    </w:p>
    <w:p w14:paraId="2F80EEA9" w14:textId="73549A0E" w:rsidR="7281830D" w:rsidRDefault="7281830D" w:rsidP="00783023">
      <w:pPr>
        <w:tabs>
          <w:tab w:val="left" w:pos="720"/>
        </w:tabs>
        <w:spacing w:after="220" w:line="240" w:lineRule="auto"/>
        <w:jc w:val="center"/>
      </w:pPr>
      <w:r>
        <w:rPr>
          <w:noProof/>
        </w:rPr>
        <w:lastRenderedPageBreak/>
        <w:drawing>
          <wp:inline distT="0" distB="0" distL="0" distR="0" wp14:anchorId="11B7D206" wp14:editId="09CC503A">
            <wp:extent cx="4572000" cy="2209800"/>
            <wp:effectExtent l="19050" t="19050" r="19050" b="19050"/>
            <wp:docPr id="1699136799" name="Image 1699136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99136799"/>
                    <pic:cNvPicPr/>
                  </pic:nvPicPr>
                  <pic:blipFill>
                    <a:blip r:embed="rId10">
                      <a:extLst>
                        <a:ext uri="{28A0092B-C50C-407E-A947-70E740481C1C}">
                          <a14:useLocalDpi xmlns:a14="http://schemas.microsoft.com/office/drawing/2010/main" val="0"/>
                        </a:ext>
                      </a:extLst>
                    </a:blip>
                    <a:stretch>
                      <a:fillRect/>
                    </a:stretch>
                  </pic:blipFill>
                  <pic:spPr>
                    <a:xfrm>
                      <a:off x="0" y="0"/>
                      <a:ext cx="4572000" cy="2209800"/>
                    </a:xfrm>
                    <a:prstGeom prst="rect">
                      <a:avLst/>
                    </a:prstGeom>
                    <a:ln>
                      <a:solidFill>
                        <a:schemeClr val="accent1"/>
                      </a:solidFill>
                    </a:ln>
                  </pic:spPr>
                </pic:pic>
              </a:graphicData>
            </a:graphic>
          </wp:inline>
        </w:drawing>
      </w:r>
    </w:p>
    <w:p w14:paraId="7C326FC0" w14:textId="02623838" w:rsidR="007F5C9A" w:rsidRDefault="0025576E">
      <w:pPr>
        <w:tabs>
          <w:tab w:val="left" w:pos="720"/>
        </w:tabs>
        <w:spacing w:after="220" w:line="240" w:lineRule="auto"/>
        <w:rPr>
          <w:b/>
          <w:u w:val="single"/>
        </w:rPr>
      </w:pPr>
      <w:r>
        <w:rPr>
          <w:b/>
          <w:u w:val="single"/>
        </w:rPr>
        <w:t>Demande</w:t>
      </w:r>
      <w:r w:rsidR="00574C5F">
        <w:rPr>
          <w:b/>
          <w:u w:val="single"/>
        </w:rPr>
        <w:t>s</w:t>
      </w:r>
      <w:r w:rsidR="005E7407">
        <w:rPr>
          <w:b/>
          <w:u w:val="single"/>
        </w:rPr>
        <w:t> </w:t>
      </w:r>
      <w:r>
        <w:rPr>
          <w:b/>
          <w:u w:val="single"/>
        </w:rPr>
        <w:t>:</w:t>
      </w:r>
    </w:p>
    <w:p w14:paraId="3569CBFC" w14:textId="5C9E1991" w:rsidR="007F5C9A" w:rsidRPr="00783023" w:rsidRDefault="0F9056AF" w:rsidP="0F9056AF">
      <w:pPr>
        <w:numPr>
          <w:ilvl w:val="1"/>
          <w:numId w:val="3"/>
        </w:numPr>
        <w:pBdr>
          <w:top w:val="nil"/>
          <w:left w:val="nil"/>
          <w:bottom w:val="nil"/>
          <w:right w:val="nil"/>
          <w:between w:val="nil"/>
        </w:pBdr>
        <w:tabs>
          <w:tab w:val="left" w:pos="720"/>
        </w:tabs>
        <w:spacing w:after="220" w:line="240" w:lineRule="auto"/>
        <w:ind w:left="709" w:hanging="709"/>
        <w:jc w:val="both"/>
      </w:pPr>
      <w:r>
        <w:t xml:space="preserve">Veuillez </w:t>
      </w:r>
      <w:r w:rsidR="00651971">
        <w:t>décrire le</w:t>
      </w:r>
      <w:r>
        <w:t xml:space="preserve"> </w:t>
      </w:r>
      <w:r w:rsidRPr="00783023">
        <w:t xml:space="preserve">balisage des marchés </w:t>
      </w:r>
      <w:r w:rsidR="00842FAE" w:rsidRPr="00783023">
        <w:t>des attributs environnementaux</w:t>
      </w:r>
      <w:r w:rsidRPr="00783023">
        <w:t>, notamment ceux au Canada et aux États-Unis, effectué par Énergir qui l’a mené à choisir exclusivement celui découlant du RCP.</w:t>
      </w:r>
    </w:p>
    <w:p w14:paraId="6E86AD0F" w14:textId="292B2104" w:rsidR="007F5C9A" w:rsidRPr="00783023" w:rsidRDefault="0F9056AF" w:rsidP="0F9056AF">
      <w:pPr>
        <w:numPr>
          <w:ilvl w:val="1"/>
          <w:numId w:val="3"/>
        </w:numPr>
        <w:pBdr>
          <w:top w:val="nil"/>
          <w:left w:val="nil"/>
          <w:bottom w:val="nil"/>
          <w:right w:val="nil"/>
          <w:between w:val="nil"/>
        </w:pBdr>
        <w:tabs>
          <w:tab w:val="left" w:pos="720"/>
        </w:tabs>
        <w:spacing w:after="220" w:line="240" w:lineRule="auto"/>
        <w:ind w:left="709" w:hanging="709"/>
        <w:jc w:val="both"/>
      </w:pPr>
      <w:r w:rsidRPr="00783023">
        <w:t>Veuillez décrire les critères utilisés par Énergir dans ce balisage.</w:t>
      </w:r>
    </w:p>
    <w:p w14:paraId="5F99ED6E" w14:textId="1B72D7C6" w:rsidR="007F5C9A" w:rsidRPr="00783023" w:rsidRDefault="0F9056AF" w:rsidP="0F9056AF">
      <w:pPr>
        <w:numPr>
          <w:ilvl w:val="1"/>
          <w:numId w:val="3"/>
        </w:numPr>
        <w:pBdr>
          <w:top w:val="nil"/>
          <w:left w:val="nil"/>
          <w:bottom w:val="nil"/>
          <w:right w:val="nil"/>
          <w:between w:val="nil"/>
        </w:pBdr>
        <w:tabs>
          <w:tab w:val="left" w:pos="720"/>
        </w:tabs>
        <w:spacing w:after="220" w:line="240" w:lineRule="auto"/>
        <w:ind w:left="709" w:hanging="709"/>
        <w:jc w:val="both"/>
      </w:pPr>
      <w:r w:rsidRPr="00783023">
        <w:t>Veuillez décrire les marchés analysés par Énergir en fonction des critères d’analyse.</w:t>
      </w:r>
    </w:p>
    <w:p w14:paraId="35F61043" w14:textId="553B26DC" w:rsidR="007F5C9A" w:rsidRPr="00783023" w:rsidRDefault="0F9056AF" w:rsidP="0F9056AF">
      <w:pPr>
        <w:numPr>
          <w:ilvl w:val="1"/>
          <w:numId w:val="3"/>
        </w:numPr>
        <w:pBdr>
          <w:top w:val="nil"/>
          <w:left w:val="nil"/>
          <w:bottom w:val="nil"/>
          <w:right w:val="nil"/>
          <w:between w:val="nil"/>
        </w:pBdr>
        <w:tabs>
          <w:tab w:val="left" w:pos="720"/>
        </w:tabs>
        <w:spacing w:after="220" w:line="240" w:lineRule="auto"/>
        <w:ind w:left="709" w:hanging="709"/>
        <w:jc w:val="both"/>
      </w:pPr>
      <w:r w:rsidRPr="00783023">
        <w:t xml:space="preserve">À la connaissance d’Énergir, </w:t>
      </w:r>
      <w:r w:rsidR="00783023" w:rsidRPr="00783023">
        <w:t>existe-t</w:t>
      </w:r>
      <w:r w:rsidR="00F806E7" w:rsidRPr="00783023">
        <w:t>-il</w:t>
      </w:r>
      <w:r w:rsidRPr="00783023">
        <w:t xml:space="preserve"> d’autres marchés ou stratégies de valorisation des attributs environnementaux du GSR qui n’ont pas fait partie de ce balisage? Si oui, expliquez pourquoi ces marchés ou ses stratégies n’ont pas fait partie du balisage? </w:t>
      </w:r>
    </w:p>
    <w:p w14:paraId="69D90EDB" w14:textId="67BAABB4" w:rsidR="007B4BC4" w:rsidRPr="00783023" w:rsidRDefault="0F9056AF">
      <w:pPr>
        <w:numPr>
          <w:ilvl w:val="1"/>
          <w:numId w:val="3"/>
        </w:numPr>
        <w:pBdr>
          <w:top w:val="nil"/>
          <w:left w:val="nil"/>
          <w:bottom w:val="nil"/>
          <w:right w:val="nil"/>
          <w:between w:val="nil"/>
        </w:pBdr>
        <w:tabs>
          <w:tab w:val="left" w:pos="720"/>
        </w:tabs>
        <w:spacing w:after="220" w:line="240" w:lineRule="auto"/>
        <w:ind w:left="709" w:hanging="709"/>
        <w:jc w:val="both"/>
      </w:pPr>
      <w:r w:rsidRPr="00783023">
        <w:t xml:space="preserve">Dans l’affirmative, veuille expliquer comment se comparent les prévisions de prix des produits équivalent avec celles de l’étude d’impact </w:t>
      </w:r>
      <w:r w:rsidR="005E7407">
        <w:t>réglementaire</w:t>
      </w:r>
      <w:r w:rsidRPr="00783023">
        <w:t xml:space="preserve"> (ii) produite par Environnement et Changements climatiques Canada (ECCC). </w:t>
      </w:r>
    </w:p>
    <w:p w14:paraId="4FE9F9A1" w14:textId="3CB04720" w:rsidR="00842FAE" w:rsidRPr="00783023" w:rsidRDefault="0F9056AF" w:rsidP="00842FAE">
      <w:pPr>
        <w:numPr>
          <w:ilvl w:val="1"/>
          <w:numId w:val="3"/>
        </w:numPr>
        <w:pBdr>
          <w:top w:val="nil"/>
          <w:left w:val="nil"/>
          <w:bottom w:val="nil"/>
          <w:right w:val="nil"/>
          <w:between w:val="nil"/>
        </w:pBdr>
        <w:tabs>
          <w:tab w:val="left" w:pos="720"/>
        </w:tabs>
        <w:spacing w:after="220" w:line="240" w:lineRule="auto"/>
        <w:ind w:left="709" w:hanging="709"/>
        <w:jc w:val="both"/>
        <w:rPr>
          <w:rStyle w:val="cf01"/>
          <w:rFonts w:ascii="Arial" w:hAnsi="Arial" w:cs="Arial"/>
          <w:sz w:val="22"/>
          <w:szCs w:val="22"/>
        </w:rPr>
      </w:pPr>
      <w:r w:rsidRPr="00783023">
        <w:t>En lien avec la référence (iii)</w:t>
      </w:r>
      <w:r w:rsidR="00842FAE" w:rsidRPr="00783023">
        <w:t>, veuillez</w:t>
      </w:r>
      <w:r w:rsidRPr="00783023">
        <w:t xml:space="preserve"> </w:t>
      </w:r>
      <w:r w:rsidR="00842FAE" w:rsidRPr="00783023">
        <w:t>f</w:t>
      </w:r>
      <w:r w:rsidRPr="00783023">
        <w:t>ournir une mise à jour des démarches d’Énergir en vue de la conclusion d’entente de création et le détail des ententes de création déjà conclues, le cas échéant</w:t>
      </w:r>
      <w:r w:rsidRPr="00783023">
        <w:rPr>
          <w:rStyle w:val="cf01"/>
        </w:rPr>
        <w:t>.</w:t>
      </w:r>
    </w:p>
    <w:p w14:paraId="6FB508A0" w14:textId="5F4E0A32" w:rsidR="0032319A" w:rsidRDefault="0F9056AF" w:rsidP="00842FAE">
      <w:pPr>
        <w:numPr>
          <w:ilvl w:val="1"/>
          <w:numId w:val="3"/>
        </w:numPr>
        <w:pBdr>
          <w:top w:val="nil"/>
          <w:left w:val="nil"/>
          <w:bottom w:val="nil"/>
          <w:right w:val="nil"/>
          <w:between w:val="nil"/>
        </w:pBdr>
        <w:tabs>
          <w:tab w:val="left" w:pos="720"/>
        </w:tabs>
        <w:spacing w:after="220" w:line="240" w:lineRule="auto"/>
        <w:ind w:left="709" w:hanging="709"/>
        <w:jc w:val="both"/>
      </w:pPr>
      <w:r w:rsidRPr="00783023">
        <w:t>Veuillez élaborer sur la position concurrentielle d’Énergir face à des joueurs de plus grande envergure tels les premiers</w:t>
      </w:r>
      <w:r>
        <w:t xml:space="preserve"> fournisseurs dans le sens du RCP, dans la conclusion d’ententes au Canada et aux USA pour la création d’UC dans le cadre du RCP (iv).</w:t>
      </w:r>
    </w:p>
    <w:p w14:paraId="4393DAC7" w14:textId="1CC273DE" w:rsidR="00BF34E9" w:rsidRDefault="0F9056AF" w:rsidP="00BF34E9">
      <w:pPr>
        <w:numPr>
          <w:ilvl w:val="1"/>
          <w:numId w:val="3"/>
        </w:numPr>
        <w:pBdr>
          <w:top w:val="nil"/>
          <w:left w:val="nil"/>
          <w:bottom w:val="nil"/>
          <w:right w:val="nil"/>
          <w:between w:val="nil"/>
        </w:pBdr>
        <w:tabs>
          <w:tab w:val="left" w:pos="720"/>
        </w:tabs>
        <w:spacing w:after="220" w:line="240" w:lineRule="auto"/>
        <w:ind w:left="709" w:hanging="709"/>
        <w:jc w:val="both"/>
      </w:pPr>
      <w:r>
        <w:t>À partir du gabarit du tableau</w:t>
      </w:r>
      <w:r w:rsidR="005E7407">
        <w:t> </w:t>
      </w:r>
      <w:r>
        <w:t>6 et des tableaux</w:t>
      </w:r>
      <w:r w:rsidR="005E7407">
        <w:t> </w:t>
      </w:r>
      <w:r>
        <w:t xml:space="preserve">10 et 12 (v), veuillez produire un tableau des revenus nets estimés de l’achat et de la vente d’UC. </w:t>
      </w:r>
    </w:p>
    <w:p w14:paraId="2C4FA76C" w14:textId="4055A735" w:rsidR="00810028" w:rsidRPr="00BF34E9" w:rsidRDefault="0F9056AF" w:rsidP="00BF34E9">
      <w:pPr>
        <w:numPr>
          <w:ilvl w:val="1"/>
          <w:numId w:val="3"/>
        </w:numPr>
        <w:pBdr>
          <w:top w:val="nil"/>
          <w:left w:val="nil"/>
          <w:bottom w:val="nil"/>
          <w:right w:val="nil"/>
          <w:between w:val="nil"/>
        </w:pBdr>
        <w:tabs>
          <w:tab w:val="left" w:pos="720"/>
        </w:tabs>
        <w:spacing w:after="220" w:line="240" w:lineRule="auto"/>
        <w:ind w:left="709" w:hanging="709"/>
        <w:jc w:val="both"/>
      </w:pPr>
      <w:r>
        <w:t>Veuillez donner, pour la période</w:t>
      </w:r>
      <w:r w:rsidR="005E7407">
        <w:t> </w:t>
      </w:r>
      <w:r>
        <w:t>2022-2030, une estimation de la valeur nette potentielle provenant de la vente d’UC créée à partir de la filière québécoise de GNR.</w:t>
      </w:r>
    </w:p>
    <w:p w14:paraId="0AF769B3" w14:textId="77777777" w:rsidR="00095E2E" w:rsidRDefault="00095E2E">
      <w:pPr>
        <w:tabs>
          <w:tab w:val="left" w:pos="720"/>
        </w:tabs>
        <w:spacing w:after="220" w:line="240" w:lineRule="auto"/>
        <w:jc w:val="center"/>
      </w:pPr>
      <w:r>
        <w:br w:type="page"/>
      </w:r>
    </w:p>
    <w:p w14:paraId="15A8BAA4" w14:textId="721AD8AD" w:rsidR="00BF09EB" w:rsidRPr="00095E2E" w:rsidRDefault="00BF09EB" w:rsidP="00095E2E">
      <w:pPr>
        <w:pStyle w:val="Paragraphedeliste"/>
        <w:numPr>
          <w:ilvl w:val="0"/>
          <w:numId w:val="3"/>
        </w:numPr>
        <w:tabs>
          <w:tab w:val="left" w:pos="720"/>
        </w:tabs>
        <w:spacing w:after="220" w:line="240" w:lineRule="auto"/>
        <w:jc w:val="center"/>
        <w:rPr>
          <w:b/>
          <w:bCs/>
        </w:rPr>
      </w:pPr>
      <w:r w:rsidRPr="00095E2E">
        <w:rPr>
          <w:b/>
          <w:bCs/>
        </w:rPr>
        <w:lastRenderedPageBreak/>
        <w:t xml:space="preserve">IMPACTS SUR LA DEMANDE ET LA PRODUCTION DE </w:t>
      </w:r>
      <w:r w:rsidR="000605F3" w:rsidRPr="00095E2E">
        <w:rPr>
          <w:b/>
          <w:bCs/>
        </w:rPr>
        <w:t>GNR</w:t>
      </w:r>
    </w:p>
    <w:p w14:paraId="5BC7ECB3" w14:textId="3C3FEDC7" w:rsidR="00095E2E" w:rsidRDefault="0025576E" w:rsidP="00095E2E">
      <w:pPr>
        <w:keepNext/>
        <w:pBdr>
          <w:top w:val="nil"/>
          <w:left w:val="nil"/>
          <w:bottom w:val="nil"/>
          <w:right w:val="nil"/>
          <w:between w:val="nil"/>
        </w:pBdr>
        <w:tabs>
          <w:tab w:val="left" w:pos="720"/>
        </w:tabs>
        <w:spacing w:after="220" w:line="240" w:lineRule="auto"/>
        <w:jc w:val="both"/>
      </w:pPr>
      <w:r>
        <w:rPr>
          <w:b/>
        </w:rPr>
        <w:t>Référence</w:t>
      </w:r>
      <w:r w:rsidR="00095E2E">
        <w:rPr>
          <w:b/>
        </w:rPr>
        <w:t>s</w:t>
      </w:r>
      <w:r w:rsidR="005E7407">
        <w:rPr>
          <w:b/>
        </w:rPr>
        <w:t> </w:t>
      </w:r>
      <w:r>
        <w:rPr>
          <w:b/>
        </w:rPr>
        <w:t xml:space="preserve">:  </w:t>
      </w:r>
    </w:p>
    <w:p w14:paraId="497DB0C1" w14:textId="0B097397" w:rsidR="00095E2E" w:rsidRPr="00C533B9" w:rsidRDefault="0025576E" w:rsidP="00095E2E">
      <w:pPr>
        <w:keepNext/>
        <w:pBdr>
          <w:top w:val="nil"/>
          <w:left w:val="nil"/>
          <w:bottom w:val="nil"/>
          <w:right w:val="nil"/>
          <w:between w:val="nil"/>
        </w:pBdr>
        <w:tabs>
          <w:tab w:val="left" w:pos="720"/>
        </w:tabs>
        <w:spacing w:after="220" w:line="240" w:lineRule="auto"/>
        <w:jc w:val="both"/>
        <w:rPr>
          <w:bCs/>
        </w:rPr>
      </w:pPr>
      <w:r w:rsidRPr="00C533B9">
        <w:rPr>
          <w:bCs/>
        </w:rPr>
        <w:t xml:space="preserve">(i) </w:t>
      </w:r>
      <w:r w:rsidR="0084718C" w:rsidRPr="00C533B9">
        <w:rPr>
          <w:bCs/>
        </w:rPr>
        <w:t>Pièce</w:t>
      </w:r>
      <w:r w:rsidR="005E7407">
        <w:rPr>
          <w:bCs/>
        </w:rPr>
        <w:t> </w:t>
      </w:r>
      <w:r w:rsidR="0084718C" w:rsidRPr="00C533B9">
        <w:rPr>
          <w:bCs/>
        </w:rPr>
        <w:t>B-0896</w:t>
      </w:r>
      <w:r w:rsidR="7281830D" w:rsidRPr="00C533B9">
        <w:rPr>
          <w:bCs/>
        </w:rPr>
        <w:t>,</w:t>
      </w:r>
      <w:r w:rsidR="00F74DE2" w:rsidRPr="00C533B9">
        <w:rPr>
          <w:bCs/>
        </w:rPr>
        <w:t xml:space="preserve"> page</w:t>
      </w:r>
      <w:r w:rsidR="005E7407">
        <w:rPr>
          <w:bCs/>
        </w:rPr>
        <w:t> </w:t>
      </w:r>
      <w:r w:rsidR="001C4224" w:rsidRPr="00C533B9">
        <w:rPr>
          <w:bCs/>
        </w:rPr>
        <w:t>45</w:t>
      </w:r>
      <w:r w:rsidR="00F74DE2" w:rsidRPr="00C533B9">
        <w:rPr>
          <w:bCs/>
        </w:rPr>
        <w:t>, lignes</w:t>
      </w:r>
      <w:r w:rsidR="005E7407">
        <w:rPr>
          <w:bCs/>
        </w:rPr>
        <w:t> </w:t>
      </w:r>
      <w:r w:rsidR="002A59DA" w:rsidRPr="00C533B9">
        <w:rPr>
          <w:bCs/>
        </w:rPr>
        <w:t xml:space="preserve">5 à 18; </w:t>
      </w:r>
      <w:r w:rsidR="00036E1B" w:rsidRPr="00C533B9">
        <w:rPr>
          <w:bCs/>
        </w:rPr>
        <w:t>tableau</w:t>
      </w:r>
      <w:r w:rsidR="005E7407">
        <w:rPr>
          <w:bCs/>
        </w:rPr>
        <w:t> </w:t>
      </w:r>
      <w:r w:rsidR="00036E1B" w:rsidRPr="00C533B9">
        <w:rPr>
          <w:bCs/>
        </w:rPr>
        <w:t>16</w:t>
      </w:r>
    </w:p>
    <w:p w14:paraId="66EF4C70" w14:textId="28C1A625" w:rsidR="7281830D" w:rsidRPr="00C533B9" w:rsidRDefault="7281830D" w:rsidP="00095E2E">
      <w:pPr>
        <w:keepNext/>
        <w:pBdr>
          <w:top w:val="nil"/>
          <w:left w:val="nil"/>
          <w:bottom w:val="nil"/>
          <w:right w:val="nil"/>
          <w:between w:val="nil"/>
        </w:pBdr>
        <w:tabs>
          <w:tab w:val="left" w:pos="720"/>
        </w:tabs>
        <w:spacing w:after="220" w:line="240" w:lineRule="auto"/>
        <w:jc w:val="both"/>
        <w:rPr>
          <w:bCs/>
        </w:rPr>
      </w:pPr>
      <w:r w:rsidRPr="00C533B9">
        <w:rPr>
          <w:bCs/>
        </w:rPr>
        <w:t>(ii) Pièce</w:t>
      </w:r>
      <w:r w:rsidR="005E7407">
        <w:rPr>
          <w:bCs/>
        </w:rPr>
        <w:t> </w:t>
      </w:r>
      <w:r w:rsidRPr="00C533B9">
        <w:rPr>
          <w:bCs/>
        </w:rPr>
        <w:t xml:space="preserve">B-0732, Preuve </w:t>
      </w:r>
      <w:r w:rsidR="00B121BD" w:rsidRPr="00C533B9">
        <w:rPr>
          <w:bCs/>
        </w:rPr>
        <w:t xml:space="preserve">Énergir, </w:t>
      </w:r>
      <w:r w:rsidRPr="00C533B9">
        <w:rPr>
          <w:bCs/>
        </w:rPr>
        <w:t>Étape D, section</w:t>
      </w:r>
      <w:r w:rsidR="005E7407">
        <w:rPr>
          <w:bCs/>
        </w:rPr>
        <w:t> </w:t>
      </w:r>
      <w:r w:rsidRPr="00C533B9">
        <w:rPr>
          <w:bCs/>
        </w:rPr>
        <w:t>4.2.1, page</w:t>
      </w:r>
      <w:r w:rsidR="005E7407">
        <w:rPr>
          <w:bCs/>
        </w:rPr>
        <w:t> </w:t>
      </w:r>
      <w:r w:rsidRPr="00C533B9">
        <w:rPr>
          <w:bCs/>
        </w:rPr>
        <w:t>32, lignes</w:t>
      </w:r>
      <w:r w:rsidR="005E7407">
        <w:rPr>
          <w:bCs/>
        </w:rPr>
        <w:t> </w:t>
      </w:r>
      <w:r w:rsidRPr="00C533B9">
        <w:rPr>
          <w:bCs/>
        </w:rPr>
        <w:t>18 à 29; tableau</w:t>
      </w:r>
      <w:r w:rsidR="005E7407">
        <w:rPr>
          <w:bCs/>
        </w:rPr>
        <w:t> </w:t>
      </w:r>
      <w:r w:rsidRPr="00C533B9">
        <w:rPr>
          <w:bCs/>
        </w:rPr>
        <w:t>5 page</w:t>
      </w:r>
      <w:r w:rsidR="005E7407">
        <w:rPr>
          <w:bCs/>
        </w:rPr>
        <w:t> </w:t>
      </w:r>
      <w:r w:rsidRPr="00C533B9">
        <w:rPr>
          <w:bCs/>
        </w:rPr>
        <w:t>33.</w:t>
      </w:r>
    </w:p>
    <w:p w14:paraId="3ECDEA7F" w14:textId="1FB1DCA1" w:rsidR="007F5C9A" w:rsidRPr="00C533B9" w:rsidRDefault="0025576E">
      <w:pPr>
        <w:tabs>
          <w:tab w:val="left" w:pos="720"/>
        </w:tabs>
        <w:spacing w:after="220" w:line="240" w:lineRule="auto"/>
        <w:rPr>
          <w:b/>
        </w:rPr>
      </w:pPr>
      <w:r w:rsidRPr="00C533B9">
        <w:rPr>
          <w:b/>
        </w:rPr>
        <w:t>Préambule</w:t>
      </w:r>
      <w:r w:rsidR="005E7407">
        <w:rPr>
          <w:b/>
        </w:rPr>
        <w:t> </w:t>
      </w:r>
      <w:r w:rsidRPr="00C533B9">
        <w:rPr>
          <w:b/>
        </w:rPr>
        <w:t xml:space="preserve">: </w:t>
      </w:r>
    </w:p>
    <w:p w14:paraId="7CA9E240" w14:textId="03C61E26" w:rsidR="007F5C9A" w:rsidRPr="00095E2E" w:rsidRDefault="001E6C90">
      <w:pPr>
        <w:tabs>
          <w:tab w:val="left" w:pos="720"/>
        </w:tabs>
        <w:spacing w:after="220" w:line="240" w:lineRule="auto"/>
        <w:rPr>
          <w:bCs/>
          <w:u w:val="single"/>
        </w:rPr>
      </w:pPr>
      <w:r w:rsidRPr="00095E2E">
        <w:rPr>
          <w:bCs/>
          <w:u w:val="single"/>
        </w:rPr>
        <w:t>Référence (i)</w:t>
      </w:r>
    </w:p>
    <w:p w14:paraId="301470DF" w14:textId="796C8815" w:rsidR="006B1619" w:rsidRDefault="005E7407" w:rsidP="00DD2DE3">
      <w:pPr>
        <w:ind w:left="720"/>
        <w:jc w:val="both"/>
        <w:rPr>
          <w:iCs/>
        </w:rPr>
      </w:pPr>
      <w:r>
        <w:rPr>
          <w:iCs/>
        </w:rPr>
        <w:t>“</w:t>
      </w:r>
      <w:r w:rsidR="001A37CF" w:rsidRPr="001A37CF">
        <w:rPr>
          <w:i/>
        </w:rPr>
        <w:t>Comme mentionné à la section</w:t>
      </w:r>
      <w:r>
        <w:rPr>
          <w:i/>
        </w:rPr>
        <w:t> </w:t>
      </w:r>
      <w:r w:rsidR="001A37CF" w:rsidRPr="001A37CF">
        <w:rPr>
          <w:i/>
        </w:rPr>
        <w:t>7.4.2, Énergir propose de créer le CFR-Ventes d’UC afin de comptabiliser les revenus nets provenant de la vente des UC. Afin de disposer de ce CFR qui calcule la valeur nette résiduelle résultant de l’écart entre les revenus associés à la vente des UC et les montants comptabilisés à l’acquisition et à la création, Énergir propose d’intégrer les montants comptabilisés dans le CFR au tarif GNR. L’inclusion des montants comptabilisés dans le CFR-Ventes d’UC au tarif GNR s’avère cohérente avec l’approche tarifaire proposée dans la sous-section précédente, puisque ces montants sont directement tributaires des coûts d’acquisition et de création comptables, qui sont eux-mêmes intégrés au tarif GNR</w:t>
      </w:r>
      <w:r w:rsidR="001A37CF" w:rsidRPr="001A37CF">
        <w:rPr>
          <w:iCs/>
        </w:rPr>
        <w:t>.</w:t>
      </w:r>
      <w:r w:rsidR="001A37CF">
        <w:rPr>
          <w:iCs/>
        </w:rPr>
        <w:t xml:space="preserve"> </w:t>
      </w:r>
      <w:r w:rsidR="00EE531A" w:rsidRPr="00EA2D89">
        <w:rPr>
          <w:i/>
          <w:u w:val="single"/>
        </w:rPr>
        <w:t>Cette approche permet aux consommateurs de GNR de capter la pleine valeur issue de la vente des UC et soutient l’objectif visé par Énergir, comme expliqué à la section</w:t>
      </w:r>
      <w:r>
        <w:rPr>
          <w:i/>
          <w:u w:val="single"/>
        </w:rPr>
        <w:t> </w:t>
      </w:r>
      <w:r w:rsidR="00EE531A" w:rsidRPr="00EA2D89">
        <w:rPr>
          <w:i/>
          <w:u w:val="single"/>
        </w:rPr>
        <w:t xml:space="preserve">5.3, soit </w:t>
      </w:r>
      <w:r w:rsidR="001A2654" w:rsidRPr="00EA2D89">
        <w:rPr>
          <w:i/>
          <w:u w:val="single"/>
        </w:rPr>
        <w:t>d’utiliser</w:t>
      </w:r>
      <w:r w:rsidR="00EE531A" w:rsidRPr="00EA2D89">
        <w:rPr>
          <w:i/>
          <w:u w:val="single"/>
        </w:rPr>
        <w:t xml:space="preserve"> la vente d’UC pour réduire le tarif GNR facturé à sa clientèle en achat volontaire</w:t>
      </w:r>
      <w:r w:rsidR="00EE531A" w:rsidRPr="00E67BA7">
        <w:rPr>
          <w:i/>
        </w:rPr>
        <w:t>.</w:t>
      </w:r>
      <w:r>
        <w:rPr>
          <w:iCs/>
        </w:rPr>
        <w:t>”</w:t>
      </w:r>
      <w:r w:rsidR="00D13071">
        <w:rPr>
          <w:iCs/>
        </w:rPr>
        <w:t xml:space="preserve"> (nos soulignés)</w:t>
      </w:r>
    </w:p>
    <w:p w14:paraId="57D149EA" w14:textId="77777777" w:rsidR="00B121BD" w:rsidRDefault="00B121BD" w:rsidP="00DD2DE3">
      <w:pPr>
        <w:ind w:left="720"/>
        <w:jc w:val="both"/>
        <w:rPr>
          <w:iCs/>
        </w:rPr>
      </w:pPr>
    </w:p>
    <w:p w14:paraId="66117579" w14:textId="4F2A4B16" w:rsidR="007F5C9A" w:rsidRDefault="006B1619" w:rsidP="00095E2E">
      <w:pPr>
        <w:ind w:left="720"/>
        <w:jc w:val="center"/>
      </w:pPr>
      <w:r>
        <w:rPr>
          <w:noProof/>
        </w:rPr>
        <w:drawing>
          <wp:inline distT="0" distB="0" distL="0" distR="0" wp14:anchorId="7ECB923A" wp14:editId="5565659C">
            <wp:extent cx="4524375" cy="2743200"/>
            <wp:effectExtent l="19050" t="19050" r="28575" b="19050"/>
            <wp:docPr id="570132696" name="Image 570132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24375" cy="2743200"/>
                    </a:xfrm>
                    <a:prstGeom prst="rect">
                      <a:avLst/>
                    </a:prstGeom>
                    <a:ln>
                      <a:solidFill>
                        <a:schemeClr val="accent1"/>
                      </a:solidFill>
                    </a:ln>
                  </pic:spPr>
                </pic:pic>
              </a:graphicData>
            </a:graphic>
          </wp:inline>
        </w:drawing>
      </w:r>
    </w:p>
    <w:p w14:paraId="5EE119DF" w14:textId="77777777" w:rsidR="00C533B9" w:rsidRDefault="00C533B9">
      <w:pPr>
        <w:tabs>
          <w:tab w:val="left" w:pos="720"/>
        </w:tabs>
        <w:spacing w:after="220" w:line="240" w:lineRule="auto"/>
        <w:rPr>
          <w:u w:val="single"/>
        </w:rPr>
      </w:pPr>
    </w:p>
    <w:p w14:paraId="3E5BCFBA" w14:textId="77777777" w:rsidR="00C533B9" w:rsidRDefault="00C533B9">
      <w:pPr>
        <w:tabs>
          <w:tab w:val="left" w:pos="720"/>
        </w:tabs>
        <w:spacing w:after="220" w:line="240" w:lineRule="auto"/>
        <w:rPr>
          <w:u w:val="single"/>
        </w:rPr>
      </w:pPr>
    </w:p>
    <w:p w14:paraId="46D48629" w14:textId="0569D480" w:rsidR="007F5C9A" w:rsidRPr="00095E2E" w:rsidRDefault="0025576E">
      <w:pPr>
        <w:tabs>
          <w:tab w:val="left" w:pos="720"/>
        </w:tabs>
        <w:spacing w:after="220" w:line="240" w:lineRule="auto"/>
        <w:rPr>
          <w:u w:val="single"/>
        </w:rPr>
      </w:pPr>
      <w:r w:rsidRPr="00095E2E">
        <w:rPr>
          <w:u w:val="single"/>
        </w:rPr>
        <w:lastRenderedPageBreak/>
        <w:t>Référence (ii)</w:t>
      </w:r>
      <w:r w:rsidR="005E7407">
        <w:rPr>
          <w:u w:val="single"/>
        </w:rPr>
        <w:t> </w:t>
      </w:r>
      <w:r w:rsidRPr="00095E2E">
        <w:rPr>
          <w:u w:val="single"/>
        </w:rPr>
        <w:t xml:space="preserve">: </w:t>
      </w:r>
    </w:p>
    <w:p w14:paraId="557B21CA" w14:textId="737255DD" w:rsidR="00800D01" w:rsidRPr="004F25C4" w:rsidRDefault="005E7407" w:rsidP="00095E2E">
      <w:pPr>
        <w:tabs>
          <w:tab w:val="left" w:pos="720"/>
        </w:tabs>
        <w:spacing w:after="220" w:line="240" w:lineRule="auto"/>
        <w:ind w:left="720"/>
        <w:jc w:val="both"/>
        <w:rPr>
          <w:i/>
          <w:iCs/>
        </w:rPr>
      </w:pPr>
      <w:r>
        <w:t>“</w:t>
      </w:r>
      <w:r w:rsidR="00800D01" w:rsidRPr="004F25C4">
        <w:rPr>
          <w:i/>
          <w:iCs/>
        </w:rPr>
        <w:t xml:space="preserve">Cela étant dit, Énergir continuera à faire tous les efforts possibles afin de disposer d’un approvisionnement en GNR fiable, au meilleur coût possible. Comme mentionné ci-dessus, fixer un coût moyen donnera une flexibilité à Énergir dans la conclusion de contrats d’approvisionnement en GNR. Selon Énergir, un coût moyen d’acquisition maximal de </w:t>
      </w:r>
      <w:r w:rsidR="7281830D" w:rsidRPr="7281830D">
        <w:rPr>
          <w:i/>
          <w:iCs/>
        </w:rPr>
        <w:t>25</w:t>
      </w:r>
      <w:r>
        <w:rPr>
          <w:i/>
          <w:iCs/>
        </w:rPr>
        <w:t> </w:t>
      </w:r>
      <w:r w:rsidR="00800D01" w:rsidRPr="004F25C4">
        <w:rPr>
          <w:i/>
          <w:iCs/>
        </w:rPr>
        <w:t>$/GJ devrait aussi éviter un retour régulier devant la Régie pour faire approuver les caractéristiques des contrats et ainsi alléger le processus réglementaire.</w:t>
      </w:r>
    </w:p>
    <w:p w14:paraId="53302916" w14:textId="15624879" w:rsidR="004C2376" w:rsidRDefault="004C2376" w:rsidP="00095E2E">
      <w:pPr>
        <w:tabs>
          <w:tab w:val="left" w:pos="720"/>
        </w:tabs>
        <w:spacing w:after="220" w:line="240" w:lineRule="auto"/>
        <w:ind w:left="720"/>
        <w:jc w:val="both"/>
        <w:rPr>
          <w:b/>
          <w:u w:val="single"/>
        </w:rPr>
      </w:pPr>
      <w:r w:rsidRPr="004F25C4">
        <w:rPr>
          <w:i/>
          <w:iCs/>
        </w:rPr>
        <w:t>L’impact d’un coût moyen de 25</w:t>
      </w:r>
      <w:r w:rsidR="005E7407">
        <w:rPr>
          <w:i/>
          <w:iCs/>
        </w:rPr>
        <w:t> </w:t>
      </w:r>
      <w:r w:rsidRPr="004F25C4">
        <w:rPr>
          <w:i/>
          <w:iCs/>
        </w:rPr>
        <w:t>$/GJ sur la position concurrentielle a été testé. Comme on peut le constater, à un coût moyen de 25</w:t>
      </w:r>
      <w:r w:rsidR="005E7407">
        <w:rPr>
          <w:i/>
          <w:iCs/>
        </w:rPr>
        <w:t> </w:t>
      </w:r>
      <w:r w:rsidRPr="004F25C4">
        <w:rPr>
          <w:i/>
          <w:iCs/>
        </w:rPr>
        <w:t>$/GJ, le GNR demeure concurrentiel face à l’électricité dans la majorité des cas types, jusque dans une proportion de 20</w:t>
      </w:r>
      <w:r w:rsidR="005E7407">
        <w:rPr>
          <w:i/>
          <w:iCs/>
        </w:rPr>
        <w:t> </w:t>
      </w:r>
      <w:r w:rsidRPr="004F25C4">
        <w:rPr>
          <w:i/>
          <w:iCs/>
        </w:rPr>
        <w:t>%. Au-delà de ce seuil, l’électricité devient une alternative moins coûteuse. Le coût de changement des équipements n’est toutefois pas considéré dans cette position concurrentielle et pourrait l’améliorer s’il était considéré.</w:t>
      </w:r>
      <w:r w:rsidR="005E7407">
        <w:t>”</w:t>
      </w:r>
    </w:p>
    <w:p w14:paraId="2E0E0D64" w14:textId="1B34FB45" w:rsidR="00FC1314" w:rsidRDefault="00FC1314" w:rsidP="00095E2E">
      <w:pPr>
        <w:jc w:val="center"/>
      </w:pPr>
      <w:r>
        <w:rPr>
          <w:noProof/>
        </w:rPr>
        <w:drawing>
          <wp:inline distT="0" distB="0" distL="0" distR="0" wp14:anchorId="220F7304" wp14:editId="1DF2B128">
            <wp:extent cx="5944235" cy="5084445"/>
            <wp:effectExtent l="19050" t="19050" r="18415" b="20955"/>
            <wp:docPr id="367750874" name="Image 367750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4235" cy="5084445"/>
                    </a:xfrm>
                    <a:prstGeom prst="rect">
                      <a:avLst/>
                    </a:prstGeom>
                    <a:noFill/>
                    <a:ln>
                      <a:solidFill>
                        <a:schemeClr val="accent1"/>
                      </a:solidFill>
                    </a:ln>
                  </pic:spPr>
                </pic:pic>
              </a:graphicData>
            </a:graphic>
          </wp:inline>
        </w:drawing>
      </w:r>
    </w:p>
    <w:p w14:paraId="4F7DE099" w14:textId="03FA57B1" w:rsidR="00036E1B" w:rsidRDefault="00036E1B" w:rsidP="00036E1B">
      <w:pPr>
        <w:rPr>
          <w:iCs/>
        </w:rPr>
      </w:pPr>
    </w:p>
    <w:p w14:paraId="423A34EE" w14:textId="3C3BF6DA" w:rsidR="007F5C9A" w:rsidRDefault="0025576E">
      <w:pPr>
        <w:pBdr>
          <w:top w:val="nil"/>
          <w:left w:val="nil"/>
          <w:bottom w:val="nil"/>
          <w:right w:val="nil"/>
          <w:between w:val="nil"/>
        </w:pBdr>
        <w:tabs>
          <w:tab w:val="left" w:pos="720"/>
        </w:tabs>
        <w:spacing w:after="220" w:line="240" w:lineRule="auto"/>
        <w:jc w:val="both"/>
        <w:rPr>
          <w:b/>
          <w:u w:val="single"/>
        </w:rPr>
      </w:pPr>
      <w:r>
        <w:rPr>
          <w:b/>
          <w:u w:val="single"/>
        </w:rPr>
        <w:lastRenderedPageBreak/>
        <w:t>Demandes</w:t>
      </w:r>
      <w:r w:rsidR="005E7407">
        <w:rPr>
          <w:b/>
          <w:u w:val="single"/>
        </w:rPr>
        <w:t> </w:t>
      </w:r>
      <w:r>
        <w:rPr>
          <w:b/>
          <w:u w:val="single"/>
        </w:rPr>
        <w:t>:</w:t>
      </w:r>
    </w:p>
    <w:p w14:paraId="4920497F" w14:textId="5A031C7F" w:rsidR="00D76A50" w:rsidRDefault="0025576E" w:rsidP="00095E2E">
      <w:pPr>
        <w:numPr>
          <w:ilvl w:val="1"/>
          <w:numId w:val="3"/>
        </w:numPr>
        <w:pBdr>
          <w:top w:val="nil"/>
          <w:left w:val="nil"/>
          <w:bottom w:val="nil"/>
          <w:right w:val="nil"/>
          <w:between w:val="nil"/>
        </w:pBdr>
        <w:tabs>
          <w:tab w:val="left" w:pos="720"/>
        </w:tabs>
        <w:spacing w:after="220" w:line="240" w:lineRule="auto"/>
        <w:ind w:left="709" w:hanging="709"/>
        <w:jc w:val="both"/>
      </w:pPr>
      <w:r>
        <w:t xml:space="preserve">Veuillez </w:t>
      </w:r>
      <w:r w:rsidR="00460F5D">
        <w:t>présenter</w:t>
      </w:r>
      <w:r w:rsidR="00AC454E">
        <w:t xml:space="preserve"> à l’aide d’un</w:t>
      </w:r>
      <w:r w:rsidR="00460F5D">
        <w:t xml:space="preserve"> </w:t>
      </w:r>
      <w:r w:rsidR="00AC454E">
        <w:t xml:space="preserve">exemple comment </w:t>
      </w:r>
      <w:r w:rsidR="005325EF">
        <w:t xml:space="preserve">la réduction potentielle du tarif </w:t>
      </w:r>
      <w:r w:rsidR="7281830D">
        <w:t>GNR</w:t>
      </w:r>
      <w:r w:rsidR="005325EF">
        <w:t xml:space="preserve"> illustrée au tablea</w:t>
      </w:r>
      <w:r w:rsidR="00B676F3">
        <w:t>u</w:t>
      </w:r>
      <w:r w:rsidR="005E7407">
        <w:t> </w:t>
      </w:r>
      <w:r w:rsidR="00B676F3">
        <w:t>16 (i)</w:t>
      </w:r>
      <w:r w:rsidR="001211DD">
        <w:t xml:space="preserve"> </w:t>
      </w:r>
      <w:r w:rsidR="006E144A">
        <w:t xml:space="preserve">sera </w:t>
      </w:r>
      <w:r w:rsidR="00296CF2">
        <w:t xml:space="preserve">traduira </w:t>
      </w:r>
      <w:r w:rsidR="005040CB">
        <w:t xml:space="preserve">sur la position concurrentielle du </w:t>
      </w:r>
      <w:r w:rsidR="7281830D">
        <w:t>GNR</w:t>
      </w:r>
      <w:r w:rsidR="005040CB">
        <w:t xml:space="preserve"> </w:t>
      </w:r>
      <w:r w:rsidR="00296CF2">
        <w:t xml:space="preserve">dans le </w:t>
      </w:r>
      <w:r w:rsidR="000C2951">
        <w:t>tableau</w:t>
      </w:r>
      <w:r w:rsidR="005E7407">
        <w:t> </w:t>
      </w:r>
      <w:r w:rsidR="000C2951">
        <w:t>5 (</w:t>
      </w:r>
      <w:r w:rsidR="7281830D">
        <w:t>ii</w:t>
      </w:r>
      <w:r w:rsidR="000C2951">
        <w:t xml:space="preserve">). </w:t>
      </w:r>
    </w:p>
    <w:p w14:paraId="63CA0337" w14:textId="117191A5" w:rsidR="00D76A50" w:rsidRDefault="00FB65D9" w:rsidP="006E144A">
      <w:pPr>
        <w:numPr>
          <w:ilvl w:val="1"/>
          <w:numId w:val="3"/>
        </w:numPr>
        <w:pBdr>
          <w:top w:val="nil"/>
          <w:left w:val="nil"/>
          <w:bottom w:val="nil"/>
          <w:right w:val="nil"/>
          <w:between w:val="nil"/>
        </w:pBdr>
        <w:tabs>
          <w:tab w:val="left" w:pos="720"/>
        </w:tabs>
        <w:spacing w:after="220" w:line="240" w:lineRule="auto"/>
        <w:ind w:left="709" w:hanging="709"/>
        <w:jc w:val="both"/>
      </w:pPr>
      <w:r>
        <w:t xml:space="preserve">En </w:t>
      </w:r>
      <w:r w:rsidR="00E72CAF">
        <w:t>utilisant</w:t>
      </w:r>
      <w:r>
        <w:t xml:space="preserve"> le tableau</w:t>
      </w:r>
      <w:r w:rsidR="005E7407">
        <w:t> </w:t>
      </w:r>
      <w:r>
        <w:t>5</w:t>
      </w:r>
      <w:r w:rsidR="00E72CAF">
        <w:t xml:space="preserve"> (</w:t>
      </w:r>
      <w:r w:rsidR="7281830D">
        <w:t>ii</w:t>
      </w:r>
      <w:r w:rsidR="00E72CAF">
        <w:t>)</w:t>
      </w:r>
      <w:r>
        <w:t xml:space="preserve">, veuillez élaborer sur les changements dans la position concurrentielle du </w:t>
      </w:r>
      <w:r w:rsidR="000605F3">
        <w:t>GNR</w:t>
      </w:r>
      <w:r w:rsidR="00460D70">
        <w:t xml:space="preserve"> qui seraient apportés par la proposition d’Énergi</w:t>
      </w:r>
      <w:r w:rsidR="001A7CCE">
        <w:t>r</w:t>
      </w:r>
      <w:r w:rsidR="05DE236E">
        <w:t xml:space="preserve"> dans le cadre de l’Étape E</w:t>
      </w:r>
      <w:r w:rsidR="001A7CCE">
        <w:t>.</w:t>
      </w:r>
    </w:p>
    <w:p w14:paraId="30A076FB" w14:textId="4C5457DC" w:rsidR="00FB29D8" w:rsidRDefault="00FB29D8" w:rsidP="00FB29D8">
      <w:pPr>
        <w:numPr>
          <w:ilvl w:val="1"/>
          <w:numId w:val="3"/>
        </w:numPr>
        <w:pBdr>
          <w:top w:val="nil"/>
          <w:left w:val="nil"/>
          <w:bottom w:val="nil"/>
          <w:right w:val="nil"/>
          <w:between w:val="nil"/>
        </w:pBdr>
        <w:tabs>
          <w:tab w:val="left" w:pos="720"/>
        </w:tabs>
        <w:spacing w:after="220" w:line="240" w:lineRule="auto"/>
        <w:ind w:left="709" w:hanging="709"/>
        <w:jc w:val="both"/>
      </w:pPr>
      <w:r>
        <w:t xml:space="preserve">Expliquer comment </w:t>
      </w:r>
      <w:r w:rsidR="05DE236E">
        <w:t xml:space="preserve">la proposition d’Énergir à l’Étape E </w:t>
      </w:r>
      <w:r>
        <w:t xml:space="preserve">cela pourrait modifier la demande de </w:t>
      </w:r>
      <w:r w:rsidR="000605F3">
        <w:t>GNR</w:t>
      </w:r>
      <w:r w:rsidR="0033377C">
        <w:t>.</w:t>
      </w:r>
    </w:p>
    <w:p w14:paraId="51CDFF29" w14:textId="615CBCA0" w:rsidR="05DE236E" w:rsidRDefault="05DE236E" w:rsidP="05DE236E">
      <w:pPr>
        <w:numPr>
          <w:ilvl w:val="1"/>
          <w:numId w:val="3"/>
        </w:numPr>
        <w:tabs>
          <w:tab w:val="left" w:pos="720"/>
        </w:tabs>
        <w:spacing w:after="220" w:line="240" w:lineRule="auto"/>
        <w:ind w:left="709" w:hanging="709"/>
        <w:jc w:val="both"/>
      </w:pPr>
      <w:r>
        <w:t xml:space="preserve">Si la proposition d’Énergir à l’Étape E résultait en un accroissement de la demande en </w:t>
      </w:r>
      <w:r w:rsidR="000605F3">
        <w:t>GNR</w:t>
      </w:r>
      <w:r>
        <w:t>, expliquez comment cet accroissement se répercuterait sur</w:t>
      </w:r>
      <w:r w:rsidR="7281830D">
        <w:t>, d’une part</w:t>
      </w:r>
      <w:r>
        <w:t xml:space="preserve"> les approvisionnements en </w:t>
      </w:r>
      <w:r w:rsidR="7281830D">
        <w:t>GNR</w:t>
      </w:r>
      <w:r>
        <w:t xml:space="preserve"> en provenance du Québec et</w:t>
      </w:r>
      <w:r w:rsidR="7281830D">
        <w:t>, d’autre part,</w:t>
      </w:r>
      <w:r>
        <w:t xml:space="preserve"> les approvisionnements en </w:t>
      </w:r>
      <w:r w:rsidR="7281830D">
        <w:t>provenance</w:t>
      </w:r>
      <w:r>
        <w:t xml:space="preserve"> des États-Unis. </w:t>
      </w:r>
    </w:p>
    <w:p w14:paraId="2E9C0FA5" w14:textId="651331BE" w:rsidR="007F5C9A" w:rsidRPr="00095E2E" w:rsidRDefault="00BF09EB" w:rsidP="00C533B9">
      <w:pPr>
        <w:pStyle w:val="Paragraphedeliste"/>
        <w:numPr>
          <w:ilvl w:val="0"/>
          <w:numId w:val="3"/>
        </w:numPr>
        <w:tabs>
          <w:tab w:val="left" w:pos="720"/>
        </w:tabs>
        <w:spacing w:before="720" w:after="220" w:line="240" w:lineRule="auto"/>
        <w:jc w:val="center"/>
        <w:rPr>
          <w:b/>
          <w:bCs/>
        </w:rPr>
      </w:pPr>
      <w:r w:rsidRPr="00095E2E">
        <w:rPr>
          <w:b/>
          <w:bCs/>
        </w:rPr>
        <w:t>INTENSITÉ CARBONE</w:t>
      </w:r>
    </w:p>
    <w:p w14:paraId="76793338" w14:textId="526CEB74" w:rsidR="00C533B9" w:rsidRPr="00C533B9" w:rsidRDefault="0025576E" w:rsidP="00C533B9">
      <w:pPr>
        <w:keepNext/>
        <w:pBdr>
          <w:top w:val="nil"/>
          <w:left w:val="nil"/>
          <w:bottom w:val="nil"/>
          <w:right w:val="nil"/>
          <w:between w:val="nil"/>
        </w:pBdr>
        <w:tabs>
          <w:tab w:val="left" w:pos="720"/>
        </w:tabs>
        <w:spacing w:after="220" w:line="240" w:lineRule="auto"/>
        <w:jc w:val="both"/>
        <w:rPr>
          <w:b/>
          <w:u w:val="single"/>
        </w:rPr>
      </w:pPr>
      <w:r>
        <w:rPr>
          <w:b/>
        </w:rPr>
        <w:t>Références</w:t>
      </w:r>
      <w:r w:rsidR="005E7407">
        <w:rPr>
          <w:b/>
        </w:rPr>
        <w:t> </w:t>
      </w:r>
      <w:r>
        <w:rPr>
          <w:b/>
        </w:rPr>
        <w:t xml:space="preserve">: </w:t>
      </w:r>
      <w:r w:rsidR="00FA25ED">
        <w:rPr>
          <w:b/>
        </w:rPr>
        <w:tab/>
      </w:r>
      <w:r w:rsidR="00FA25ED">
        <w:rPr>
          <w:b/>
        </w:rPr>
        <w:tab/>
      </w:r>
    </w:p>
    <w:p w14:paraId="40BBD004" w14:textId="7ABFE0F5" w:rsidR="001E4D07" w:rsidRPr="00C533B9" w:rsidRDefault="0025576E" w:rsidP="00C533B9">
      <w:pPr>
        <w:keepNext/>
        <w:pBdr>
          <w:top w:val="nil"/>
          <w:left w:val="nil"/>
          <w:bottom w:val="nil"/>
          <w:right w:val="nil"/>
          <w:between w:val="nil"/>
        </w:pBdr>
        <w:tabs>
          <w:tab w:val="left" w:pos="720"/>
        </w:tabs>
        <w:spacing w:after="220" w:line="240" w:lineRule="auto"/>
        <w:jc w:val="both"/>
        <w:rPr>
          <w:bCs/>
          <w:u w:val="single"/>
        </w:rPr>
      </w:pPr>
      <w:r w:rsidRPr="00C533B9">
        <w:rPr>
          <w:bCs/>
        </w:rPr>
        <w:t xml:space="preserve">(i) </w:t>
      </w:r>
      <w:r w:rsidR="00F715E6" w:rsidRPr="00C533B9">
        <w:rPr>
          <w:bCs/>
        </w:rPr>
        <w:t>Pièce</w:t>
      </w:r>
      <w:r w:rsidR="005E7407">
        <w:rPr>
          <w:bCs/>
        </w:rPr>
        <w:t> </w:t>
      </w:r>
      <w:r w:rsidR="00F715E6" w:rsidRPr="00C533B9">
        <w:rPr>
          <w:bCs/>
        </w:rPr>
        <w:t>B-0</w:t>
      </w:r>
      <w:r w:rsidR="00885BC4" w:rsidRPr="00C533B9">
        <w:rPr>
          <w:bCs/>
        </w:rPr>
        <w:t>896</w:t>
      </w:r>
      <w:r w:rsidR="00EE343D" w:rsidRPr="00C533B9">
        <w:rPr>
          <w:bCs/>
        </w:rPr>
        <w:t>,</w:t>
      </w:r>
      <w:r w:rsidR="008823A7" w:rsidRPr="00C533B9">
        <w:rPr>
          <w:bCs/>
        </w:rPr>
        <w:t xml:space="preserve"> </w:t>
      </w:r>
      <w:r w:rsidR="00F715E6" w:rsidRPr="00C533B9">
        <w:rPr>
          <w:bCs/>
        </w:rPr>
        <w:t>section</w:t>
      </w:r>
      <w:r w:rsidR="005E7407">
        <w:rPr>
          <w:bCs/>
        </w:rPr>
        <w:t> </w:t>
      </w:r>
      <w:r w:rsidR="00F715E6" w:rsidRPr="00C533B9">
        <w:rPr>
          <w:bCs/>
        </w:rPr>
        <w:t>2.4.3</w:t>
      </w:r>
      <w:r w:rsidR="005554F7" w:rsidRPr="00C533B9">
        <w:rPr>
          <w:bCs/>
        </w:rPr>
        <w:t>,</w:t>
      </w:r>
      <w:r w:rsidR="00F715E6" w:rsidRPr="00C533B9">
        <w:rPr>
          <w:bCs/>
        </w:rPr>
        <w:t xml:space="preserve"> page</w:t>
      </w:r>
      <w:r w:rsidR="005E7407">
        <w:rPr>
          <w:bCs/>
        </w:rPr>
        <w:t> </w:t>
      </w:r>
      <w:r w:rsidR="00F715E6" w:rsidRPr="00C533B9">
        <w:rPr>
          <w:bCs/>
        </w:rPr>
        <w:t>17, lignes</w:t>
      </w:r>
      <w:r w:rsidR="005E7407">
        <w:rPr>
          <w:bCs/>
        </w:rPr>
        <w:t> </w:t>
      </w:r>
      <w:r w:rsidR="00F715E6" w:rsidRPr="00C533B9">
        <w:rPr>
          <w:bCs/>
        </w:rPr>
        <w:t>3 à 17.</w:t>
      </w:r>
    </w:p>
    <w:p w14:paraId="513549D0" w14:textId="066EFCC4" w:rsidR="00C533B9" w:rsidRPr="00C533B9" w:rsidRDefault="00F715E6" w:rsidP="00C533B9">
      <w:pPr>
        <w:keepNext/>
        <w:pBdr>
          <w:top w:val="nil"/>
          <w:left w:val="nil"/>
          <w:bottom w:val="nil"/>
          <w:right w:val="nil"/>
          <w:between w:val="nil"/>
        </w:pBdr>
        <w:tabs>
          <w:tab w:val="left" w:pos="720"/>
        </w:tabs>
        <w:spacing w:after="220" w:line="240" w:lineRule="auto"/>
        <w:jc w:val="both"/>
        <w:rPr>
          <w:bCs/>
          <w:u w:val="single"/>
        </w:rPr>
      </w:pPr>
      <w:r w:rsidRPr="00C533B9">
        <w:rPr>
          <w:bCs/>
        </w:rPr>
        <w:t xml:space="preserve">(ii) </w:t>
      </w:r>
      <w:r w:rsidR="00064F58" w:rsidRPr="00C533B9">
        <w:rPr>
          <w:bCs/>
        </w:rPr>
        <w:t>Pièce</w:t>
      </w:r>
      <w:r w:rsidR="005E7407">
        <w:rPr>
          <w:bCs/>
        </w:rPr>
        <w:t> </w:t>
      </w:r>
      <w:r w:rsidR="00064F58" w:rsidRPr="00C533B9">
        <w:rPr>
          <w:bCs/>
        </w:rPr>
        <w:t>B-0896, section</w:t>
      </w:r>
      <w:r w:rsidR="005E7407">
        <w:rPr>
          <w:bCs/>
        </w:rPr>
        <w:t> </w:t>
      </w:r>
      <w:r w:rsidR="00D7120E" w:rsidRPr="00C533B9">
        <w:rPr>
          <w:bCs/>
        </w:rPr>
        <w:t>5.1</w:t>
      </w:r>
      <w:r w:rsidR="00064F58" w:rsidRPr="00C533B9">
        <w:rPr>
          <w:bCs/>
        </w:rPr>
        <w:t>,</w:t>
      </w:r>
      <w:r w:rsidR="002D7307" w:rsidRPr="00C533B9">
        <w:rPr>
          <w:bCs/>
        </w:rPr>
        <w:t xml:space="preserve"> page</w:t>
      </w:r>
      <w:r w:rsidR="005E7407">
        <w:rPr>
          <w:bCs/>
        </w:rPr>
        <w:t> </w:t>
      </w:r>
      <w:r w:rsidR="002D7307" w:rsidRPr="00C533B9">
        <w:rPr>
          <w:bCs/>
        </w:rPr>
        <w:t>25,</w:t>
      </w:r>
      <w:r w:rsidR="00D7120E" w:rsidRPr="00C533B9">
        <w:rPr>
          <w:bCs/>
        </w:rPr>
        <w:t xml:space="preserve"> </w:t>
      </w:r>
      <w:r w:rsidR="00064F58" w:rsidRPr="00C533B9">
        <w:rPr>
          <w:bCs/>
        </w:rPr>
        <w:t>ligne</w:t>
      </w:r>
      <w:r w:rsidR="002D7307" w:rsidRPr="00C533B9">
        <w:rPr>
          <w:bCs/>
        </w:rPr>
        <w:t>s</w:t>
      </w:r>
      <w:r w:rsidR="005E7407">
        <w:rPr>
          <w:bCs/>
        </w:rPr>
        <w:t> </w:t>
      </w:r>
      <w:r w:rsidR="00D7120E" w:rsidRPr="00C533B9">
        <w:rPr>
          <w:bCs/>
        </w:rPr>
        <w:t xml:space="preserve">3 </w:t>
      </w:r>
      <w:r w:rsidR="00FF59F7" w:rsidRPr="00C533B9">
        <w:rPr>
          <w:bCs/>
        </w:rPr>
        <w:t>à</w:t>
      </w:r>
      <w:r w:rsidR="00D7120E" w:rsidRPr="00C533B9">
        <w:rPr>
          <w:bCs/>
        </w:rPr>
        <w:t xml:space="preserve"> </w:t>
      </w:r>
      <w:r w:rsidR="002D7307" w:rsidRPr="00C533B9">
        <w:rPr>
          <w:bCs/>
        </w:rPr>
        <w:t>5.</w:t>
      </w:r>
    </w:p>
    <w:p w14:paraId="4136D68E" w14:textId="396AE976" w:rsidR="00670AD2" w:rsidRPr="00C533B9" w:rsidRDefault="009C7713" w:rsidP="00C533B9">
      <w:pPr>
        <w:keepNext/>
        <w:pBdr>
          <w:top w:val="nil"/>
          <w:left w:val="nil"/>
          <w:bottom w:val="nil"/>
          <w:right w:val="nil"/>
          <w:between w:val="nil"/>
        </w:pBdr>
        <w:tabs>
          <w:tab w:val="left" w:pos="720"/>
        </w:tabs>
        <w:spacing w:after="220" w:line="240" w:lineRule="auto"/>
        <w:jc w:val="both"/>
        <w:rPr>
          <w:bCs/>
          <w:u w:val="single"/>
        </w:rPr>
      </w:pPr>
      <w:r w:rsidRPr="00C533B9">
        <w:rPr>
          <w:bCs/>
        </w:rPr>
        <w:t>(</w:t>
      </w:r>
      <w:r w:rsidR="00EA2E35" w:rsidRPr="00C533B9">
        <w:rPr>
          <w:bCs/>
        </w:rPr>
        <w:t>i</w:t>
      </w:r>
      <w:r w:rsidR="00574A36" w:rsidRPr="00C533B9">
        <w:rPr>
          <w:bCs/>
        </w:rPr>
        <w:t>ii</w:t>
      </w:r>
      <w:r w:rsidRPr="00C533B9">
        <w:rPr>
          <w:bCs/>
        </w:rPr>
        <w:t>)</w:t>
      </w:r>
      <w:r w:rsidR="009678BC" w:rsidRPr="00C533B9">
        <w:rPr>
          <w:bCs/>
        </w:rPr>
        <w:t xml:space="preserve"> </w:t>
      </w:r>
      <w:r w:rsidR="00FF59F7" w:rsidRPr="00C533B9">
        <w:rPr>
          <w:bCs/>
        </w:rPr>
        <w:t>Pièce</w:t>
      </w:r>
      <w:r w:rsidR="005E7407">
        <w:rPr>
          <w:bCs/>
        </w:rPr>
        <w:t> </w:t>
      </w:r>
      <w:r w:rsidR="00FF59F7" w:rsidRPr="00C533B9">
        <w:rPr>
          <w:bCs/>
        </w:rPr>
        <w:t>B-0896</w:t>
      </w:r>
      <w:r w:rsidR="00EA2E35" w:rsidRPr="00C533B9">
        <w:rPr>
          <w:bCs/>
        </w:rPr>
        <w:t>,</w:t>
      </w:r>
      <w:r w:rsidR="00030521" w:rsidRPr="00C533B9">
        <w:rPr>
          <w:bCs/>
        </w:rPr>
        <w:t xml:space="preserve"> </w:t>
      </w:r>
      <w:r w:rsidR="005A4276" w:rsidRPr="00C533B9">
        <w:rPr>
          <w:bCs/>
        </w:rPr>
        <w:t>section</w:t>
      </w:r>
      <w:r w:rsidR="005E7407">
        <w:rPr>
          <w:bCs/>
        </w:rPr>
        <w:t> </w:t>
      </w:r>
      <w:r w:rsidR="005A4276" w:rsidRPr="00C533B9">
        <w:rPr>
          <w:bCs/>
        </w:rPr>
        <w:t xml:space="preserve">7.6.2, </w:t>
      </w:r>
      <w:r w:rsidR="00030521" w:rsidRPr="00C533B9">
        <w:rPr>
          <w:bCs/>
        </w:rPr>
        <w:t>tableau</w:t>
      </w:r>
      <w:r w:rsidR="005E7407">
        <w:rPr>
          <w:bCs/>
        </w:rPr>
        <w:t> </w:t>
      </w:r>
      <w:r w:rsidR="00030521" w:rsidRPr="00C533B9">
        <w:rPr>
          <w:bCs/>
        </w:rPr>
        <w:t>16</w:t>
      </w:r>
      <w:r w:rsidR="005A4276" w:rsidRPr="00C533B9">
        <w:rPr>
          <w:bCs/>
        </w:rPr>
        <w:t>, page</w:t>
      </w:r>
      <w:r w:rsidR="005E7407">
        <w:rPr>
          <w:bCs/>
        </w:rPr>
        <w:t> </w:t>
      </w:r>
      <w:r w:rsidR="005A4276" w:rsidRPr="00C533B9">
        <w:rPr>
          <w:bCs/>
        </w:rPr>
        <w:t>46</w:t>
      </w:r>
      <w:r w:rsidR="002D7307" w:rsidRPr="00C533B9">
        <w:rPr>
          <w:bCs/>
        </w:rPr>
        <w:t>.</w:t>
      </w:r>
    </w:p>
    <w:p w14:paraId="665D9E4E" w14:textId="7A26E07D" w:rsidR="00ED73FE" w:rsidRPr="00C533B9" w:rsidRDefault="00ED73FE" w:rsidP="00C533B9">
      <w:pPr>
        <w:keepNext/>
        <w:pBdr>
          <w:top w:val="nil"/>
          <w:left w:val="nil"/>
          <w:bottom w:val="nil"/>
          <w:right w:val="nil"/>
          <w:between w:val="nil"/>
        </w:pBdr>
        <w:tabs>
          <w:tab w:val="left" w:pos="720"/>
        </w:tabs>
        <w:spacing w:after="220" w:line="240" w:lineRule="auto"/>
        <w:jc w:val="both"/>
        <w:rPr>
          <w:bCs/>
        </w:rPr>
      </w:pPr>
      <w:r w:rsidRPr="00C533B9">
        <w:rPr>
          <w:bCs/>
        </w:rPr>
        <w:t>(iv) Pièce A-0133, Décision-2020-057, p.17, paragraphe</w:t>
      </w:r>
      <w:r w:rsidR="005E7407">
        <w:rPr>
          <w:bCs/>
        </w:rPr>
        <w:t> </w:t>
      </w:r>
      <w:r w:rsidRPr="00C533B9">
        <w:rPr>
          <w:bCs/>
        </w:rPr>
        <w:t>45.</w:t>
      </w:r>
    </w:p>
    <w:p w14:paraId="5A32E4E3" w14:textId="16BC6E3D" w:rsidR="00395D25" w:rsidRPr="00C533B9" w:rsidRDefault="7281830D" w:rsidP="00C533B9">
      <w:pPr>
        <w:keepNext/>
        <w:pBdr>
          <w:top w:val="nil"/>
          <w:left w:val="nil"/>
          <w:bottom w:val="nil"/>
          <w:right w:val="nil"/>
          <w:between w:val="nil"/>
        </w:pBdr>
        <w:tabs>
          <w:tab w:val="left" w:pos="720"/>
        </w:tabs>
        <w:spacing w:after="220" w:line="240" w:lineRule="auto"/>
        <w:jc w:val="both"/>
        <w:rPr>
          <w:bCs/>
          <w:u w:val="single"/>
        </w:rPr>
      </w:pPr>
      <w:r w:rsidRPr="00C533B9">
        <w:rPr>
          <w:bCs/>
        </w:rPr>
        <w:t>(v) Pièce</w:t>
      </w:r>
      <w:r w:rsidR="005E7407">
        <w:rPr>
          <w:bCs/>
        </w:rPr>
        <w:t> </w:t>
      </w:r>
      <w:r w:rsidRPr="00C533B9">
        <w:rPr>
          <w:bCs/>
        </w:rPr>
        <w:t>B-0064</w:t>
      </w:r>
      <w:r w:rsidR="005E7407">
        <w:rPr>
          <w:bCs/>
        </w:rPr>
        <w:t> </w:t>
      </w:r>
      <w:r w:rsidRPr="00C533B9">
        <w:rPr>
          <w:bCs/>
        </w:rPr>
        <w:t xml:space="preserve">: </w:t>
      </w:r>
      <w:r w:rsidR="001945AD" w:rsidRPr="00C533B9">
        <w:rPr>
          <w:bCs/>
        </w:rPr>
        <w:t>section</w:t>
      </w:r>
      <w:r w:rsidR="005E7407">
        <w:rPr>
          <w:bCs/>
        </w:rPr>
        <w:t> </w:t>
      </w:r>
      <w:r w:rsidR="001945AD" w:rsidRPr="00C533B9">
        <w:rPr>
          <w:bCs/>
        </w:rPr>
        <w:t>2.3.</w:t>
      </w:r>
      <w:r w:rsidR="00ED73FE" w:rsidRPr="00C533B9">
        <w:rPr>
          <w:bCs/>
        </w:rPr>
        <w:t xml:space="preserve"> tableau</w:t>
      </w:r>
      <w:r w:rsidR="005E7407">
        <w:rPr>
          <w:bCs/>
        </w:rPr>
        <w:t> </w:t>
      </w:r>
      <w:r w:rsidR="00ED73FE" w:rsidRPr="00C533B9">
        <w:rPr>
          <w:bCs/>
        </w:rPr>
        <w:t>4</w:t>
      </w:r>
      <w:r w:rsidR="007D7867" w:rsidRPr="00C533B9">
        <w:rPr>
          <w:bCs/>
        </w:rPr>
        <w:t xml:space="preserve"> caviardé</w:t>
      </w:r>
      <w:r w:rsidR="00ED73FE" w:rsidRPr="00C533B9">
        <w:rPr>
          <w:bCs/>
        </w:rPr>
        <w:t>,</w:t>
      </w:r>
      <w:r w:rsidR="001945AD" w:rsidRPr="00C533B9">
        <w:rPr>
          <w:bCs/>
        </w:rPr>
        <w:t xml:space="preserve"> page</w:t>
      </w:r>
      <w:r w:rsidR="005E7407">
        <w:rPr>
          <w:bCs/>
        </w:rPr>
        <w:t> </w:t>
      </w:r>
      <w:r w:rsidR="001945AD" w:rsidRPr="00C533B9">
        <w:rPr>
          <w:bCs/>
        </w:rPr>
        <w:t>14.</w:t>
      </w:r>
    </w:p>
    <w:p w14:paraId="0DF28DF8" w14:textId="53866373" w:rsidR="005E0F68" w:rsidRPr="00C533B9" w:rsidRDefault="005E0F68" w:rsidP="001945AD">
      <w:pPr>
        <w:keepNext/>
        <w:pBdr>
          <w:top w:val="nil"/>
          <w:left w:val="nil"/>
          <w:bottom w:val="nil"/>
          <w:right w:val="nil"/>
          <w:between w:val="nil"/>
        </w:pBdr>
        <w:shd w:val="clear" w:color="auto" w:fill="FFFFFF" w:themeFill="background1"/>
        <w:tabs>
          <w:tab w:val="left" w:pos="720"/>
        </w:tabs>
        <w:spacing w:after="220" w:line="240" w:lineRule="auto"/>
        <w:ind w:left="2977"/>
        <w:jc w:val="both"/>
        <w:rPr>
          <w:b/>
        </w:rPr>
      </w:pPr>
    </w:p>
    <w:p w14:paraId="467FA837" w14:textId="77777777" w:rsidR="00C533B9" w:rsidRDefault="00C533B9" w:rsidP="00EE2132">
      <w:pPr>
        <w:keepNext/>
        <w:pBdr>
          <w:top w:val="nil"/>
          <w:left w:val="nil"/>
          <w:bottom w:val="nil"/>
          <w:right w:val="nil"/>
          <w:between w:val="nil"/>
        </w:pBdr>
        <w:tabs>
          <w:tab w:val="left" w:pos="720"/>
        </w:tabs>
        <w:spacing w:after="220" w:line="240" w:lineRule="auto"/>
        <w:jc w:val="both"/>
        <w:rPr>
          <w:b/>
        </w:rPr>
      </w:pPr>
      <w:r>
        <w:rPr>
          <w:b/>
        </w:rPr>
        <w:br w:type="page"/>
      </w:r>
    </w:p>
    <w:p w14:paraId="370930B2" w14:textId="48D1DB5E" w:rsidR="007F5C9A" w:rsidRPr="00C533B9" w:rsidRDefault="0025576E" w:rsidP="00EE2132">
      <w:pPr>
        <w:keepNext/>
        <w:pBdr>
          <w:top w:val="nil"/>
          <w:left w:val="nil"/>
          <w:bottom w:val="nil"/>
          <w:right w:val="nil"/>
          <w:between w:val="nil"/>
        </w:pBdr>
        <w:tabs>
          <w:tab w:val="left" w:pos="720"/>
        </w:tabs>
        <w:spacing w:after="220" w:line="240" w:lineRule="auto"/>
        <w:jc w:val="both"/>
        <w:rPr>
          <w:b/>
        </w:rPr>
      </w:pPr>
      <w:r w:rsidRPr="00C533B9">
        <w:rPr>
          <w:b/>
        </w:rPr>
        <w:lastRenderedPageBreak/>
        <w:t>Préambule</w:t>
      </w:r>
      <w:r w:rsidR="005E7407">
        <w:rPr>
          <w:b/>
        </w:rPr>
        <w:t> </w:t>
      </w:r>
      <w:r w:rsidR="00C533B9">
        <w:rPr>
          <w:b/>
        </w:rPr>
        <w:t xml:space="preserve">: </w:t>
      </w:r>
    </w:p>
    <w:p w14:paraId="64B20FE1" w14:textId="633CED4F" w:rsidR="002D077E" w:rsidRDefault="002D077E">
      <w:pPr>
        <w:rPr>
          <w:u w:val="single"/>
        </w:rPr>
      </w:pPr>
      <w:r w:rsidRPr="00C533B9">
        <w:rPr>
          <w:u w:val="single"/>
        </w:rPr>
        <w:t>Référence (i)</w:t>
      </w:r>
    </w:p>
    <w:p w14:paraId="5BF7576B" w14:textId="2FA8C7B0" w:rsidR="002D077E" w:rsidRDefault="002D077E">
      <w:r w:rsidRPr="002D077E">
        <w:rPr>
          <w:noProof/>
        </w:rPr>
        <w:drawing>
          <wp:inline distT="0" distB="0" distL="0" distR="0" wp14:anchorId="3B82EB39" wp14:editId="53B847EC">
            <wp:extent cx="5943600" cy="4506595"/>
            <wp:effectExtent l="152400" t="133350" r="152400" b="141605"/>
            <wp:docPr id="761757241" name="Image 761757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506595"/>
                    </a:xfrm>
                    <a:prstGeom prst="rect">
                      <a:avLst/>
                    </a:prstGeom>
                    <a:noFill/>
                    <a:ln>
                      <a:solidFill>
                        <a:schemeClr val="accent1"/>
                      </a:solidFill>
                    </a:ln>
                    <a:effectLst>
                      <a:outerShdw blurRad="63500" sx="102000" sy="102000" algn="ctr" rotWithShape="0">
                        <a:prstClr val="black">
                          <a:alpha val="40000"/>
                        </a:prstClr>
                      </a:outerShdw>
                    </a:effectLst>
                  </pic:spPr>
                </pic:pic>
              </a:graphicData>
            </a:graphic>
          </wp:inline>
        </w:drawing>
      </w:r>
    </w:p>
    <w:p w14:paraId="17A4B5D7" w14:textId="3DE21539" w:rsidR="002D077E" w:rsidRDefault="002D077E">
      <w:r>
        <w:t>»</w:t>
      </w:r>
    </w:p>
    <w:p w14:paraId="476418D2" w14:textId="642D7BB7" w:rsidR="002D077E" w:rsidRPr="00C533B9" w:rsidRDefault="00A86922">
      <w:pPr>
        <w:rPr>
          <w:u w:val="single"/>
        </w:rPr>
      </w:pPr>
      <w:r w:rsidRPr="00C533B9">
        <w:rPr>
          <w:u w:val="single"/>
        </w:rPr>
        <w:t>Ré</w:t>
      </w:r>
      <w:r w:rsidR="00A87F75" w:rsidRPr="00C533B9">
        <w:rPr>
          <w:u w:val="single"/>
        </w:rPr>
        <w:t xml:space="preserve">férence (ii) </w:t>
      </w:r>
    </w:p>
    <w:p w14:paraId="46FF2CEC" w14:textId="77777777" w:rsidR="00A87F75" w:rsidRDefault="00A87F75"/>
    <w:p w14:paraId="1EBF3B87" w14:textId="3CFDCBA8" w:rsidR="00265702" w:rsidRDefault="00A87F75" w:rsidP="00C533B9">
      <w:pPr>
        <w:ind w:left="720"/>
        <w:jc w:val="both"/>
      </w:pPr>
      <w:r>
        <w:t>«</w:t>
      </w:r>
      <w:r w:rsidR="005E7407">
        <w:t> </w:t>
      </w:r>
      <w:r w:rsidR="009F23C6" w:rsidRPr="00A87F75">
        <w:rPr>
          <w:i/>
          <w:iCs/>
        </w:rPr>
        <w:t xml:space="preserve">Notons que ces prévisions pourraient être révisées à la hausse advenant le cas où les volumes de GNR injectés étaient plus importants </w:t>
      </w:r>
      <w:r w:rsidR="009F23C6" w:rsidRPr="006D1BF2">
        <w:rPr>
          <w:i/>
          <w:iCs/>
          <w:u w:val="single"/>
        </w:rPr>
        <w:t>ou si l’IC du GNR déterminé par le modèle ACV était inférieure à 14</w:t>
      </w:r>
      <w:r w:rsidR="005E7407">
        <w:rPr>
          <w:i/>
          <w:iCs/>
          <w:u w:val="single"/>
        </w:rPr>
        <w:t> </w:t>
      </w:r>
      <w:r w:rsidR="009F23C6" w:rsidRPr="006D1BF2">
        <w:rPr>
          <w:i/>
          <w:iCs/>
          <w:u w:val="single"/>
        </w:rPr>
        <w:t xml:space="preserve">g </w:t>
      </w:r>
      <w:proofErr w:type="spellStart"/>
      <w:r w:rsidR="009F23C6" w:rsidRPr="006D1BF2">
        <w:rPr>
          <w:i/>
          <w:iCs/>
          <w:u w:val="single"/>
        </w:rPr>
        <w:t>éq</w:t>
      </w:r>
      <w:proofErr w:type="spellEnd"/>
      <w:r w:rsidR="009F23C6" w:rsidRPr="006D1BF2">
        <w:rPr>
          <w:i/>
          <w:iCs/>
          <w:u w:val="single"/>
        </w:rPr>
        <w:t xml:space="preserve">. CO2/MJ. </w:t>
      </w:r>
      <w:r w:rsidR="009F23C6" w:rsidRPr="00A87F75">
        <w:rPr>
          <w:i/>
          <w:iCs/>
        </w:rPr>
        <w:t xml:space="preserve">Ces prévisions pourraient également être révisées à la baisse advenant le cas où les volumes de GNR injectés étaient moindres, que certains futurs contrats d’approvisionnement ne permettaient pas à Énergir de signer un accord de création avec les producteurs de </w:t>
      </w:r>
      <w:r w:rsidR="000605F3">
        <w:rPr>
          <w:i/>
          <w:iCs/>
        </w:rPr>
        <w:t>GNR</w:t>
      </w:r>
      <w:r w:rsidR="009F23C6" w:rsidRPr="00A87F75">
        <w:rPr>
          <w:i/>
          <w:iCs/>
        </w:rPr>
        <w:t xml:space="preserve"> au Canada ou qu’Énergir ne puisse pas être considérée comme l’importateur dans le cas du </w:t>
      </w:r>
      <w:r w:rsidR="000605F3">
        <w:rPr>
          <w:i/>
          <w:iCs/>
        </w:rPr>
        <w:t>GNR</w:t>
      </w:r>
      <w:r w:rsidR="009F23C6" w:rsidRPr="00A87F75">
        <w:rPr>
          <w:i/>
          <w:iCs/>
        </w:rPr>
        <w:t xml:space="preserve"> produit hors du Canada</w:t>
      </w:r>
      <w:r w:rsidR="009F23C6">
        <w:t>.</w:t>
      </w:r>
      <w:r w:rsidR="005E7407">
        <w:t> </w:t>
      </w:r>
      <w:r>
        <w:t>»</w:t>
      </w:r>
      <w:r w:rsidR="006D1BF2">
        <w:t xml:space="preserve"> (nos soulignés)</w:t>
      </w:r>
    </w:p>
    <w:p w14:paraId="3483A1EF" w14:textId="77777777" w:rsidR="00265702" w:rsidRDefault="00265702"/>
    <w:p w14:paraId="0D4D597A" w14:textId="77777777" w:rsidR="00C533B9" w:rsidRDefault="00C533B9">
      <w:pPr>
        <w:rPr>
          <w:u w:val="single"/>
        </w:rPr>
      </w:pPr>
    </w:p>
    <w:p w14:paraId="4C9D99BB" w14:textId="1B32FD29" w:rsidR="00462ACF" w:rsidRPr="00C533B9" w:rsidRDefault="00462ACF">
      <w:pPr>
        <w:rPr>
          <w:u w:val="single"/>
        </w:rPr>
      </w:pPr>
      <w:r w:rsidRPr="00C533B9">
        <w:rPr>
          <w:u w:val="single"/>
        </w:rPr>
        <w:lastRenderedPageBreak/>
        <w:t xml:space="preserve">Référence (iii) </w:t>
      </w:r>
    </w:p>
    <w:p w14:paraId="4FF3F2C1" w14:textId="101E8BB5" w:rsidR="00DF750F" w:rsidRPr="00D42102" w:rsidRDefault="004B42D1" w:rsidP="00C533B9">
      <w:pPr>
        <w:jc w:val="center"/>
        <w:rPr>
          <w:i/>
          <w:iCs/>
        </w:rPr>
      </w:pPr>
      <w:r>
        <w:rPr>
          <w:noProof/>
        </w:rPr>
        <w:drawing>
          <wp:inline distT="0" distB="0" distL="0" distR="0" wp14:anchorId="3619D3CC" wp14:editId="71BB4569">
            <wp:extent cx="4626022" cy="2858458"/>
            <wp:effectExtent l="19050" t="19050" r="22225" b="18415"/>
            <wp:docPr id="9023874" name="Image 9023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023874"/>
                    <pic:cNvPicPr/>
                  </pic:nvPicPr>
                  <pic:blipFill rotWithShape="1">
                    <a:blip r:embed="rId14">
                      <a:extLst>
                        <a:ext uri="{28A0092B-C50C-407E-A947-70E740481C1C}">
                          <a14:useLocalDpi xmlns:a14="http://schemas.microsoft.com/office/drawing/2010/main" val="0"/>
                        </a:ext>
                      </a:extLst>
                    </a:blip>
                    <a:srcRect l="9990" r="12166" b="16848"/>
                    <a:stretch/>
                  </pic:blipFill>
                  <pic:spPr bwMode="auto">
                    <a:xfrm>
                      <a:off x="0" y="0"/>
                      <a:ext cx="4627232" cy="2859206"/>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3AEA6F16" w14:textId="76D7BFD3" w:rsidR="00ED73FE" w:rsidRPr="00C533B9" w:rsidRDefault="00ED73FE">
      <w:pPr>
        <w:spacing w:line="240" w:lineRule="auto"/>
        <w:rPr>
          <w:u w:val="single"/>
        </w:rPr>
      </w:pPr>
      <w:r w:rsidRPr="00C533B9">
        <w:rPr>
          <w:u w:val="single"/>
        </w:rPr>
        <w:t>Référence (iv)</w:t>
      </w:r>
      <w:r w:rsidR="005E7407">
        <w:rPr>
          <w:u w:val="single"/>
        </w:rPr>
        <w:t> </w:t>
      </w:r>
      <w:r w:rsidRPr="00C533B9">
        <w:rPr>
          <w:u w:val="single"/>
        </w:rPr>
        <w:t xml:space="preserve">: </w:t>
      </w:r>
    </w:p>
    <w:p w14:paraId="03F2C678" w14:textId="77777777" w:rsidR="00ED73FE" w:rsidRDefault="00ED73FE">
      <w:pPr>
        <w:spacing w:line="240" w:lineRule="auto"/>
      </w:pPr>
    </w:p>
    <w:p w14:paraId="7123E5D2" w14:textId="19332928" w:rsidR="00ED73FE" w:rsidRPr="00ED73FE" w:rsidRDefault="00ED73FE" w:rsidP="00C533B9">
      <w:pPr>
        <w:autoSpaceDE w:val="0"/>
        <w:autoSpaceDN w:val="0"/>
        <w:adjustRightInd w:val="0"/>
        <w:spacing w:line="240" w:lineRule="auto"/>
        <w:ind w:left="720"/>
        <w:jc w:val="both"/>
      </w:pPr>
      <w:r w:rsidRPr="00ED73FE">
        <w:rPr>
          <w:i/>
          <w:iCs/>
        </w:rPr>
        <w:t>«</w:t>
      </w:r>
      <w:r w:rsidR="005E7407">
        <w:rPr>
          <w:i/>
          <w:iCs/>
        </w:rPr>
        <w:t> </w:t>
      </w:r>
      <w:r w:rsidRPr="00ED73FE">
        <w:rPr>
          <w:i/>
          <w:iCs/>
        </w:rPr>
        <w:t>Selon cette analyse, il est toutefois difficile d’évaluer l’impact de cette réglementation à l’horizon</w:t>
      </w:r>
      <w:r w:rsidR="005E7407">
        <w:rPr>
          <w:i/>
          <w:iCs/>
        </w:rPr>
        <w:t> </w:t>
      </w:r>
      <w:r w:rsidRPr="00ED73FE">
        <w:rPr>
          <w:i/>
          <w:iCs/>
        </w:rPr>
        <w:t>2025, où une proportion minimale de 5</w:t>
      </w:r>
      <w:r w:rsidR="005E7407">
        <w:rPr>
          <w:i/>
          <w:iCs/>
        </w:rPr>
        <w:t> </w:t>
      </w:r>
      <w:r w:rsidRPr="00ED73FE">
        <w:rPr>
          <w:i/>
          <w:iCs/>
        </w:rPr>
        <w:t xml:space="preserve">% de GNR serait exigée, considérant, notamment, l’incertitude sur l’évolution du prix du gaz naturel, du coût des droits d’émission du système québécois de plafonnement et d’échange de droits d’émission (SPEDE) et de l’évolution des technologies de production du GNR. La poursuite de cette mesure, si le coût d’acquisition du GNR devait se maintenir à un niveau supérieur à celui du gaz naturel d’origine fossile, pourrait constituer une contrainte à la compétitivité des entreprises québécoises. </w:t>
      </w:r>
      <w:r w:rsidRPr="00ED73FE">
        <w:rPr>
          <w:i/>
          <w:iCs/>
          <w:u w:val="single"/>
        </w:rPr>
        <w:t>Toutefois, une hausse des droits d’émission du SPEDE et du gaz naturel contribuerait à réduire le surcoût d’achat du GNR et l’écart tarifaire entre les deux types de fournitures.</w:t>
      </w:r>
      <w:r w:rsidR="005E7407">
        <w:rPr>
          <w:i/>
          <w:iCs/>
          <w:u w:val="single"/>
        </w:rPr>
        <w:t> </w:t>
      </w:r>
      <w:r>
        <w:rPr>
          <w:i/>
          <w:iCs/>
          <w:u w:val="single"/>
        </w:rPr>
        <w:t xml:space="preserve">» </w:t>
      </w:r>
      <w:r w:rsidRPr="00ED73FE">
        <w:t>(nos soulignés)</w:t>
      </w:r>
    </w:p>
    <w:p w14:paraId="1123226C" w14:textId="31A3BA03" w:rsidR="00ED73FE" w:rsidRPr="00ED73FE" w:rsidRDefault="00ED73FE">
      <w:pPr>
        <w:spacing w:line="240" w:lineRule="auto"/>
        <w:rPr>
          <w:i/>
          <w:iCs/>
        </w:rPr>
      </w:pPr>
    </w:p>
    <w:p w14:paraId="78C68080" w14:textId="77777777" w:rsidR="00ED73FE" w:rsidRDefault="00ED73FE">
      <w:pPr>
        <w:spacing w:line="240" w:lineRule="auto"/>
      </w:pPr>
    </w:p>
    <w:p w14:paraId="5AF46298" w14:textId="4DE6FFFB" w:rsidR="007F5C9A" w:rsidRPr="00C533B9" w:rsidRDefault="7281830D">
      <w:pPr>
        <w:spacing w:line="240" w:lineRule="auto"/>
        <w:rPr>
          <w:u w:val="single"/>
        </w:rPr>
      </w:pPr>
      <w:r w:rsidRPr="00C533B9">
        <w:rPr>
          <w:u w:val="single"/>
        </w:rPr>
        <w:t>Référence (v)</w:t>
      </w:r>
      <w:r w:rsidR="005E7407">
        <w:rPr>
          <w:u w:val="single"/>
        </w:rPr>
        <w:t> </w:t>
      </w:r>
      <w:r w:rsidRPr="00C533B9">
        <w:rPr>
          <w:u w:val="single"/>
        </w:rPr>
        <w:t>:</w:t>
      </w:r>
    </w:p>
    <w:p w14:paraId="752A13BC" w14:textId="008920FF" w:rsidR="007F5C9A" w:rsidRDefault="007F5C9A" w:rsidP="7281830D">
      <w:pPr>
        <w:spacing w:line="240" w:lineRule="auto"/>
      </w:pPr>
    </w:p>
    <w:p w14:paraId="4D5E4A57" w14:textId="053D8CF0" w:rsidR="007F5C9A" w:rsidRPr="007D7867" w:rsidRDefault="007D7867">
      <w:pPr>
        <w:spacing w:line="240" w:lineRule="auto"/>
        <w:rPr>
          <w:i/>
          <w:iCs/>
        </w:rPr>
      </w:pPr>
      <w:r w:rsidRPr="007D7867">
        <w:rPr>
          <w:i/>
          <w:iCs/>
        </w:rPr>
        <w:t>tableau</w:t>
      </w:r>
      <w:r w:rsidR="005E7407">
        <w:rPr>
          <w:i/>
          <w:iCs/>
        </w:rPr>
        <w:t> </w:t>
      </w:r>
      <w:r w:rsidRPr="007D7867">
        <w:rPr>
          <w:i/>
          <w:iCs/>
        </w:rPr>
        <w:t>4 caviardé</w:t>
      </w:r>
    </w:p>
    <w:p w14:paraId="74ECAE5E" w14:textId="711E194C" w:rsidR="007F5C9A" w:rsidRPr="00C533B9" w:rsidRDefault="00C533B9">
      <w:pPr>
        <w:keepNext/>
        <w:spacing w:after="220" w:line="240" w:lineRule="auto"/>
        <w:jc w:val="both"/>
        <w:rPr>
          <w:b/>
          <w:bCs/>
          <w:u w:val="single"/>
        </w:rPr>
      </w:pPr>
      <w:r>
        <w:rPr>
          <w:b/>
          <w:bCs/>
          <w:u w:val="single"/>
        </w:rPr>
        <w:br w:type="page"/>
      </w:r>
      <w:r w:rsidR="00F04705">
        <w:rPr>
          <w:b/>
          <w:u w:val="single"/>
        </w:rPr>
        <w:lastRenderedPageBreak/>
        <w:t>Demandes</w:t>
      </w:r>
      <w:r w:rsidR="005E7407">
        <w:rPr>
          <w:b/>
          <w:u w:val="single"/>
        </w:rPr>
        <w:t> </w:t>
      </w:r>
      <w:r w:rsidR="00F04705">
        <w:rPr>
          <w:b/>
        </w:rPr>
        <w:t>:</w:t>
      </w:r>
    </w:p>
    <w:p w14:paraId="7CC1404B" w14:textId="00748C7B" w:rsidR="005317DB" w:rsidRDefault="0087236D" w:rsidP="005317DB">
      <w:pPr>
        <w:numPr>
          <w:ilvl w:val="1"/>
          <w:numId w:val="3"/>
        </w:numPr>
        <w:pBdr>
          <w:top w:val="nil"/>
          <w:left w:val="nil"/>
          <w:bottom w:val="nil"/>
          <w:right w:val="nil"/>
          <w:between w:val="nil"/>
        </w:pBdr>
        <w:tabs>
          <w:tab w:val="left" w:pos="720"/>
        </w:tabs>
        <w:spacing w:after="220" w:line="240" w:lineRule="auto"/>
        <w:ind w:left="709" w:hanging="709"/>
        <w:jc w:val="both"/>
      </w:pPr>
      <w:r>
        <w:t>À partir de la référence (i), v</w:t>
      </w:r>
      <w:r w:rsidR="005317DB">
        <w:t>euillez compléter</w:t>
      </w:r>
      <w:r w:rsidR="00ED73FE">
        <w:t>, selon les intensités carbone</w:t>
      </w:r>
      <w:r w:rsidR="00456DCE">
        <w:t xml:space="preserve"> (IC)</w:t>
      </w:r>
      <w:r w:rsidR="00ED73FE">
        <w:t xml:space="preserve"> qui figurent à la </w:t>
      </w:r>
      <w:r w:rsidR="00870CE2">
        <w:t>rangée</w:t>
      </w:r>
      <w:r w:rsidR="005E7407">
        <w:t> </w:t>
      </w:r>
      <w:r w:rsidR="00ED73FE">
        <w:t>1</w:t>
      </w:r>
      <w:r w:rsidR="00870CE2">
        <w:t>,</w:t>
      </w:r>
      <w:r w:rsidR="005317DB">
        <w:t xml:space="preserve"> les </w:t>
      </w:r>
      <w:r w:rsidR="00870CE2">
        <w:t>rangées</w:t>
      </w:r>
      <w:r w:rsidR="005E7407">
        <w:t> </w:t>
      </w:r>
      <w:r w:rsidR="00870CE2">
        <w:t>8</w:t>
      </w:r>
      <w:r w:rsidR="005317DB">
        <w:t xml:space="preserve"> à </w:t>
      </w:r>
      <w:r w:rsidR="00870CE2">
        <w:t>10</w:t>
      </w:r>
      <w:r w:rsidR="005317DB">
        <w:t xml:space="preserve"> du tableau ci-dessous.</w:t>
      </w:r>
    </w:p>
    <w:p w14:paraId="25C6C61A" w14:textId="4A68856C" w:rsidR="00870CE2" w:rsidRDefault="00870CE2" w:rsidP="00C533B9">
      <w:pPr>
        <w:pBdr>
          <w:top w:val="nil"/>
          <w:left w:val="nil"/>
          <w:bottom w:val="nil"/>
          <w:right w:val="nil"/>
          <w:between w:val="nil"/>
        </w:pBdr>
        <w:spacing w:after="220" w:line="240" w:lineRule="auto"/>
        <w:jc w:val="both"/>
      </w:pPr>
      <w:r>
        <w:rPr>
          <w:noProof/>
        </w:rPr>
        <w:drawing>
          <wp:inline distT="0" distB="0" distL="0" distR="0" wp14:anchorId="0FA64021" wp14:editId="11B0FA60">
            <wp:extent cx="6010585" cy="1593850"/>
            <wp:effectExtent l="0" t="0" r="9525" b="6350"/>
            <wp:docPr id="41515200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6438" cy="1595402"/>
                    </a:xfrm>
                    <a:prstGeom prst="rect">
                      <a:avLst/>
                    </a:prstGeom>
                    <a:noFill/>
                  </pic:spPr>
                </pic:pic>
              </a:graphicData>
            </a:graphic>
          </wp:inline>
        </w:drawing>
      </w:r>
    </w:p>
    <w:p w14:paraId="5951455A" w14:textId="7123A75B" w:rsidR="00987F6D" w:rsidRDefault="00475A93" w:rsidP="00987F6D">
      <w:pPr>
        <w:numPr>
          <w:ilvl w:val="1"/>
          <w:numId w:val="3"/>
        </w:numPr>
        <w:pBdr>
          <w:top w:val="nil"/>
          <w:left w:val="nil"/>
          <w:bottom w:val="nil"/>
          <w:right w:val="nil"/>
          <w:between w:val="nil"/>
        </w:pBdr>
        <w:tabs>
          <w:tab w:val="left" w:pos="720"/>
        </w:tabs>
        <w:spacing w:before="240" w:after="220" w:line="240" w:lineRule="auto"/>
        <w:ind w:left="709" w:hanging="709"/>
        <w:jc w:val="both"/>
      </w:pPr>
      <w:r>
        <w:t>En utilisant le gabarit du tableau</w:t>
      </w:r>
      <w:r w:rsidR="005E7407">
        <w:t> </w:t>
      </w:r>
      <w:r>
        <w:t>16</w:t>
      </w:r>
      <w:r w:rsidR="003134C4">
        <w:t xml:space="preserve"> (</w:t>
      </w:r>
      <w:r w:rsidR="00C42741">
        <w:t>i</w:t>
      </w:r>
      <w:r w:rsidR="00537E2D">
        <w:t>ii</w:t>
      </w:r>
      <w:r w:rsidR="003134C4">
        <w:t>)</w:t>
      </w:r>
      <w:r>
        <w:t xml:space="preserve">, veuillez calculer le tarif </w:t>
      </w:r>
      <w:r w:rsidR="000605F3">
        <w:t>GNR</w:t>
      </w:r>
      <w:r>
        <w:t xml:space="preserve"> résultant de valeurs d’intensité carbone de 10, de zéro, de -10 et de </w:t>
      </w:r>
      <w:r w:rsidR="00EA203D">
        <w:t>-</w:t>
      </w:r>
      <w:r>
        <w:t>50.</w:t>
      </w:r>
    </w:p>
    <w:p w14:paraId="0ACDC6DD" w14:textId="265AD7EB" w:rsidR="00475A93" w:rsidRDefault="001945AD" w:rsidP="00475A93">
      <w:pPr>
        <w:numPr>
          <w:ilvl w:val="1"/>
          <w:numId w:val="3"/>
        </w:numPr>
        <w:pBdr>
          <w:top w:val="nil"/>
          <w:left w:val="nil"/>
          <w:bottom w:val="nil"/>
          <w:right w:val="nil"/>
          <w:between w:val="nil"/>
        </w:pBdr>
        <w:tabs>
          <w:tab w:val="left" w:pos="720"/>
        </w:tabs>
        <w:spacing w:after="220" w:line="240" w:lineRule="auto"/>
        <w:ind w:left="709" w:hanging="709"/>
        <w:jc w:val="both"/>
      </w:pPr>
      <w:r>
        <w:t>Veuillez p</w:t>
      </w:r>
      <w:r w:rsidR="00475A93" w:rsidRPr="005863C4">
        <w:t xml:space="preserve">résenter l’impact </w:t>
      </w:r>
      <w:r>
        <w:t>combiné</w:t>
      </w:r>
      <w:r w:rsidR="00475A93" w:rsidRPr="005863C4">
        <w:t xml:space="preserve"> </w:t>
      </w:r>
      <w:bookmarkStart w:id="3" w:name="_Hlk137805240"/>
      <w:r w:rsidR="00806235">
        <w:t xml:space="preserve">de </w:t>
      </w:r>
      <w:r>
        <w:t xml:space="preserve">l’assujettissement </w:t>
      </w:r>
      <w:r w:rsidR="0000007D">
        <w:t>d’Éne</w:t>
      </w:r>
      <w:r w:rsidR="00697F81">
        <w:t>r</w:t>
      </w:r>
      <w:r w:rsidR="0000007D">
        <w:t>gir</w:t>
      </w:r>
      <w:r w:rsidR="00475A93" w:rsidRPr="005863C4">
        <w:t xml:space="preserve"> </w:t>
      </w:r>
      <w:bookmarkEnd w:id="3"/>
      <w:r w:rsidR="00697F81">
        <w:t xml:space="preserve">au </w:t>
      </w:r>
      <w:r w:rsidR="00475A93" w:rsidRPr="005863C4">
        <w:t>SPEDE (</w:t>
      </w:r>
      <w:r w:rsidR="00651971">
        <w:t>i</w:t>
      </w:r>
      <w:r w:rsidR="7281830D">
        <w:t>v</w:t>
      </w:r>
      <w:r w:rsidR="00475A93" w:rsidRPr="005863C4">
        <w:t>)</w:t>
      </w:r>
      <w:r>
        <w:t xml:space="preserve"> sur les tarifs du gaz naturel conventionnel et du prix </w:t>
      </w:r>
      <w:r w:rsidR="00475A93" w:rsidRPr="005863C4">
        <w:t xml:space="preserve">réduit </w:t>
      </w:r>
      <w:r w:rsidR="000605F3">
        <w:t>GNR</w:t>
      </w:r>
      <w:r w:rsidR="00475A93" w:rsidRPr="005863C4">
        <w:t xml:space="preserve"> présenté au tableau</w:t>
      </w:r>
      <w:r w:rsidR="005E7407">
        <w:t> </w:t>
      </w:r>
      <w:r w:rsidR="00475A93" w:rsidRPr="005863C4">
        <w:t>16</w:t>
      </w:r>
      <w:r>
        <w:t xml:space="preserve"> (iii) </w:t>
      </w:r>
      <w:r w:rsidR="00475A93" w:rsidRPr="005863C4">
        <w:t>avec</w:t>
      </w:r>
      <w:r w:rsidR="00475A93" w:rsidRPr="00014FA3">
        <w:t xml:space="preserve"> </w:t>
      </w:r>
      <w:r w:rsidR="00475A93">
        <w:t>des valeurs d’intensité carbone</w:t>
      </w:r>
      <w:r w:rsidR="00697F81">
        <w:t xml:space="preserve"> du </w:t>
      </w:r>
      <w:r w:rsidR="000605F3">
        <w:t>GNR</w:t>
      </w:r>
      <w:r w:rsidR="00475A93">
        <w:t> </w:t>
      </w:r>
      <w:r>
        <w:t>de 14</w:t>
      </w:r>
      <w:r w:rsidR="00475A93">
        <w:t>, de zéro, de - 10 et de – 50.</w:t>
      </w:r>
    </w:p>
    <w:p w14:paraId="094A43B4" w14:textId="446EA04D" w:rsidR="00475A93" w:rsidRDefault="00475A93" w:rsidP="00070DA6">
      <w:pPr>
        <w:numPr>
          <w:ilvl w:val="1"/>
          <w:numId w:val="3"/>
        </w:numPr>
        <w:pBdr>
          <w:top w:val="nil"/>
          <w:left w:val="nil"/>
          <w:bottom w:val="nil"/>
          <w:right w:val="nil"/>
          <w:between w:val="nil"/>
        </w:pBdr>
        <w:tabs>
          <w:tab w:val="left" w:pos="720"/>
        </w:tabs>
        <w:spacing w:after="220" w:line="240" w:lineRule="auto"/>
        <w:ind w:left="709" w:hanging="709"/>
        <w:jc w:val="both"/>
      </w:pPr>
      <w:r>
        <w:t xml:space="preserve">Élaborer sur cet impact en tenant compte de </w:t>
      </w:r>
      <w:r w:rsidR="003B297D">
        <w:t xml:space="preserve">la </w:t>
      </w:r>
      <w:r w:rsidR="00DE5A0A">
        <w:t>prévision</w:t>
      </w:r>
      <w:r>
        <w:t xml:space="preserve"> du prix des droits d’émission de carbone </w:t>
      </w:r>
      <w:r w:rsidR="003B297D">
        <w:t>dans le cadre du SPEDE</w:t>
      </w:r>
      <w:r w:rsidR="004C4B1F">
        <w:t xml:space="preserve"> (</w:t>
      </w:r>
      <w:r w:rsidR="7281830D">
        <w:t>v</w:t>
      </w:r>
      <w:r w:rsidR="004C4B1F">
        <w:t>)</w:t>
      </w:r>
      <w:r w:rsidR="003B297D">
        <w:t>.</w:t>
      </w:r>
    </w:p>
    <w:p w14:paraId="7586A89B" w14:textId="77777777" w:rsidR="00475A93" w:rsidRDefault="00475A93" w:rsidP="00EE7473">
      <w:pPr>
        <w:pBdr>
          <w:top w:val="nil"/>
          <w:left w:val="nil"/>
          <w:bottom w:val="nil"/>
          <w:right w:val="nil"/>
          <w:between w:val="nil"/>
        </w:pBdr>
        <w:tabs>
          <w:tab w:val="left" w:pos="720"/>
        </w:tabs>
        <w:spacing w:after="220" w:line="240" w:lineRule="auto"/>
        <w:ind w:left="709"/>
        <w:jc w:val="both"/>
      </w:pPr>
    </w:p>
    <w:p w14:paraId="1572F501" w14:textId="77777777" w:rsidR="002D077E" w:rsidRDefault="002D077E" w:rsidP="00F95E35">
      <w:pPr>
        <w:pBdr>
          <w:top w:val="nil"/>
          <w:left w:val="nil"/>
          <w:bottom w:val="nil"/>
          <w:right w:val="nil"/>
          <w:between w:val="nil"/>
        </w:pBdr>
        <w:tabs>
          <w:tab w:val="left" w:pos="720"/>
        </w:tabs>
        <w:spacing w:after="220" w:line="240" w:lineRule="auto"/>
        <w:ind w:left="709"/>
        <w:jc w:val="both"/>
      </w:pPr>
    </w:p>
    <w:sectPr w:rsidR="002D077E">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519CF" w14:textId="77777777" w:rsidR="00A30757" w:rsidRDefault="00A30757">
      <w:pPr>
        <w:spacing w:line="240" w:lineRule="auto"/>
      </w:pPr>
      <w:r>
        <w:separator/>
      </w:r>
    </w:p>
  </w:endnote>
  <w:endnote w:type="continuationSeparator" w:id="0">
    <w:p w14:paraId="1DA4C29D" w14:textId="77777777" w:rsidR="00A30757" w:rsidRDefault="00A30757">
      <w:pPr>
        <w:spacing w:line="240" w:lineRule="auto"/>
      </w:pPr>
      <w:r>
        <w:continuationSeparator/>
      </w:r>
    </w:p>
  </w:endnote>
  <w:endnote w:type="continuationNotice" w:id="1">
    <w:p w14:paraId="7EC99F47" w14:textId="77777777" w:rsidR="00A30757" w:rsidRDefault="00A3075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Gras">
    <w:panose1 w:val="020B07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F3165" w14:textId="77777777" w:rsidR="005E7407" w:rsidRDefault="005E740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5DE236E" w14:paraId="118095C4" w14:textId="77777777" w:rsidTr="05DE236E">
      <w:trPr>
        <w:trHeight w:val="300"/>
      </w:trPr>
      <w:tc>
        <w:tcPr>
          <w:tcW w:w="3120" w:type="dxa"/>
        </w:tcPr>
        <w:p w14:paraId="676B4D89" w14:textId="33B9C18B" w:rsidR="05DE236E" w:rsidRDefault="05DE236E" w:rsidP="05DE236E">
          <w:pPr>
            <w:pStyle w:val="En-tte"/>
            <w:ind w:left="-115"/>
          </w:pPr>
        </w:p>
      </w:tc>
      <w:tc>
        <w:tcPr>
          <w:tcW w:w="3120" w:type="dxa"/>
        </w:tcPr>
        <w:p w14:paraId="252BE67A" w14:textId="3455FF76" w:rsidR="05DE236E" w:rsidRDefault="05DE236E" w:rsidP="05DE236E">
          <w:pPr>
            <w:pStyle w:val="En-tte"/>
            <w:jc w:val="center"/>
          </w:pPr>
        </w:p>
      </w:tc>
      <w:tc>
        <w:tcPr>
          <w:tcW w:w="3120" w:type="dxa"/>
        </w:tcPr>
        <w:p w14:paraId="1BDF16EA" w14:textId="12A66662" w:rsidR="05DE236E" w:rsidRDefault="05DE236E" w:rsidP="05DE236E">
          <w:pPr>
            <w:pStyle w:val="En-tte"/>
            <w:ind w:right="-115"/>
            <w:jc w:val="right"/>
          </w:pPr>
        </w:p>
      </w:tc>
    </w:tr>
  </w:tbl>
  <w:p w14:paraId="19245A50" w14:textId="58D224DB" w:rsidR="00BB7661" w:rsidRDefault="00BB766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AE68" w14:textId="77777777" w:rsidR="005E7407" w:rsidRDefault="005E740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39842" w14:textId="77777777" w:rsidR="00A30757" w:rsidRDefault="00A30757">
      <w:pPr>
        <w:spacing w:line="240" w:lineRule="auto"/>
      </w:pPr>
      <w:r>
        <w:separator/>
      </w:r>
    </w:p>
  </w:footnote>
  <w:footnote w:type="continuationSeparator" w:id="0">
    <w:p w14:paraId="0441F60B" w14:textId="77777777" w:rsidR="00A30757" w:rsidRDefault="00A30757">
      <w:pPr>
        <w:spacing w:line="240" w:lineRule="auto"/>
      </w:pPr>
      <w:r>
        <w:continuationSeparator/>
      </w:r>
    </w:p>
  </w:footnote>
  <w:footnote w:type="continuationNotice" w:id="1">
    <w:p w14:paraId="26C519AE" w14:textId="77777777" w:rsidR="00A30757" w:rsidRDefault="00A3075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9768" w14:textId="77777777" w:rsidR="005E7407" w:rsidRDefault="005E740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D75D" w14:textId="3D6F87BF" w:rsidR="007F5C9A" w:rsidRDefault="0025576E">
    <w:pPr>
      <w:pBdr>
        <w:top w:val="single" w:sz="4" w:space="1" w:color="000000"/>
        <w:left w:val="single" w:sz="4" w:space="0" w:color="000000"/>
        <w:bottom w:val="single" w:sz="4" w:space="1" w:color="000000"/>
        <w:right w:val="single" w:sz="4" w:space="4" w:color="000000"/>
      </w:pBdr>
      <w:spacing w:after="480" w:line="240" w:lineRule="auto"/>
      <w:ind w:left="4050"/>
      <w:jc w:val="right"/>
      <w:rPr>
        <w:sz w:val="18"/>
        <w:szCs w:val="18"/>
      </w:rPr>
    </w:pPr>
    <w:r>
      <w:rPr>
        <w:b/>
        <w:smallCaps/>
        <w:sz w:val="18"/>
        <w:szCs w:val="18"/>
      </w:rPr>
      <w:t>Le 26</w:t>
    </w:r>
    <w:r w:rsidR="005E7407">
      <w:rPr>
        <w:b/>
        <w:smallCaps/>
        <w:sz w:val="18"/>
        <w:szCs w:val="18"/>
      </w:rPr>
      <w:t> </w:t>
    </w:r>
    <w:r>
      <w:rPr>
        <w:b/>
        <w:smallCaps/>
        <w:sz w:val="18"/>
        <w:szCs w:val="18"/>
      </w:rPr>
      <w:t>JUIN</w:t>
    </w:r>
    <w:r w:rsidR="005E7407">
      <w:rPr>
        <w:b/>
        <w:smallCaps/>
        <w:sz w:val="18"/>
        <w:szCs w:val="18"/>
      </w:rPr>
      <w:t> </w:t>
    </w:r>
    <w:r>
      <w:rPr>
        <w:b/>
        <w:smallCaps/>
        <w:sz w:val="18"/>
        <w:szCs w:val="18"/>
      </w:rPr>
      <w:t>2023</w:t>
    </w:r>
    <w:r>
      <w:br/>
    </w:r>
    <w:r>
      <w:rPr>
        <w:b/>
        <w:smallCaps/>
        <w:sz w:val="18"/>
        <w:szCs w:val="18"/>
      </w:rPr>
      <w:t>N</w:t>
    </w:r>
    <w:r>
      <w:rPr>
        <w:b/>
        <w:smallCaps/>
        <w:sz w:val="18"/>
        <w:szCs w:val="18"/>
        <w:vertAlign w:val="superscript"/>
      </w:rPr>
      <w:t>o</w:t>
    </w:r>
    <w:r>
      <w:rPr>
        <w:b/>
        <w:smallCaps/>
        <w:sz w:val="18"/>
        <w:szCs w:val="18"/>
      </w:rPr>
      <w:t xml:space="preserve"> de dossier</w:t>
    </w:r>
    <w:r w:rsidR="005E7407">
      <w:rPr>
        <w:b/>
        <w:smallCaps/>
        <w:sz w:val="18"/>
        <w:szCs w:val="18"/>
      </w:rPr>
      <w:t> </w:t>
    </w:r>
    <w:r>
      <w:rPr>
        <w:b/>
        <w:smallCaps/>
        <w:sz w:val="18"/>
        <w:szCs w:val="18"/>
      </w:rPr>
      <w:t>: R-4008-2017, étape e</w:t>
    </w:r>
    <w:r>
      <w:br/>
    </w:r>
    <w:r>
      <w:rPr>
        <w:b/>
        <w:smallCaps/>
        <w:sz w:val="18"/>
        <w:szCs w:val="18"/>
      </w:rPr>
      <w:t>Demande de renseignements N</w:t>
    </w:r>
    <w:r>
      <w:rPr>
        <w:b/>
        <w:smallCaps/>
        <w:sz w:val="18"/>
        <w:szCs w:val="18"/>
        <w:vertAlign w:val="superscript"/>
      </w:rPr>
      <w:t>o</w:t>
    </w:r>
    <w:r w:rsidR="005E7407">
      <w:rPr>
        <w:b/>
        <w:smallCaps/>
        <w:sz w:val="18"/>
        <w:szCs w:val="18"/>
      </w:rPr>
      <w:t> </w:t>
    </w:r>
    <w:r w:rsidR="05DE236E" w:rsidRPr="05DE236E">
      <w:rPr>
        <w:b/>
        <w:bCs/>
        <w:smallCaps/>
        <w:sz w:val="18"/>
        <w:szCs w:val="18"/>
      </w:rPr>
      <w:t>1</w:t>
    </w:r>
    <w:r>
      <w:rPr>
        <w:b/>
        <w:smallCaps/>
        <w:sz w:val="18"/>
        <w:szCs w:val="18"/>
      </w:rPr>
      <w:t xml:space="preserve"> de l’AQPER </w:t>
    </w:r>
    <w:r w:rsidR="00CC62E5">
      <w:rPr>
        <w:b/>
        <w:smallCaps/>
        <w:sz w:val="18"/>
        <w:szCs w:val="18"/>
      </w:rPr>
      <w:t>À</w:t>
    </w:r>
    <w:r>
      <w:rPr>
        <w:b/>
        <w:smallCaps/>
        <w:sz w:val="18"/>
        <w:szCs w:val="18"/>
      </w:rPr>
      <w:t xml:space="preserve"> </w:t>
    </w:r>
    <w:r w:rsidR="00CC62E5">
      <w:rPr>
        <w:b/>
        <w:smallCaps/>
        <w:sz w:val="18"/>
        <w:szCs w:val="18"/>
      </w:rPr>
      <w:t>ÉNERGIR</w:t>
    </w:r>
    <w:r>
      <w:rPr>
        <w:b/>
        <w:smallCaps/>
        <w:sz w:val="18"/>
        <w:szCs w:val="18"/>
      </w:rPr>
      <w:t xml:space="preserve"> </w:t>
    </w:r>
    <w:r>
      <w:br/>
    </w:r>
    <w:r>
      <w:rPr>
        <w:b/>
        <w:smallCaps/>
        <w:sz w:val="18"/>
        <w:szCs w:val="18"/>
      </w:rPr>
      <w:t>Page</w:t>
    </w:r>
    <w:r w:rsidR="005E7407">
      <w:rPr>
        <w:b/>
        <w:smallCaps/>
        <w:sz w:val="18"/>
        <w:szCs w:val="18"/>
      </w:rPr>
      <w:t> </w:t>
    </w:r>
    <w:r>
      <w:rPr>
        <w:sz w:val="18"/>
        <w:szCs w:val="18"/>
      </w:rPr>
      <w:fldChar w:fldCharType="begin"/>
    </w:r>
    <w:r>
      <w:rPr>
        <w:sz w:val="18"/>
        <w:szCs w:val="18"/>
      </w:rPr>
      <w:instrText>PAGE</w:instrText>
    </w:r>
    <w:r>
      <w:rPr>
        <w:sz w:val="18"/>
        <w:szCs w:val="18"/>
      </w:rPr>
      <w:fldChar w:fldCharType="separate"/>
    </w:r>
    <w:r w:rsidR="00CC62E5">
      <w:rPr>
        <w:noProof/>
        <w:sz w:val="18"/>
        <w:szCs w:val="18"/>
      </w:rPr>
      <w:t>1</w:t>
    </w:r>
    <w:r>
      <w:rPr>
        <w:sz w:val="18"/>
        <w:szCs w:val="18"/>
      </w:rPr>
      <w:fldChar w:fldCharType="end"/>
    </w:r>
    <w:r>
      <w:rPr>
        <w:b/>
        <w:smallCaps/>
        <w:sz w:val="18"/>
        <w:szCs w:val="18"/>
      </w:rPr>
      <w:t xml:space="preserve"> de </w:t>
    </w:r>
    <w:r>
      <w:rPr>
        <w:smallCaps/>
        <w:sz w:val="18"/>
        <w:szCs w:val="18"/>
      </w:rPr>
      <w:fldChar w:fldCharType="begin"/>
    </w:r>
    <w:r>
      <w:rPr>
        <w:smallCaps/>
        <w:sz w:val="18"/>
        <w:szCs w:val="18"/>
      </w:rPr>
      <w:instrText>NUMPAGES</w:instrText>
    </w:r>
    <w:r>
      <w:rPr>
        <w:smallCaps/>
        <w:sz w:val="18"/>
        <w:szCs w:val="18"/>
      </w:rPr>
      <w:fldChar w:fldCharType="separate"/>
    </w:r>
    <w:r w:rsidR="00CC62E5">
      <w:rPr>
        <w:smallCaps/>
        <w:noProof/>
        <w:sz w:val="18"/>
        <w:szCs w:val="18"/>
      </w:rPr>
      <w:t>2</w:t>
    </w:r>
    <w:r>
      <w:rPr>
        <w:smallCaps/>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C918" w14:textId="77777777" w:rsidR="005E7407" w:rsidRDefault="005E7407">
    <w:pPr>
      <w:pStyle w:val="En-tte"/>
    </w:pPr>
  </w:p>
</w:hdr>
</file>

<file path=word/intelligence2.xml><?xml version="1.0" encoding="utf-8"?>
<int2:intelligence xmlns:int2="http://schemas.microsoft.com/office/intelligence/2020/intelligence" xmlns:oel="http://schemas.microsoft.com/office/2019/extlst">
  <int2:observations>
    <int2:textHash int2:hashCode="d4XircejFw/GKX" int2:id="XS4w78g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3580"/>
    <w:multiLevelType w:val="multilevel"/>
    <w:tmpl w:val="0C0C001F"/>
    <w:lvl w:ilvl="0">
      <w:start w:val="1"/>
      <w:numFmt w:val="decimal"/>
      <w:lvlText w:val="%1."/>
      <w:lvlJc w:val="left"/>
      <w:pPr>
        <w:ind w:left="360" w:hanging="360"/>
      </w:pPr>
      <w:rPr>
        <w:b/>
        <w:bCs/>
        <w:i w:val="0"/>
        <w:vertAlign w:val="baseline"/>
      </w:rPr>
    </w:lvl>
    <w:lvl w:ilvl="1">
      <w:start w:val="1"/>
      <w:numFmt w:val="decimal"/>
      <w:lvlText w:val="%1.%2."/>
      <w:lvlJc w:val="left"/>
      <w:pPr>
        <w:ind w:left="792" w:hanging="432"/>
      </w:pPr>
      <w:rPr>
        <w:b w:val="0"/>
        <w:i w:val="0"/>
        <w:smallCaps w:val="0"/>
        <w:strike w:val="0"/>
        <w:sz w:val="22"/>
        <w:szCs w:val="22"/>
        <w:vertAlign w:val="baseline"/>
      </w:rPr>
    </w:lvl>
    <w:lvl w:ilvl="2">
      <w:start w:val="1"/>
      <w:numFmt w:val="decimal"/>
      <w:lvlText w:val="%1.%2.%3."/>
      <w:lvlJc w:val="left"/>
      <w:pPr>
        <w:ind w:left="1224" w:hanging="504"/>
      </w:pPr>
      <w:rPr>
        <w:rFonts w:hint="default"/>
        <w:b w:val="0"/>
        <w:i w:val="0"/>
        <w:smallCaps w:val="0"/>
        <w:strike w:val="0"/>
        <w:sz w:val="22"/>
        <w:szCs w:val="22"/>
        <w:vertAlign w:val="baseline"/>
      </w:rPr>
    </w:lvl>
    <w:lvl w:ilvl="3">
      <w:start w:val="1"/>
      <w:numFmt w:val="decimal"/>
      <w:lvlText w:val="%1.%2.%3.%4."/>
      <w:lvlJc w:val="left"/>
      <w:pPr>
        <w:ind w:left="1728" w:hanging="648"/>
      </w:pPr>
      <w:rPr>
        <w:rFonts w:hint="default"/>
        <w:b w:val="0"/>
        <w:i w:val="0"/>
        <w:smallCaps w:val="0"/>
        <w:strike w:val="0"/>
        <w:sz w:val="22"/>
        <w:szCs w:val="22"/>
        <w:vertAlign w:val="baseline"/>
      </w:rPr>
    </w:lvl>
    <w:lvl w:ilvl="4">
      <w:start w:val="1"/>
      <w:numFmt w:val="decimal"/>
      <w:lvlText w:val="%1.%2.%3.%4.%5."/>
      <w:lvlJc w:val="left"/>
      <w:pPr>
        <w:ind w:left="2232" w:hanging="792"/>
      </w:pPr>
      <w:rPr>
        <w:rFonts w:hint="default"/>
        <w:b w:val="0"/>
        <w:i w:val="0"/>
        <w:smallCaps w:val="0"/>
        <w:strike w:val="0"/>
        <w:sz w:val="22"/>
        <w:szCs w:val="22"/>
        <w:vertAlign w:val="baseline"/>
      </w:rPr>
    </w:lvl>
    <w:lvl w:ilvl="5">
      <w:start w:val="1"/>
      <w:numFmt w:val="decimal"/>
      <w:lvlText w:val="%1.%2.%3.%4.%5.%6."/>
      <w:lvlJc w:val="left"/>
      <w:pPr>
        <w:ind w:left="2736" w:hanging="936"/>
      </w:pPr>
      <w:rPr>
        <w:rFonts w:hint="default"/>
        <w:b w:val="0"/>
        <w:i w:val="0"/>
        <w:smallCaps w:val="0"/>
        <w:strike w:val="0"/>
        <w:sz w:val="22"/>
        <w:szCs w:val="22"/>
        <w:vertAlign w:val="baseline"/>
      </w:rPr>
    </w:lvl>
    <w:lvl w:ilvl="6">
      <w:start w:val="1"/>
      <w:numFmt w:val="decimal"/>
      <w:lvlText w:val="%1.%2.%3.%4.%5.%6.%7."/>
      <w:lvlJc w:val="left"/>
      <w:pPr>
        <w:ind w:left="3240" w:hanging="1080"/>
      </w:pPr>
      <w:rPr>
        <w:rFonts w:hint="default"/>
        <w:b w:val="0"/>
        <w:i w:val="0"/>
        <w:smallCaps w:val="0"/>
        <w:strike w:val="0"/>
        <w:sz w:val="22"/>
        <w:szCs w:val="22"/>
        <w:vertAlign w:val="baseline"/>
      </w:rPr>
    </w:lvl>
    <w:lvl w:ilvl="7">
      <w:start w:val="1"/>
      <w:numFmt w:val="decimal"/>
      <w:lvlText w:val="%1.%2.%3.%4.%5.%6.%7.%8."/>
      <w:lvlJc w:val="left"/>
      <w:pPr>
        <w:ind w:left="3744" w:hanging="1224"/>
      </w:pPr>
      <w:rPr>
        <w:rFonts w:hint="default"/>
        <w:b w:val="0"/>
        <w:i w:val="0"/>
        <w:smallCaps w:val="0"/>
        <w:strike w:val="0"/>
        <w:sz w:val="22"/>
        <w:szCs w:val="22"/>
        <w:vertAlign w:val="baseline"/>
      </w:rPr>
    </w:lvl>
    <w:lvl w:ilvl="8">
      <w:start w:val="1"/>
      <w:numFmt w:val="decimal"/>
      <w:lvlText w:val="%1.%2.%3.%4.%5.%6.%7.%8.%9."/>
      <w:lvlJc w:val="left"/>
      <w:pPr>
        <w:ind w:left="4320" w:hanging="1440"/>
      </w:pPr>
      <w:rPr>
        <w:rFonts w:hint="default"/>
        <w:b w:val="0"/>
        <w:i w:val="0"/>
        <w:smallCaps w:val="0"/>
        <w:strike w:val="0"/>
        <w:sz w:val="22"/>
        <w:szCs w:val="22"/>
        <w:vertAlign w:val="baseline"/>
      </w:rPr>
    </w:lvl>
  </w:abstractNum>
  <w:abstractNum w:abstractNumId="1" w15:restartNumberingAfterBreak="0">
    <w:nsid w:val="177E7077"/>
    <w:multiLevelType w:val="hybridMultilevel"/>
    <w:tmpl w:val="012C5D5A"/>
    <w:lvl w:ilvl="0" w:tplc="D8EA3906">
      <w:start w:val="1"/>
      <w:numFmt w:val="decimal"/>
      <w:lvlText w:val="%1."/>
      <w:lvlJc w:val="left"/>
      <w:pPr>
        <w:ind w:left="720" w:hanging="360"/>
      </w:pPr>
      <w:rPr>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59A22BF"/>
    <w:multiLevelType w:val="multilevel"/>
    <w:tmpl w:val="7FC08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9C6F61"/>
    <w:multiLevelType w:val="multilevel"/>
    <w:tmpl w:val="0C0C001F"/>
    <w:lvl w:ilvl="0">
      <w:start w:val="1"/>
      <w:numFmt w:val="decimal"/>
      <w:lvlText w:val="%1."/>
      <w:lvlJc w:val="left"/>
      <w:pPr>
        <w:ind w:left="360" w:hanging="360"/>
      </w:pPr>
      <w:rPr>
        <w:b/>
        <w:bCs/>
        <w:i w:val="0"/>
        <w:vertAlign w:val="baseline"/>
      </w:rPr>
    </w:lvl>
    <w:lvl w:ilvl="1">
      <w:start w:val="1"/>
      <w:numFmt w:val="decimal"/>
      <w:lvlText w:val="%1.%2."/>
      <w:lvlJc w:val="left"/>
      <w:pPr>
        <w:ind w:left="792" w:hanging="432"/>
      </w:pPr>
      <w:rPr>
        <w:b w:val="0"/>
        <w:i w:val="0"/>
        <w:smallCaps w:val="0"/>
        <w:strike w:val="0"/>
        <w:sz w:val="22"/>
        <w:szCs w:val="22"/>
        <w:vertAlign w:val="baseline"/>
      </w:rPr>
    </w:lvl>
    <w:lvl w:ilvl="2">
      <w:start w:val="1"/>
      <w:numFmt w:val="decimal"/>
      <w:lvlText w:val="%1.%2.%3."/>
      <w:lvlJc w:val="left"/>
      <w:pPr>
        <w:ind w:left="1224" w:hanging="504"/>
      </w:pPr>
      <w:rPr>
        <w:rFonts w:hint="default"/>
        <w:b w:val="0"/>
        <w:i w:val="0"/>
        <w:smallCaps w:val="0"/>
        <w:strike w:val="0"/>
        <w:sz w:val="22"/>
        <w:szCs w:val="22"/>
        <w:vertAlign w:val="baseline"/>
      </w:rPr>
    </w:lvl>
    <w:lvl w:ilvl="3">
      <w:start w:val="1"/>
      <w:numFmt w:val="decimal"/>
      <w:lvlText w:val="%1.%2.%3.%4."/>
      <w:lvlJc w:val="left"/>
      <w:pPr>
        <w:ind w:left="1728" w:hanging="648"/>
      </w:pPr>
      <w:rPr>
        <w:rFonts w:hint="default"/>
        <w:b w:val="0"/>
        <w:i w:val="0"/>
        <w:smallCaps w:val="0"/>
        <w:strike w:val="0"/>
        <w:sz w:val="22"/>
        <w:szCs w:val="22"/>
        <w:vertAlign w:val="baseline"/>
      </w:rPr>
    </w:lvl>
    <w:lvl w:ilvl="4">
      <w:start w:val="1"/>
      <w:numFmt w:val="decimal"/>
      <w:lvlText w:val="%1.%2.%3.%4.%5."/>
      <w:lvlJc w:val="left"/>
      <w:pPr>
        <w:ind w:left="2232" w:hanging="792"/>
      </w:pPr>
      <w:rPr>
        <w:rFonts w:hint="default"/>
        <w:b w:val="0"/>
        <w:i w:val="0"/>
        <w:smallCaps w:val="0"/>
        <w:strike w:val="0"/>
        <w:sz w:val="22"/>
        <w:szCs w:val="22"/>
        <w:vertAlign w:val="baseline"/>
      </w:rPr>
    </w:lvl>
    <w:lvl w:ilvl="5">
      <w:start w:val="1"/>
      <w:numFmt w:val="decimal"/>
      <w:lvlText w:val="%1.%2.%3.%4.%5.%6."/>
      <w:lvlJc w:val="left"/>
      <w:pPr>
        <w:ind w:left="2736" w:hanging="936"/>
      </w:pPr>
      <w:rPr>
        <w:rFonts w:hint="default"/>
        <w:b w:val="0"/>
        <w:i w:val="0"/>
        <w:smallCaps w:val="0"/>
        <w:strike w:val="0"/>
        <w:sz w:val="22"/>
        <w:szCs w:val="22"/>
        <w:vertAlign w:val="baseline"/>
      </w:rPr>
    </w:lvl>
    <w:lvl w:ilvl="6">
      <w:start w:val="1"/>
      <w:numFmt w:val="decimal"/>
      <w:lvlText w:val="%1.%2.%3.%4.%5.%6.%7."/>
      <w:lvlJc w:val="left"/>
      <w:pPr>
        <w:ind w:left="3240" w:hanging="1080"/>
      </w:pPr>
      <w:rPr>
        <w:rFonts w:hint="default"/>
        <w:b w:val="0"/>
        <w:i w:val="0"/>
        <w:smallCaps w:val="0"/>
        <w:strike w:val="0"/>
        <w:sz w:val="22"/>
        <w:szCs w:val="22"/>
        <w:vertAlign w:val="baseline"/>
      </w:rPr>
    </w:lvl>
    <w:lvl w:ilvl="7">
      <w:start w:val="1"/>
      <w:numFmt w:val="decimal"/>
      <w:lvlText w:val="%1.%2.%3.%4.%5.%6.%7.%8."/>
      <w:lvlJc w:val="left"/>
      <w:pPr>
        <w:ind w:left="3744" w:hanging="1224"/>
      </w:pPr>
      <w:rPr>
        <w:rFonts w:hint="default"/>
        <w:b w:val="0"/>
        <w:i w:val="0"/>
        <w:smallCaps w:val="0"/>
        <w:strike w:val="0"/>
        <w:sz w:val="22"/>
        <w:szCs w:val="22"/>
        <w:vertAlign w:val="baseline"/>
      </w:rPr>
    </w:lvl>
    <w:lvl w:ilvl="8">
      <w:start w:val="1"/>
      <w:numFmt w:val="decimal"/>
      <w:lvlText w:val="%1.%2.%3.%4.%5.%6.%7.%8.%9."/>
      <w:lvlJc w:val="left"/>
      <w:pPr>
        <w:ind w:left="4320" w:hanging="1440"/>
      </w:pPr>
      <w:rPr>
        <w:rFonts w:hint="default"/>
        <w:b w:val="0"/>
        <w:i w:val="0"/>
        <w:smallCaps w:val="0"/>
        <w:strike w:val="0"/>
        <w:sz w:val="22"/>
        <w:szCs w:val="22"/>
        <w:vertAlign w:val="baseline"/>
      </w:rPr>
    </w:lvl>
  </w:abstractNum>
  <w:abstractNum w:abstractNumId="4" w15:restartNumberingAfterBreak="0">
    <w:nsid w:val="533139C5"/>
    <w:multiLevelType w:val="multilevel"/>
    <w:tmpl w:val="DAFEE67E"/>
    <w:lvl w:ilvl="0">
      <w:start w:val="1"/>
      <w:numFmt w:val="decimal"/>
      <w:lvlText w:val="%1."/>
      <w:lvlJc w:val="left"/>
      <w:pPr>
        <w:ind w:left="360" w:hanging="360"/>
      </w:pPr>
      <w:rPr>
        <w:b/>
        <w:bCs/>
        <w:i w:val="0"/>
        <w:vertAlign w:val="baseline"/>
      </w:rPr>
    </w:lvl>
    <w:lvl w:ilvl="1">
      <w:start w:val="1"/>
      <w:numFmt w:val="decimal"/>
      <w:lvlText w:val="%1.%2."/>
      <w:lvlJc w:val="left"/>
      <w:pPr>
        <w:ind w:left="792" w:hanging="432"/>
      </w:pPr>
      <w:rPr>
        <w:b w:val="0"/>
        <w:i w:val="0"/>
        <w:smallCaps w:val="0"/>
        <w:strike w:val="0"/>
        <w:sz w:val="22"/>
        <w:szCs w:val="22"/>
        <w:vertAlign w:val="baseline"/>
      </w:rPr>
    </w:lvl>
    <w:lvl w:ilvl="2">
      <w:start w:val="1"/>
      <w:numFmt w:val="decimal"/>
      <w:lvlText w:val="%1.%2.%3."/>
      <w:lvlJc w:val="left"/>
      <w:pPr>
        <w:ind w:left="1224" w:hanging="504"/>
      </w:pPr>
      <w:rPr>
        <w:rFonts w:hint="default"/>
        <w:b w:val="0"/>
        <w:i w:val="0"/>
        <w:smallCaps w:val="0"/>
        <w:strike w:val="0"/>
        <w:sz w:val="22"/>
        <w:szCs w:val="22"/>
        <w:vertAlign w:val="baseline"/>
      </w:rPr>
    </w:lvl>
    <w:lvl w:ilvl="3">
      <w:start w:val="1"/>
      <w:numFmt w:val="decimal"/>
      <w:lvlText w:val="%1.%2.%3.%4."/>
      <w:lvlJc w:val="left"/>
      <w:pPr>
        <w:ind w:left="1728" w:hanging="648"/>
      </w:pPr>
      <w:rPr>
        <w:rFonts w:hint="default"/>
        <w:b w:val="0"/>
        <w:i w:val="0"/>
        <w:smallCaps w:val="0"/>
        <w:strike w:val="0"/>
        <w:sz w:val="22"/>
        <w:szCs w:val="22"/>
        <w:vertAlign w:val="baseline"/>
      </w:rPr>
    </w:lvl>
    <w:lvl w:ilvl="4">
      <w:start w:val="1"/>
      <w:numFmt w:val="decimal"/>
      <w:lvlText w:val="%1.%2.%3.%4.%5."/>
      <w:lvlJc w:val="left"/>
      <w:pPr>
        <w:ind w:left="2232" w:hanging="792"/>
      </w:pPr>
      <w:rPr>
        <w:rFonts w:hint="default"/>
        <w:b w:val="0"/>
        <w:i w:val="0"/>
        <w:smallCaps w:val="0"/>
        <w:strike w:val="0"/>
        <w:sz w:val="22"/>
        <w:szCs w:val="22"/>
        <w:vertAlign w:val="baseline"/>
      </w:rPr>
    </w:lvl>
    <w:lvl w:ilvl="5">
      <w:start w:val="1"/>
      <w:numFmt w:val="decimal"/>
      <w:lvlText w:val="%1.%2.%3.%4.%5.%6."/>
      <w:lvlJc w:val="left"/>
      <w:pPr>
        <w:ind w:left="2736" w:hanging="936"/>
      </w:pPr>
      <w:rPr>
        <w:rFonts w:hint="default"/>
        <w:b w:val="0"/>
        <w:i w:val="0"/>
        <w:smallCaps w:val="0"/>
        <w:strike w:val="0"/>
        <w:sz w:val="22"/>
        <w:szCs w:val="22"/>
        <w:vertAlign w:val="baseline"/>
      </w:rPr>
    </w:lvl>
    <w:lvl w:ilvl="6">
      <w:start w:val="1"/>
      <w:numFmt w:val="decimal"/>
      <w:lvlText w:val="%1.%2.%3.%4.%5.%6.%7."/>
      <w:lvlJc w:val="left"/>
      <w:pPr>
        <w:ind w:left="3240" w:hanging="1080"/>
      </w:pPr>
      <w:rPr>
        <w:rFonts w:hint="default"/>
        <w:b w:val="0"/>
        <w:i w:val="0"/>
        <w:smallCaps w:val="0"/>
        <w:strike w:val="0"/>
        <w:sz w:val="22"/>
        <w:szCs w:val="22"/>
        <w:vertAlign w:val="baseline"/>
      </w:rPr>
    </w:lvl>
    <w:lvl w:ilvl="7">
      <w:start w:val="1"/>
      <w:numFmt w:val="decimal"/>
      <w:lvlText w:val="%1.%2.%3.%4.%5.%6.%7.%8."/>
      <w:lvlJc w:val="left"/>
      <w:pPr>
        <w:ind w:left="3744" w:hanging="1224"/>
      </w:pPr>
      <w:rPr>
        <w:rFonts w:hint="default"/>
        <w:b w:val="0"/>
        <w:i w:val="0"/>
        <w:smallCaps w:val="0"/>
        <w:strike w:val="0"/>
        <w:sz w:val="22"/>
        <w:szCs w:val="22"/>
        <w:vertAlign w:val="baseline"/>
      </w:rPr>
    </w:lvl>
    <w:lvl w:ilvl="8">
      <w:start w:val="1"/>
      <w:numFmt w:val="decimal"/>
      <w:lvlText w:val="%9."/>
      <w:lvlJc w:val="left"/>
      <w:pPr>
        <w:ind w:left="3240" w:hanging="360"/>
      </w:pPr>
    </w:lvl>
  </w:abstractNum>
  <w:abstractNum w:abstractNumId="5" w15:restartNumberingAfterBreak="0">
    <w:nsid w:val="54BB649D"/>
    <w:multiLevelType w:val="multilevel"/>
    <w:tmpl w:val="2BF0E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996D89"/>
    <w:multiLevelType w:val="hybridMultilevel"/>
    <w:tmpl w:val="94447982"/>
    <w:lvl w:ilvl="0" w:tplc="A7A0252C">
      <w:start w:val="12"/>
      <w:numFmt w:val="bullet"/>
      <w:lvlText w:val="•"/>
      <w:lvlJc w:val="left"/>
      <w:pPr>
        <w:ind w:left="1444" w:hanging="735"/>
      </w:pPr>
      <w:rPr>
        <w:rFonts w:ascii="Arial" w:eastAsia="Arial" w:hAnsi="Arial" w:cs="Arial" w:hint="default"/>
        <w:i/>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7" w15:restartNumberingAfterBreak="0">
    <w:nsid w:val="7646346C"/>
    <w:multiLevelType w:val="hybridMultilevel"/>
    <w:tmpl w:val="9B8253EA"/>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8" w15:restartNumberingAfterBreak="0">
    <w:nsid w:val="7D520C63"/>
    <w:multiLevelType w:val="multilevel"/>
    <w:tmpl w:val="CA862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50143730">
    <w:abstractNumId w:val="2"/>
  </w:num>
  <w:num w:numId="2" w16cid:durableId="1710834768">
    <w:abstractNumId w:val="5"/>
  </w:num>
  <w:num w:numId="3" w16cid:durableId="1310596315">
    <w:abstractNumId w:val="0"/>
  </w:num>
  <w:num w:numId="4" w16cid:durableId="356663218">
    <w:abstractNumId w:val="8"/>
  </w:num>
  <w:num w:numId="5" w16cid:durableId="1114715225">
    <w:abstractNumId w:val="7"/>
  </w:num>
  <w:num w:numId="6" w16cid:durableId="1509636938">
    <w:abstractNumId w:val="6"/>
  </w:num>
  <w:num w:numId="7" w16cid:durableId="1166625026">
    <w:abstractNumId w:val="1"/>
  </w:num>
  <w:num w:numId="8" w16cid:durableId="371345160">
    <w:abstractNumId w:val="3"/>
  </w:num>
  <w:num w:numId="9" w16cid:durableId="19908190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9A"/>
    <w:rsid w:val="0000007D"/>
    <w:rsid w:val="000107DC"/>
    <w:rsid w:val="00014BA1"/>
    <w:rsid w:val="00014FA3"/>
    <w:rsid w:val="00030521"/>
    <w:rsid w:val="0003481C"/>
    <w:rsid w:val="00036E1B"/>
    <w:rsid w:val="00043FAB"/>
    <w:rsid w:val="00053BC0"/>
    <w:rsid w:val="000605F3"/>
    <w:rsid w:val="00064F58"/>
    <w:rsid w:val="00070DA6"/>
    <w:rsid w:val="00093E45"/>
    <w:rsid w:val="00095E2E"/>
    <w:rsid w:val="000A67A5"/>
    <w:rsid w:val="000A6D4E"/>
    <w:rsid w:val="000C2951"/>
    <w:rsid w:val="000C5B4C"/>
    <w:rsid w:val="000D5B4D"/>
    <w:rsid w:val="000E38D1"/>
    <w:rsid w:val="00106123"/>
    <w:rsid w:val="001211DD"/>
    <w:rsid w:val="00141787"/>
    <w:rsid w:val="00156AFF"/>
    <w:rsid w:val="001945AD"/>
    <w:rsid w:val="001955C5"/>
    <w:rsid w:val="001A2654"/>
    <w:rsid w:val="001A37CF"/>
    <w:rsid w:val="001A7CCE"/>
    <w:rsid w:val="001B6547"/>
    <w:rsid w:val="001C4224"/>
    <w:rsid w:val="001E45AC"/>
    <w:rsid w:val="001E4D07"/>
    <w:rsid w:val="001E6C90"/>
    <w:rsid w:val="001F3AE3"/>
    <w:rsid w:val="0020002B"/>
    <w:rsid w:val="00211B87"/>
    <w:rsid w:val="002513B8"/>
    <w:rsid w:val="0025576E"/>
    <w:rsid w:val="00264FAE"/>
    <w:rsid w:val="00265702"/>
    <w:rsid w:val="00296CF2"/>
    <w:rsid w:val="002A59DA"/>
    <w:rsid w:val="002B33B7"/>
    <w:rsid w:val="002D077E"/>
    <w:rsid w:val="002D72D0"/>
    <w:rsid w:val="002D7307"/>
    <w:rsid w:val="003134C4"/>
    <w:rsid w:val="00320936"/>
    <w:rsid w:val="0032319A"/>
    <w:rsid w:val="0032671C"/>
    <w:rsid w:val="0033375C"/>
    <w:rsid w:val="0033377C"/>
    <w:rsid w:val="00343514"/>
    <w:rsid w:val="00351D15"/>
    <w:rsid w:val="00395D25"/>
    <w:rsid w:val="003B297D"/>
    <w:rsid w:val="003B6E43"/>
    <w:rsid w:val="003C2B09"/>
    <w:rsid w:val="00456DCE"/>
    <w:rsid w:val="00460D70"/>
    <w:rsid w:val="00460F5D"/>
    <w:rsid w:val="00462ACF"/>
    <w:rsid w:val="00475A93"/>
    <w:rsid w:val="004B18C9"/>
    <w:rsid w:val="004B42D1"/>
    <w:rsid w:val="004C2376"/>
    <w:rsid w:val="004C4B1F"/>
    <w:rsid w:val="004C6BF3"/>
    <w:rsid w:val="004D0773"/>
    <w:rsid w:val="004E77FE"/>
    <w:rsid w:val="004F25C4"/>
    <w:rsid w:val="005040CB"/>
    <w:rsid w:val="005046E6"/>
    <w:rsid w:val="0051430A"/>
    <w:rsid w:val="005317DB"/>
    <w:rsid w:val="00531941"/>
    <w:rsid w:val="005325EF"/>
    <w:rsid w:val="00533DDC"/>
    <w:rsid w:val="00537E2D"/>
    <w:rsid w:val="005554F7"/>
    <w:rsid w:val="00574A36"/>
    <w:rsid w:val="00574C5F"/>
    <w:rsid w:val="00580D50"/>
    <w:rsid w:val="0058635A"/>
    <w:rsid w:val="005863C4"/>
    <w:rsid w:val="00593C40"/>
    <w:rsid w:val="005A3E50"/>
    <w:rsid w:val="005A4276"/>
    <w:rsid w:val="005E0F68"/>
    <w:rsid w:val="005E1A27"/>
    <w:rsid w:val="005E7407"/>
    <w:rsid w:val="005F19C7"/>
    <w:rsid w:val="005F7291"/>
    <w:rsid w:val="006024F0"/>
    <w:rsid w:val="00632706"/>
    <w:rsid w:val="00651971"/>
    <w:rsid w:val="00651A02"/>
    <w:rsid w:val="00653691"/>
    <w:rsid w:val="0066162D"/>
    <w:rsid w:val="00670AD2"/>
    <w:rsid w:val="0068334C"/>
    <w:rsid w:val="00697F81"/>
    <w:rsid w:val="006A0F70"/>
    <w:rsid w:val="006A4A50"/>
    <w:rsid w:val="006B1619"/>
    <w:rsid w:val="006C3A66"/>
    <w:rsid w:val="006D1BF2"/>
    <w:rsid w:val="006E144A"/>
    <w:rsid w:val="006F3868"/>
    <w:rsid w:val="006F3C2E"/>
    <w:rsid w:val="0070035E"/>
    <w:rsid w:val="0070084D"/>
    <w:rsid w:val="0070651D"/>
    <w:rsid w:val="00730E9C"/>
    <w:rsid w:val="00735DAA"/>
    <w:rsid w:val="00743D00"/>
    <w:rsid w:val="00757C5F"/>
    <w:rsid w:val="00783023"/>
    <w:rsid w:val="0078667A"/>
    <w:rsid w:val="007B1DCC"/>
    <w:rsid w:val="007B4BC4"/>
    <w:rsid w:val="007C753E"/>
    <w:rsid w:val="007D7867"/>
    <w:rsid w:val="007F5C9A"/>
    <w:rsid w:val="00800D01"/>
    <w:rsid w:val="00806235"/>
    <w:rsid w:val="00810028"/>
    <w:rsid w:val="00822D57"/>
    <w:rsid w:val="008423C5"/>
    <w:rsid w:val="00842FAE"/>
    <w:rsid w:val="0084718C"/>
    <w:rsid w:val="00854F0E"/>
    <w:rsid w:val="00863EA0"/>
    <w:rsid w:val="00870CE2"/>
    <w:rsid w:val="0087236D"/>
    <w:rsid w:val="008768B1"/>
    <w:rsid w:val="008823A7"/>
    <w:rsid w:val="00885BC4"/>
    <w:rsid w:val="008A0827"/>
    <w:rsid w:val="0090459A"/>
    <w:rsid w:val="00926318"/>
    <w:rsid w:val="00933AA4"/>
    <w:rsid w:val="009537E2"/>
    <w:rsid w:val="00961646"/>
    <w:rsid w:val="009632DE"/>
    <w:rsid w:val="009678BC"/>
    <w:rsid w:val="0098418A"/>
    <w:rsid w:val="00987F6D"/>
    <w:rsid w:val="0099169C"/>
    <w:rsid w:val="009A44A7"/>
    <w:rsid w:val="009B7CC5"/>
    <w:rsid w:val="009C7713"/>
    <w:rsid w:val="009D7FD1"/>
    <w:rsid w:val="009F23C6"/>
    <w:rsid w:val="00A14EA4"/>
    <w:rsid w:val="00A30757"/>
    <w:rsid w:val="00A32497"/>
    <w:rsid w:val="00A60F40"/>
    <w:rsid w:val="00A76E5E"/>
    <w:rsid w:val="00A85609"/>
    <w:rsid w:val="00A86922"/>
    <w:rsid w:val="00A87F75"/>
    <w:rsid w:val="00A93A20"/>
    <w:rsid w:val="00A96822"/>
    <w:rsid w:val="00AA7784"/>
    <w:rsid w:val="00AB15E9"/>
    <w:rsid w:val="00AB3D13"/>
    <w:rsid w:val="00AB41CB"/>
    <w:rsid w:val="00AC1B2B"/>
    <w:rsid w:val="00AC2247"/>
    <w:rsid w:val="00AC417F"/>
    <w:rsid w:val="00AC454E"/>
    <w:rsid w:val="00AE69C1"/>
    <w:rsid w:val="00B02DF3"/>
    <w:rsid w:val="00B036DE"/>
    <w:rsid w:val="00B121BD"/>
    <w:rsid w:val="00B26B5B"/>
    <w:rsid w:val="00B456D1"/>
    <w:rsid w:val="00B676F3"/>
    <w:rsid w:val="00B76EB4"/>
    <w:rsid w:val="00B80CE7"/>
    <w:rsid w:val="00B8318B"/>
    <w:rsid w:val="00B93361"/>
    <w:rsid w:val="00BA109B"/>
    <w:rsid w:val="00BA6273"/>
    <w:rsid w:val="00BB3CA1"/>
    <w:rsid w:val="00BB7661"/>
    <w:rsid w:val="00BE1880"/>
    <w:rsid w:val="00BF09EB"/>
    <w:rsid w:val="00BF34E9"/>
    <w:rsid w:val="00C0010E"/>
    <w:rsid w:val="00C141EA"/>
    <w:rsid w:val="00C243AE"/>
    <w:rsid w:val="00C352F5"/>
    <w:rsid w:val="00C42741"/>
    <w:rsid w:val="00C533B9"/>
    <w:rsid w:val="00C64EDD"/>
    <w:rsid w:val="00C66E22"/>
    <w:rsid w:val="00C76BD4"/>
    <w:rsid w:val="00CC62E5"/>
    <w:rsid w:val="00CD39E5"/>
    <w:rsid w:val="00CE3C0E"/>
    <w:rsid w:val="00CE5A7F"/>
    <w:rsid w:val="00D073AB"/>
    <w:rsid w:val="00D13071"/>
    <w:rsid w:val="00D34D43"/>
    <w:rsid w:val="00D37641"/>
    <w:rsid w:val="00D42102"/>
    <w:rsid w:val="00D7120E"/>
    <w:rsid w:val="00D72692"/>
    <w:rsid w:val="00D76A50"/>
    <w:rsid w:val="00D93E2C"/>
    <w:rsid w:val="00DA5B32"/>
    <w:rsid w:val="00DD0C88"/>
    <w:rsid w:val="00DD2DE3"/>
    <w:rsid w:val="00DE4F15"/>
    <w:rsid w:val="00DE5A0A"/>
    <w:rsid w:val="00DF750F"/>
    <w:rsid w:val="00E14743"/>
    <w:rsid w:val="00E208B2"/>
    <w:rsid w:val="00E33B1B"/>
    <w:rsid w:val="00E3540E"/>
    <w:rsid w:val="00E62621"/>
    <w:rsid w:val="00E67BA7"/>
    <w:rsid w:val="00E72CAF"/>
    <w:rsid w:val="00E90D05"/>
    <w:rsid w:val="00EA203D"/>
    <w:rsid w:val="00EA2D89"/>
    <w:rsid w:val="00EA2E35"/>
    <w:rsid w:val="00EB0067"/>
    <w:rsid w:val="00EB5572"/>
    <w:rsid w:val="00EC3AC9"/>
    <w:rsid w:val="00ED644A"/>
    <w:rsid w:val="00ED73FE"/>
    <w:rsid w:val="00EE2132"/>
    <w:rsid w:val="00EE343D"/>
    <w:rsid w:val="00EE531A"/>
    <w:rsid w:val="00EE7473"/>
    <w:rsid w:val="00EE77CE"/>
    <w:rsid w:val="00F04705"/>
    <w:rsid w:val="00F24DEA"/>
    <w:rsid w:val="00F26C6D"/>
    <w:rsid w:val="00F715E6"/>
    <w:rsid w:val="00F74DE2"/>
    <w:rsid w:val="00F806E7"/>
    <w:rsid w:val="00F84FF2"/>
    <w:rsid w:val="00F95E35"/>
    <w:rsid w:val="00FA20FE"/>
    <w:rsid w:val="00FA25ED"/>
    <w:rsid w:val="00FB29D8"/>
    <w:rsid w:val="00FB65D9"/>
    <w:rsid w:val="00FC1314"/>
    <w:rsid w:val="00FE52C7"/>
    <w:rsid w:val="00FF539C"/>
    <w:rsid w:val="00FF59F7"/>
    <w:rsid w:val="05DE236E"/>
    <w:rsid w:val="0F9056AF"/>
    <w:rsid w:val="5CCC8D74"/>
    <w:rsid w:val="7281830D"/>
    <w:rsid w:val="7AF21CDB"/>
    <w:rsid w:val="7C08952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86BBA"/>
  <w15:docId w15:val="{CEBE9D2F-15A9-4704-8A06-2D346CC5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FA3"/>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Objetducommentaire">
    <w:name w:val="annotation subject"/>
    <w:basedOn w:val="Commentaire"/>
    <w:next w:val="Commentaire"/>
    <w:link w:val="ObjetducommentaireCar"/>
    <w:uiPriority w:val="99"/>
    <w:semiHidden/>
    <w:unhideWhenUsed/>
    <w:rsid w:val="006F3868"/>
    <w:rPr>
      <w:b/>
      <w:bCs/>
    </w:r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CC62E5"/>
    <w:pPr>
      <w:tabs>
        <w:tab w:val="center" w:pos="4703"/>
        <w:tab w:val="right" w:pos="9406"/>
      </w:tabs>
      <w:spacing w:line="240" w:lineRule="auto"/>
    </w:pPr>
  </w:style>
  <w:style w:type="character" w:customStyle="1" w:styleId="En-tteCar">
    <w:name w:val="En-tête Car"/>
    <w:basedOn w:val="Policepardfaut"/>
    <w:link w:val="En-tte"/>
    <w:uiPriority w:val="99"/>
    <w:rsid w:val="00CC62E5"/>
  </w:style>
  <w:style w:type="paragraph" w:styleId="Pieddepage">
    <w:name w:val="footer"/>
    <w:basedOn w:val="Normal"/>
    <w:link w:val="PieddepageCar"/>
    <w:uiPriority w:val="99"/>
    <w:unhideWhenUsed/>
    <w:rsid w:val="00CC62E5"/>
    <w:pPr>
      <w:tabs>
        <w:tab w:val="center" w:pos="4703"/>
        <w:tab w:val="right" w:pos="9406"/>
      </w:tabs>
      <w:spacing w:line="240" w:lineRule="auto"/>
    </w:pPr>
  </w:style>
  <w:style w:type="character" w:customStyle="1" w:styleId="PieddepageCar">
    <w:name w:val="Pied de page Car"/>
    <w:basedOn w:val="Policepardfaut"/>
    <w:link w:val="Pieddepage"/>
    <w:uiPriority w:val="99"/>
    <w:rsid w:val="00CC62E5"/>
  </w:style>
  <w:style w:type="paragraph" w:styleId="Paragraphedeliste">
    <w:name w:val="List Paragraph"/>
    <w:basedOn w:val="Normal"/>
    <w:uiPriority w:val="34"/>
    <w:qFormat/>
    <w:rsid w:val="00AC1B2B"/>
    <w:pPr>
      <w:ind w:left="720"/>
      <w:contextualSpacing/>
    </w:pPr>
  </w:style>
  <w:style w:type="table" w:customStyle="1" w:styleId="NormalTable0">
    <w:name w:val="Normal Table0"/>
    <w:rsid w:val="00BB7661"/>
    <w:tblPr>
      <w:tblCellMar>
        <w:top w:w="0" w:type="dxa"/>
        <w:left w:w="0" w:type="dxa"/>
        <w:bottom w:w="0" w:type="dxa"/>
        <w:right w:w="0" w:type="dxa"/>
      </w:tblCellMar>
    </w:tblPr>
  </w:style>
  <w:style w:type="character" w:styleId="Lienhypertexte">
    <w:name w:val="Hyperlink"/>
    <w:basedOn w:val="Policepardfaut"/>
    <w:uiPriority w:val="99"/>
    <w:unhideWhenUsed/>
    <w:rsid w:val="00BB7661"/>
    <w:rPr>
      <w:color w:val="0000FF" w:themeColor="hyperlink"/>
      <w:u w:val="single"/>
    </w:rPr>
  </w:style>
  <w:style w:type="table" w:styleId="Grilledutableau">
    <w:name w:val="Table Grid"/>
    <w:basedOn w:val="TableauNormal"/>
    <w:uiPriority w:val="59"/>
    <w:rsid w:val="00BB766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aire">
    <w:name w:val="annotation text"/>
    <w:basedOn w:val="Normal"/>
    <w:link w:val="CommentaireCar"/>
    <w:uiPriority w:val="99"/>
    <w:unhideWhenUsed/>
    <w:rsid w:val="00BB7661"/>
    <w:pPr>
      <w:spacing w:line="240" w:lineRule="auto"/>
    </w:pPr>
    <w:rPr>
      <w:sz w:val="20"/>
      <w:szCs w:val="20"/>
    </w:rPr>
  </w:style>
  <w:style w:type="character" w:customStyle="1" w:styleId="CommentaireCar">
    <w:name w:val="Commentaire Car"/>
    <w:basedOn w:val="Policepardfaut"/>
    <w:link w:val="Commentaire"/>
    <w:uiPriority w:val="99"/>
    <w:rsid w:val="00BB7661"/>
    <w:rPr>
      <w:sz w:val="20"/>
      <w:szCs w:val="20"/>
    </w:rPr>
  </w:style>
  <w:style w:type="character" w:styleId="Marquedecommentaire">
    <w:name w:val="annotation reference"/>
    <w:basedOn w:val="Policepardfaut"/>
    <w:uiPriority w:val="99"/>
    <w:semiHidden/>
    <w:unhideWhenUsed/>
    <w:rsid w:val="00BB7661"/>
    <w:rPr>
      <w:sz w:val="16"/>
      <w:szCs w:val="16"/>
    </w:rPr>
  </w:style>
  <w:style w:type="character" w:customStyle="1" w:styleId="ObjetducommentaireCar">
    <w:name w:val="Objet du commentaire Car"/>
    <w:basedOn w:val="CommentaireCar"/>
    <w:link w:val="Objetducommentaire"/>
    <w:uiPriority w:val="99"/>
    <w:semiHidden/>
    <w:rsid w:val="006F3868"/>
    <w:rPr>
      <w:b/>
      <w:bCs/>
      <w:sz w:val="20"/>
      <w:szCs w:val="20"/>
    </w:rPr>
  </w:style>
  <w:style w:type="character" w:customStyle="1" w:styleId="cf01">
    <w:name w:val="cf01"/>
    <w:basedOn w:val="Policepardfaut"/>
    <w:rsid w:val="00743D0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oter" Target="footer1.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header" Target="header2.xml"/><Relationship Id="imanage.xml" Type="http://schemas.openxmlformats.org/officeDocument/2006/relationships/customXml" Target="/customXML/item.xm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microsoft.com/office/2020/10/relationships/intelligence" Target="intelligence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28" Type="http://schemas.openxmlformats.org/officeDocument/2006/relationships/customXml" Target="../customXML/item4.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6.xml"/></Relationships>
</file>

<file path=customXML/item.xml><?xml version="1.0" encoding="utf-8"?>
<p:properties xmlns:p="http://schemas.microsoft.com/office/2006/metadata/properties" xmlns:xsi="http://www.w3.org/2001/XMLSchema-instance" xmlns:pc="http://schemas.microsoft.com/office/infopath/2007/PartnerControls">
  <documentManagement>
    <Hidden_UploadedAt xmlns="a091097b-8ae3-4832-a2b2-51f9a78aeacd">2023-06-26T16:01:48+00:00</Hidden_UploadedAt>
    <Provenance xmlns="a091097b-8ae3-4832-a2b2-51f9a78aeacd">2</Provenance>
    <Accés_x0020_restreint xmlns="a091097b-8ae3-4832-a2b2-51f9a78aeacd">false</Accés_x0020_restreint>
    <Précision_x0020_de_x0020_document xmlns="a091097b-8ae3-4832-a2b2-51f9a78aeacd" xsi:nil="true"/>
    <Déposant xmlns="a091097b-8ae3-4832-a2b2-51f9a78aeacd">21</Déposant>
    <Sous-catégorie xmlns="a091097b-8ae3-4832-a2b2-51f9a78aeacd">321</Sous-catégorie>
    <Copie_x0020_papier_x0020_reçue xmlns="a091097b-8ae3-4832-a2b2-51f9a78aeacd">false</Copie_x0020_papier_x0020_reçue>
    <Phase xmlns="a091097b-8ae3-4832-a2b2-51f9a78aeacd">1</Phase>
    <Sujet xmlns="a091097b-8ae3-4832-a2b2-51f9a78aeacd">Demande de renseignements no 1 de l'AQPER à Énergir - Étape E</Sujet>
    <Cote_x0020_de_x0020_déposant xmlns="a091097b-8ae3-4832-a2b2-51f9a78aeacd" xsi:nil="true"/>
    <Confidentiel xmlns="a091097b-8ae3-4832-a2b2-51f9a78aeacd">3</Confidentiel>
    <Hidden_UploadedBy xmlns="a091097b-8ae3-4832-a2b2-51f9a78aeacd">dduhamel_fasken.com#EXT#@rdeqc.onmicrosoft.com</Hidden_UploadedBy>
    <Inscrit_x0020_au_x0020_plumitif xmlns="a091097b-8ae3-4832-a2b2-51f9a78aeacd">true</Inscrit_x0020_au_x0020_plumitif>
    <Statut xmlns="a091097b-8ae3-4832-a2b2-51f9a78aeacd">Approuvé</Statut>
    <Catégorie_x0020_de_x0020_document xmlns="a091097b-8ae3-4832-a2b2-51f9a78aeacd">11</Catégorie_x0020_de_x0020_document>
    <Date_x0020_de_x0020_confidentialité_x0020_relevée xmlns="a091097b-8ae3-4832-a2b2-51f9a78aeacd" xsi:nil="true"/>
    <Diffusable_x0020_sur_x0020_le_x0020_Web xmlns="a091097b-8ae3-4832-a2b2-51f9a78aeacd">true</Diffusable_x0020_sur_x0020_le_x0020_Web>
    <Projet xmlns="a091097b-8ae3-4832-a2b2-51f9a78aeacd">983</Projet>
    <Date_x0020_de_x0020_réception_x0020_copie_x0020_papier xmlns="a091097b-8ae3-4832-a2b2-51f9a78aeacd" xsi:nil="true"/>
    <Numéro_x0020_plumitif xmlns="a091097b-8ae3-4832-a2b2-51f9a78aeacd">2687</Numéro_x0020_plumitif>
    <Hidden_ApprovedBy xmlns="a091097b-8ae3-4832-a2b2-51f9a78aeacd">Lévesque, Claudette</Hidden_ApprovedBy>
    <Hidden_ApprovedAt xmlns="a091097b-8ae3-4832-a2b2-51f9a78aeacd">2023-06-26T17:07:11+00:00</Hidden_ApprovedAt>
    <Cote_x0020_de_x0020_piéce xmlns="a091097b-8ae3-4832-a2b2-51f9a78aeacd">C-AQPER-0060</Cote_x0020_de_x0020_piéce>
    <Ne_x0020_pas_x0020_envoyer_x0020_d_x0027_alerte xmlns="a091097b-8ae3-4832-a2b2-51f9a78aeacd">false</Ne_x0020_pas_x0020_envoyer_x0020_d_x0027_alerte>
    <_dlc_DocId xmlns="a84ed267-86d5-4fa1-a3cb-2fed497fe84f">W2HFWTQUJJY6-1914211019-7454</_dlc_DocId>
    <_dlc_DocIdUrl xmlns="a84ed267-86d5-4fa1-a3cb-2fed497fe84f">
      <Url>https://sde.regie-energie.qc.ca/983/_layouts/15/DocIdRedir.aspx?ID=W2HFWTQUJJY6-1914211019-7454</Url>
      <Description>W2HFWTQUJJY6-1914211019-7454</Description>
    </_dlc_DocIdUrl>
  </documentManagement>
</p:propertie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p r o p e r t i e s   x m l n s = " h t t p : / / w w w . i m a n a g e . c o m / w o r k / x m l s c h e m a " >  
     < d o c u m e n t i d > C A N A D A ! 3 0 0 4 0 6 9 0 2 . 1 < / d o c u m e n t i d >  
     < s e n d e r i d > D U H A M E L D < / s e n d e r i d >  
     < s e n d e r e m a i l > D D U H A M E L @ F A S K E N . C O M < / s e n d e r e m a i l >  
     < l a s t m o d i f i e d > 2 0 2 3 - 0 6 - 2 6 T 1 1 : 5 3 : 0 0 . 0 0 0 0 0 0 0 - 0 4 : 0 0 < / l a s t m o d i f i e d >  
     < d a t a b a s e > C A N A D A < / d a t a b a s e >  
 < / 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de projet" ma:contentTypeID="0x010100F6681E3BDF397F418586AC591ADC81BB00761A95451C335C4EB05B510B491C3495" ma:contentTypeVersion="2" ma:contentTypeDescription="" ma:contentTypeScope="" ma:versionID="38d491534006451978625643f6d29757">
  <xsd:schema xmlns:xsd="http://www.w3.org/2001/XMLSchema" xmlns:xs="http://www.w3.org/2001/XMLSchema" xmlns:p="http://schemas.microsoft.com/office/2006/metadata/properties" xmlns:ns2="a091097b-8ae3-4832-a2b2-51f9a78aeacd" xmlns:ns3="a84ed267-86d5-4fa1-a3cb-2fed497fe84f" xmlns:ns4="cf1a81fd-acd8-440b-95f6-4cad1c352f3c" targetNamespace="http://schemas.microsoft.com/office/2006/metadata/properties" ma:root="true" ma:fieldsID="bdcd68e12d88276d02f361167ed60201" ns2:_="" ns3:_="" ns4:_="">
    <xsd:import namespace="a091097b-8ae3-4832-a2b2-51f9a78aeacd"/>
    <xsd:import namespace="a84ed267-86d5-4fa1-a3cb-2fed497fe84f"/>
    <xsd:import namespace="cf1a81fd-acd8-440b-95f6-4cad1c352f3c"/>
    <xsd:element name="properties">
      <xsd:complexType>
        <xsd:sequence>
          <xsd:element name="documentManagement">
            <xsd:complexType>
              <xsd:all>
                <xsd:element ref="ns2:Projet"/>
                <xsd:element ref="ns2:Provenance" minOccurs="0"/>
                <xsd:element ref="ns2:Déposant"/>
                <xsd:element ref="ns2:Catégorie_x0020_de_x0020_document" minOccurs="0"/>
                <xsd:element ref="ns2:Sous-catégorie" minOccurs="0"/>
                <xsd:element ref="ns2:Phase"/>
                <xsd:element ref="ns2:Précision_x0020_de_x0020_document" minOccurs="0"/>
                <xsd:element ref="ns2:Sujet" minOccurs="0"/>
                <xsd:element ref="ns2:Cote_x0020_de_x0020_déposant" minOccurs="0"/>
                <xsd:element ref="ns2:Accés_x0020_restreint" minOccurs="0"/>
                <xsd:element ref="ns2:Cote_x0020_de_x0020_piéce" minOccurs="0"/>
                <xsd:element ref="ns2:Inscrit_x0020_au_x0020_plumitif" minOccurs="0"/>
                <xsd:element ref="ns2:Numéro_x0020_plumitif" minOccurs="0"/>
                <xsd:element ref="ns2:Diffusable_x0020_sur_x0020_le_x0020_Web" minOccurs="0"/>
                <xsd:element ref="ns2:Ne_x0020_pas_x0020_envoyer_x0020_d_x0027_alerte" minOccurs="0"/>
                <xsd:element ref="ns2:Confidentiel"/>
                <xsd:element ref="ns2:Date_x0020_de_x0020_confidentialité_x0020_relevée" minOccurs="0"/>
                <xsd:element ref="ns2:Copie_x0020_papier_x0020_reçue" minOccurs="0"/>
                <xsd:element ref="ns2:Date_x0020_de_x0020_réception_x0020_copie_x0020_papier" minOccurs="0"/>
                <xsd:element ref="ns3:_dlc_DocId" minOccurs="0"/>
                <xsd:element ref="ns3:_dlc_DocIdUrl" minOccurs="0"/>
                <xsd:element ref="ns3:_dlc_DocIdPersistId" minOccurs="0"/>
                <xsd:element ref="ns2:Hidden_UploadedBy" minOccurs="0"/>
                <xsd:element ref="ns2:Hidden_UploadedAt" minOccurs="0"/>
                <xsd:element ref="ns2:Hidden_ApprovedBy" minOccurs="0"/>
                <xsd:element ref="ns2:Hidden_ApprovedAt" minOccurs="0"/>
                <xsd:element ref="ns2:Statut"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1097b-8ae3-4832-a2b2-51f9a78aeacd" elementFormDefault="qualified">
    <xsd:import namespace="http://schemas.microsoft.com/office/2006/documentManagement/types"/>
    <xsd:import namespace="http://schemas.microsoft.com/office/infopath/2007/PartnerControls"/>
    <xsd:element name="Projet" ma:index="1" ma:displayName="Projet" ma:list="{CE87CB4F-F3B1-42AD-9CE0-0125D6B4080B}" ma:internalName="Projet" ma:readOnly="false" ma:showField="Num_x00e9_ro_x0020_du_x0020_proj" ma:web="{76ddd5ea-d475-414e-8091-4675c7a4bd1a}">
      <xsd:simpleType>
        <xsd:restriction base="dms:Lookup"/>
      </xsd:simpleType>
    </xsd:element>
    <xsd:element name="Provenance" ma:index="2" nillable="true" ma:displayName="Provenance" ma:indexed="true" ma:list="{3A1A4597-1672-4F84-9DE7-FBA0AEBF9CE3}" ma:internalName="Provenance" ma:showField="Title" ma:web="{76ddd5ea-d475-414e-8091-4675c7a4bd1a}">
      <xsd:simpleType>
        <xsd:restriction base="dms:Lookup"/>
      </xsd:simpleType>
    </xsd:element>
    <xsd:element name="Déposant" ma:index="3" ma:displayName="Déposant" ma:list="{A2D4550E-DC70-4FE1-8010-4C446E5D8D2C}" ma:internalName="D_x00e9_posant" ma:showField="Title" ma:web="{76ddd5ea-d475-414e-8091-4675c7a4bd1a}">
      <xsd:simpleType>
        <xsd:restriction base="dms:Lookup"/>
      </xsd:simpleType>
    </xsd:element>
    <xsd:element name="Catégorie_x0020_de_x0020_document" ma:index="4" nillable="true" ma:displayName="Catégorie de document" ma:list="{F7545102-6201-4483-9929-E858F36BE31E}" ma:internalName="Cat_x00e9_gorie_x0020_de_x0020_document" ma:showField="Title" ma:web="{76ddd5ea-d475-414e-8091-4675c7a4bd1a}">
      <xsd:simpleType>
        <xsd:restriction base="dms:Lookup"/>
      </xsd:simpleType>
    </xsd:element>
    <xsd:element name="Sous-catégorie" ma:index="5" nillable="true" ma:displayName="Sous-catégorie" ma:list="{8F61632E-9A95-48F5-95F9-D05D88255F44}" ma:internalName="Sous_x002d_cat_x00e9_gorie" ma:showField="Title" ma:web="{76ddd5ea-d475-414e-8091-4675c7a4bd1a}">
      <xsd:simpleType>
        <xsd:restriction base="dms:Lookup"/>
      </xsd:simpleType>
    </xsd:element>
    <xsd:element name="Phase" ma:index="6" ma:displayName="Phase" ma:list="{1721197D-7382-4457-968B-EC653058772A}" ma:internalName="Phase" ma:showField="Title" ma:web="{76ddd5ea-d475-414e-8091-4675c7a4bd1a}">
      <xsd:simpleType>
        <xsd:restriction base="dms:Lookup"/>
      </xsd:simpleType>
    </xsd:element>
    <xsd:element name="Précision_x0020_de_x0020_document" ma:index="7" nillable="true" ma:displayName="Précisions de document" ma:hidden="true" ma:list="{CD8F73AF-CF7D-4F56-B7C5-E37D10A86459}" ma:internalName="Pr_x00e9_cision_x0020_de_x0020_document" ma:readOnly="false" ma:showField="Title" ma:web="{76ddd5ea-d475-414e-8091-4675c7a4bd1a}">
      <xsd:simpleType>
        <xsd:restriction base="dms:Lookup"/>
      </xsd:simpleType>
    </xsd:element>
    <xsd:element name="Sujet" ma:index="8" nillable="true" ma:displayName="Sujet" ma:internalName="Sujet">
      <xsd:simpleType>
        <xsd:restriction base="dms:Note">
          <xsd:maxLength value="255"/>
        </xsd:restriction>
      </xsd:simpleType>
    </xsd:element>
    <xsd:element name="Cote_x0020_de_x0020_déposant" ma:index="9" nillable="true" ma:displayName="Cote déposant" ma:internalName="Cote_x0020_de_x0020_d_x00e9_posant">
      <xsd:simpleType>
        <xsd:restriction base="dms:Text">
          <xsd:maxLength value="255"/>
        </xsd:restriction>
      </xsd:simpleType>
    </xsd:element>
    <xsd:element name="Accés_x0020_restreint" ma:index="10" nillable="true" ma:displayName="Accès restreint" ma:default="0" ma:internalName="Acc_x00e9_s_x0020_restreint">
      <xsd:simpleType>
        <xsd:restriction base="dms:Boolean"/>
      </xsd:simpleType>
    </xsd:element>
    <xsd:element name="Cote_x0020_de_x0020_piéce" ma:index="11" nillable="true" ma:displayName="Cote de pièce" ma:indexed="true" ma:internalName="Cote_x0020_de_x0020_pi_x00e9_ce">
      <xsd:simpleType>
        <xsd:restriction base="dms:Text">
          <xsd:maxLength value="255"/>
        </xsd:restriction>
      </xsd:simpleType>
    </xsd:element>
    <xsd:element name="Inscrit_x0020_au_x0020_plumitif" ma:index="12" nillable="true" ma:displayName="Inscrit au plumitif" ma:default="1" ma:internalName="Inscrit_x0020_au_x0020_plumitif">
      <xsd:simpleType>
        <xsd:restriction base="dms:Boolean"/>
      </xsd:simpleType>
    </xsd:element>
    <xsd:element name="Numéro_x0020_plumitif" ma:index="13" nillable="true" ma:displayName="Numéro plumitif" ma:decimals="0" ma:internalName="Num_x00e9_ro_x0020_plumitif">
      <xsd:simpleType>
        <xsd:restriction base="dms:Number">
          <xsd:maxInclusive value="9999"/>
          <xsd:minInclusive value="1"/>
        </xsd:restriction>
      </xsd:simpleType>
    </xsd:element>
    <xsd:element name="Diffusable_x0020_sur_x0020_le_x0020_Web" ma:index="14" nillable="true" ma:displayName="Diffusable sur le Web" ma:default="1" ma:internalName="Diffusable_x0020_sur_x0020_le_x0020_Web">
      <xsd:simpleType>
        <xsd:restriction base="dms:Boolean"/>
      </xsd:simpleType>
    </xsd:element>
    <xsd:element name="Ne_x0020_pas_x0020_envoyer_x0020_d_x0027_alerte" ma:index="15" nillable="true" ma:displayName="Ne pas envoyer d'alerte" ma:default="1" ma:internalName="Ne_x0020_pas_x0020_envoyer_x0020_d_x0027_alerte">
      <xsd:simpleType>
        <xsd:restriction base="dms:Boolean"/>
      </xsd:simpleType>
    </xsd:element>
    <xsd:element name="Confidentiel" ma:index="16" ma:displayName="Confidentiel" ma:list="{79B26B89-E55A-4B03-BEFA-7EE3A90275CF}" ma:internalName="Confidentiel" ma:showField="Title" ma:web="{76ddd5ea-d475-414e-8091-4675c7a4bd1a}">
      <xsd:simpleType>
        <xsd:restriction base="dms:Lookup"/>
      </xsd:simpleType>
    </xsd:element>
    <xsd:element name="Date_x0020_de_x0020_confidentialité_x0020_relevée" ma:index="17" nillable="true" ma:displayName="Date de confidentialité relevée" ma:format="DateOnly" ma:internalName="Date_x0020_de_x0020_confidentialit_x00e9__x0020_relev_x00e9_e">
      <xsd:simpleType>
        <xsd:restriction base="dms:DateTime"/>
      </xsd:simpleType>
    </xsd:element>
    <xsd:element name="Copie_x0020_papier_x0020_reçue" ma:index="18" nillable="true" ma:displayName="Copie papier reçue" ma:default="0" ma:internalName="Copie_x0020_papier_x0020_re_x00e7_ue">
      <xsd:simpleType>
        <xsd:restriction base="dms:Boolean"/>
      </xsd:simpleType>
    </xsd:element>
    <xsd:element name="Date_x0020_de_x0020_réception_x0020_copie_x0020_papier" ma:index="19" nillable="true" ma:displayName="Date de réception copie papier" ma:format="DateOnly" ma:internalName="Date_x0020_de_x0020_r_x00e9_ception_x0020_copie_x0020_papier">
      <xsd:simpleType>
        <xsd:restriction base="dms:DateTime"/>
      </xsd:simpleType>
    </xsd:element>
    <xsd:element name="Hidden_UploadedBy" ma:index="33" nillable="true" ma:displayName="Hidden_UploadedBy" ma:hidden="true" ma:internalName="Hidden_UploadedBy" ma:readOnly="false">
      <xsd:simpleType>
        <xsd:restriction base="dms:Text">
          <xsd:maxLength value="100"/>
        </xsd:restriction>
      </xsd:simpleType>
    </xsd:element>
    <xsd:element name="Hidden_UploadedAt" ma:index="34" nillable="true" ma:displayName="Hidden_UploadedAt" ma:default="[today]" ma:format="DateTime" ma:hidden="true" ma:internalName="Hidden_UploadedAt" ma:readOnly="false">
      <xsd:simpleType>
        <xsd:restriction base="dms:DateTime"/>
      </xsd:simpleType>
    </xsd:element>
    <xsd:element name="Hidden_ApprovedBy" ma:index="35" nillable="true" ma:displayName="Hidden_ApprovedBy" ma:hidden="true" ma:internalName="Hidden_ApprovedBy" ma:readOnly="false">
      <xsd:simpleType>
        <xsd:restriction base="dms:Text">
          <xsd:maxLength value="100"/>
        </xsd:restriction>
      </xsd:simpleType>
    </xsd:element>
    <xsd:element name="Hidden_ApprovedAt" ma:index="36" nillable="true" ma:displayName="Hidden_ApprovedAt" ma:default="[today]" ma:format="DateTime" ma:hidden="true" ma:internalName="Hidden_ApprovedAt" ma:readOnly="false">
      <xsd:simpleType>
        <xsd:restriction base="dms:DateTime"/>
      </xsd:simpleType>
    </xsd:element>
    <xsd:element name="Statut" ma:index="37" nillable="true" ma:displayName="Statut" ma:hidden="true" ma:internalName="Statut" ma:readOnly="false">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a84ed267-86d5-4fa1-a3cb-2fed497fe84f" elementFormDefault="qualified">
    <xsd:import namespace="http://schemas.microsoft.com/office/2006/documentManagement/types"/>
    <xsd:import namespace="http://schemas.microsoft.com/office/infopath/2007/PartnerControls"/>
    <xsd:element name="_dlc_DocId" ma:index="22" nillable="true" ma:displayName="Valeur d’ID de document" ma:description="Valeur de l’ID de document affecté à cet élément." ma:internalName="_dlc_DocId" ma:readOnly="true">
      <xsd:simpleType>
        <xsd:restriction base="dms:Text"/>
      </xsd:simpleType>
    </xsd:element>
    <xsd:element name="_dlc_DocIdUrl" ma:index="23"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Conserver l’ID" ma:description="Conserver l’ID lors de l’ajout."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f1a81fd-acd8-440b-95f6-4cad1c352f3c" elementFormDefault="qualified">
    <xsd:import namespace="http://schemas.microsoft.com/office/2006/documentManagement/types"/>
    <xsd:import namespace="http://schemas.microsoft.com/office/infopath/2007/PartnerControls"/>
    <xsd:element name="SharedWithUsers" ma:index="3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ED8DF6-712A-4960-859B-03264A160A9E}"/>
</file>

<file path=customXML/itemProps2.xml><?xml version="1.0" encoding="utf-8"?>
<ds:datastoreItem xmlns:ds="http://schemas.openxmlformats.org/officeDocument/2006/customXml" ds:itemID="{66821780-D2DF-4807-8609-E8AF5A3DFFAA}"/>
</file>

<file path=customXML/itemProps3.xml><?xml version="1.0" encoding="utf-8"?>
<ds:datastoreItem xmlns:ds="http://schemas.openxmlformats.org/officeDocument/2006/customXml" ds:itemID="{0CC92BDE-1CC9-4167-AE6B-F920B34C0499}"/>
</file>

<file path=customXML/itemProps4.xml><?xml version="1.0" encoding="utf-8"?>
<ds:datastoreItem xmlns:ds="http://schemas.openxmlformats.org/officeDocument/2006/customXml" ds:itemID="{66821780-D2DF-4807-8609-E8AF5A3DFFAA}"/>
</file>

<file path=customXML/itemProps5.xml><?xml version="1.0" encoding="utf-8"?>
<ds:datastoreItem xmlns:ds="http://schemas.openxmlformats.org/officeDocument/2006/customXml" ds:itemID="{45A4FCC3-9D3F-40B1-840C-E274A9D3EB18}"/>
</file>

<file path=customXML/itemProps6.xml><?xml version="1.0" encoding="utf-8"?>
<ds:datastoreItem xmlns:ds="http://schemas.openxmlformats.org/officeDocument/2006/customXml" ds:itemID="{B6954C3C-F961-4B57-A614-C62AF01625E0}"/>
</file>

<file path=docProps/app.xml><?xml version="1.0" encoding="utf-8"?>
<Properties xmlns="http://schemas.openxmlformats.org/officeDocument/2006/extended-properties" xmlns:vt="http://schemas.openxmlformats.org/officeDocument/2006/docPropsVTypes">
  <Template>Normal.dotm</Template>
  <TotalTime>5</TotalTime>
  <Pages>11</Pages>
  <Words>1824</Words>
  <Characters>10037</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Roy</dc:creator>
  <cp:keywords/>
  <dc:description/>
  <cp:lastModifiedBy>Diane Duhamel</cp:lastModifiedBy>
  <cp:revision>3</cp:revision>
  <dcterms:created xsi:type="dcterms:W3CDTF">2023-06-26T15:52:00Z</dcterms:created>
  <dcterms:modified xsi:type="dcterms:W3CDTF">2023-06-26T15:53:00Z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ContentTypeId">
    <vt:lpwstr>0x010100F6681E3BDF397F418586AC591ADC81BB00761A95451C335C4EB05B510B491C3495</vt:lpwstr>
  </property>
  <property fmtid="{D5CDD505-2E9C-101B-9397-08002B2CF9AE}" pid="4" name="_dlc_DocIdItemGuid">
    <vt:lpwstr>471b3715-c3fe-418b-a61b-f8475e005458</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