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518"/>
        <w:gridCol w:w="5058"/>
      </w:tblGrid>
      <w:tr w:rsidR="000460D1" w14:paraId="1997D122" w14:textId="77777777" w:rsidTr="00DA4B37">
        <w:trPr>
          <w:trHeight w:val="3159"/>
        </w:trPr>
        <w:tc>
          <w:tcPr>
            <w:tcW w:w="4518" w:type="dxa"/>
            <w:shd w:val="clear" w:color="auto" w:fill="auto"/>
          </w:tcPr>
          <w:p w14:paraId="00FA0654" w14:textId="77777777" w:rsidR="000460D1" w:rsidRDefault="009A6C89" w:rsidP="00DA4B37">
            <w:pPr>
              <w:pStyle w:val="procedure"/>
              <w:spacing w:before="120" w:after="120" w:line="240" w:lineRule="auto"/>
              <w:rPr>
                <w:rFonts w:asciiTheme="minorHAnsi" w:hAnsiTheme="minorHAnsi" w:cstheme="minorHAnsi"/>
                <w:szCs w:val="24"/>
              </w:rPr>
            </w:pPr>
            <w:r>
              <w:rPr>
                <w:rFonts w:asciiTheme="minorHAnsi" w:hAnsiTheme="minorHAnsi" w:cstheme="minorHAnsi"/>
                <w:szCs w:val="24"/>
              </w:rPr>
              <w:t>C A N A D A</w:t>
            </w:r>
          </w:p>
          <w:p w14:paraId="0AE386B5" w14:textId="7D3CE23D" w:rsidR="000460D1" w:rsidRDefault="009A6C89" w:rsidP="00DA4B37">
            <w:pPr>
              <w:pStyle w:val="procedure"/>
              <w:spacing w:before="120" w:after="120" w:line="240" w:lineRule="auto"/>
              <w:rPr>
                <w:rFonts w:asciiTheme="minorHAnsi" w:hAnsiTheme="minorHAnsi" w:cstheme="minorBidi"/>
              </w:rPr>
            </w:pPr>
            <w:r w:rsidRPr="171CEEE5">
              <w:rPr>
                <w:rFonts w:asciiTheme="minorHAnsi" w:hAnsiTheme="minorHAnsi" w:cstheme="minorBidi"/>
              </w:rPr>
              <w:t>PROVINCE DE QUÉBEC</w:t>
            </w:r>
          </w:p>
          <w:p w14:paraId="615C2295" w14:textId="77777777" w:rsidR="000460D1" w:rsidRDefault="000460D1" w:rsidP="00DA4B37">
            <w:pPr>
              <w:pStyle w:val="procedure"/>
              <w:spacing w:before="120" w:after="120" w:line="240" w:lineRule="auto"/>
              <w:rPr>
                <w:rFonts w:asciiTheme="minorHAnsi" w:hAnsiTheme="minorHAnsi" w:cstheme="minorHAnsi"/>
                <w:szCs w:val="24"/>
              </w:rPr>
            </w:pPr>
          </w:p>
          <w:p w14:paraId="26A7A8B7" w14:textId="36CD7C72" w:rsidR="000460D1" w:rsidRDefault="00043C12" w:rsidP="00DA4B37">
            <w:pPr>
              <w:pStyle w:val="procedure"/>
              <w:spacing w:before="120" w:after="120" w:line="240" w:lineRule="auto"/>
              <w:rPr>
                <w:rFonts w:asciiTheme="minorHAnsi" w:hAnsiTheme="minorHAnsi" w:cstheme="minorHAnsi"/>
                <w:b/>
                <w:szCs w:val="24"/>
              </w:rPr>
            </w:pPr>
            <w:r>
              <w:rPr>
                <w:rFonts w:asciiTheme="minorHAnsi" w:hAnsiTheme="minorHAnsi" w:cstheme="minorHAnsi"/>
                <w:b/>
                <w:szCs w:val="24"/>
              </w:rPr>
              <w:t xml:space="preserve">Dossier : </w:t>
            </w:r>
            <w:r w:rsidR="009A6C89">
              <w:rPr>
                <w:rFonts w:asciiTheme="minorHAnsi" w:hAnsiTheme="minorHAnsi" w:cstheme="minorHAnsi"/>
                <w:b/>
                <w:szCs w:val="24"/>
              </w:rPr>
              <w:t>R-</w:t>
            </w:r>
            <w:r w:rsidR="00DA4B37">
              <w:rPr>
                <w:rFonts w:asciiTheme="minorHAnsi" w:hAnsiTheme="minorHAnsi" w:cstheme="minorHAnsi"/>
                <w:b/>
                <w:szCs w:val="24"/>
              </w:rPr>
              <w:t>4210-2022</w:t>
            </w:r>
          </w:p>
        </w:tc>
        <w:tc>
          <w:tcPr>
            <w:tcW w:w="5058" w:type="dxa"/>
            <w:shd w:val="clear" w:color="auto" w:fill="auto"/>
          </w:tcPr>
          <w:p w14:paraId="09002E41" w14:textId="77777777" w:rsidR="000460D1" w:rsidRPr="00F1699A" w:rsidRDefault="009A6C89" w:rsidP="00DA4B37">
            <w:pPr>
              <w:pStyle w:val="procedure"/>
              <w:spacing w:before="120" w:after="120" w:line="240" w:lineRule="auto"/>
              <w:rPr>
                <w:rFonts w:asciiTheme="minorHAnsi" w:hAnsiTheme="minorHAnsi" w:cstheme="minorHAnsi"/>
                <w:b/>
                <w:bCs/>
                <w:spacing w:val="140"/>
                <w:szCs w:val="24"/>
              </w:rPr>
            </w:pPr>
            <w:r w:rsidRPr="00F1699A">
              <w:rPr>
                <w:rFonts w:asciiTheme="minorHAnsi" w:hAnsiTheme="minorHAnsi" w:cstheme="minorHAnsi"/>
                <w:b/>
                <w:bCs/>
                <w:szCs w:val="24"/>
              </w:rPr>
              <w:t>RÉGIE DE L’ÉNERGIE</w:t>
            </w:r>
          </w:p>
          <w:p w14:paraId="66FB28CF" w14:textId="2E293115" w:rsidR="000460D1" w:rsidRDefault="000460D1" w:rsidP="00DA4B37">
            <w:pPr>
              <w:pStyle w:val="procedure"/>
              <w:tabs>
                <w:tab w:val="right" w:pos="4377"/>
              </w:tabs>
              <w:spacing w:before="120" w:after="120" w:line="240" w:lineRule="auto"/>
              <w:rPr>
                <w:rFonts w:asciiTheme="minorHAnsi" w:hAnsiTheme="minorHAnsi" w:cstheme="minorHAnsi"/>
                <w:szCs w:val="24"/>
                <w:u w:val="single"/>
              </w:rPr>
            </w:pPr>
          </w:p>
          <w:p w14:paraId="4C598C0D" w14:textId="2B02A5D8" w:rsidR="000460D1" w:rsidRDefault="00BC6B13" w:rsidP="00DA4B37">
            <w:pPr>
              <w:pStyle w:val="procedure"/>
              <w:spacing w:before="120" w:after="120" w:line="240" w:lineRule="auto"/>
              <w:jc w:val="left"/>
              <w:rPr>
                <w:rFonts w:asciiTheme="minorHAnsi" w:hAnsiTheme="minorHAnsi" w:cstheme="minorHAnsi"/>
                <w:szCs w:val="24"/>
              </w:rPr>
            </w:pPr>
            <w:r>
              <w:rPr>
                <w:rFonts w:asciiTheme="minorHAnsi" w:hAnsiTheme="minorHAnsi" w:cstheme="minorHAnsi"/>
                <w:b/>
                <w:szCs w:val="24"/>
              </w:rPr>
              <w:t>HYDRO-QUÉBEC</w:t>
            </w:r>
          </w:p>
          <w:p w14:paraId="225EBC6B" w14:textId="77777777" w:rsidR="000460D1" w:rsidRDefault="009A6C89" w:rsidP="00DA4B37">
            <w:pPr>
              <w:pStyle w:val="procedure"/>
              <w:spacing w:before="120" w:after="120" w:line="240" w:lineRule="auto"/>
              <w:jc w:val="right"/>
              <w:rPr>
                <w:rFonts w:asciiTheme="minorHAnsi" w:hAnsiTheme="minorHAnsi" w:cstheme="minorHAnsi"/>
                <w:szCs w:val="24"/>
              </w:rPr>
            </w:pPr>
            <w:r>
              <w:rPr>
                <w:rFonts w:asciiTheme="minorHAnsi" w:hAnsiTheme="minorHAnsi" w:cstheme="minorHAnsi"/>
                <w:szCs w:val="24"/>
              </w:rPr>
              <w:t>Requérante</w:t>
            </w:r>
          </w:p>
          <w:p w14:paraId="276F2BB7" w14:textId="77777777" w:rsidR="000460D1" w:rsidRDefault="009A6C89" w:rsidP="00DA4B37">
            <w:pPr>
              <w:pStyle w:val="procedure"/>
              <w:spacing w:before="120" w:after="120" w:line="240" w:lineRule="auto"/>
              <w:jc w:val="left"/>
              <w:rPr>
                <w:rFonts w:asciiTheme="minorHAnsi" w:hAnsiTheme="minorHAnsi" w:cstheme="minorHAnsi"/>
                <w:szCs w:val="24"/>
              </w:rPr>
            </w:pPr>
            <w:r>
              <w:rPr>
                <w:rFonts w:asciiTheme="minorHAnsi" w:hAnsiTheme="minorHAnsi" w:cstheme="minorHAnsi"/>
                <w:szCs w:val="24"/>
              </w:rPr>
              <w:t>et</w:t>
            </w:r>
          </w:p>
          <w:p w14:paraId="6EECD2F6" w14:textId="377C2AC8" w:rsidR="000460D1" w:rsidRDefault="00BC6B13" w:rsidP="00DA4B37">
            <w:pPr>
              <w:pStyle w:val="procedure"/>
              <w:spacing w:before="120" w:after="120" w:line="240" w:lineRule="auto"/>
              <w:ind w:left="13" w:hanging="13"/>
              <w:jc w:val="left"/>
              <w:rPr>
                <w:rFonts w:asciiTheme="minorHAnsi" w:hAnsiTheme="minorHAnsi" w:cstheme="minorHAnsi"/>
                <w:b/>
                <w:szCs w:val="24"/>
              </w:rPr>
            </w:pPr>
            <w:bookmarkStart w:id="0" w:name="_Hlk81201085"/>
            <w:r>
              <w:rPr>
                <w:rFonts w:asciiTheme="minorHAnsi" w:hAnsiTheme="minorHAnsi" w:cstheme="minorHAnsi"/>
                <w:b/>
                <w:szCs w:val="24"/>
              </w:rPr>
              <w:t>HIVE BLOCKCHAIN TECHNOLOGIES LTD</w:t>
            </w:r>
            <w:bookmarkEnd w:id="0"/>
          </w:p>
          <w:p w14:paraId="4685E465" w14:textId="19BC5C14" w:rsidR="000460D1" w:rsidRDefault="009A6C89" w:rsidP="00DA4B37">
            <w:pPr>
              <w:pStyle w:val="procedure"/>
              <w:spacing w:before="120" w:after="120" w:line="240" w:lineRule="auto"/>
              <w:jc w:val="right"/>
              <w:rPr>
                <w:rFonts w:asciiTheme="minorHAnsi" w:hAnsiTheme="minorHAnsi" w:cstheme="minorHAnsi"/>
                <w:szCs w:val="24"/>
              </w:rPr>
            </w:pPr>
            <w:r>
              <w:rPr>
                <w:rFonts w:asciiTheme="minorHAnsi" w:hAnsiTheme="minorHAnsi" w:cstheme="minorHAnsi"/>
                <w:szCs w:val="24"/>
              </w:rPr>
              <w:t>Intervenante</w:t>
            </w:r>
          </w:p>
        </w:tc>
      </w:tr>
    </w:tbl>
    <w:p w14:paraId="4B890FF4" w14:textId="77777777" w:rsidR="000460D1" w:rsidRPr="00BC6B13" w:rsidRDefault="000460D1" w:rsidP="009C23DD">
      <w:pPr>
        <w:pStyle w:val="titre0"/>
        <w:pBdr>
          <w:bottom w:val="single" w:sz="4" w:space="1" w:color="auto"/>
        </w:pBdr>
        <w:spacing w:before="0" w:line="240" w:lineRule="auto"/>
        <w:rPr>
          <w:rFonts w:asciiTheme="minorHAnsi" w:hAnsiTheme="minorHAnsi" w:cstheme="minorHAnsi"/>
          <w:szCs w:val="24"/>
        </w:rPr>
      </w:pPr>
    </w:p>
    <w:p w14:paraId="6435E08D" w14:textId="78A5E47F" w:rsidR="000460D1" w:rsidRDefault="009A6C89" w:rsidP="00E70706">
      <w:pPr>
        <w:pStyle w:val="Titre1"/>
        <w:jc w:val="center"/>
      </w:pPr>
      <w:r>
        <w:t xml:space="preserve">PLAN D’ARGUMENTATION DE </w:t>
      </w:r>
      <w:r w:rsidR="00DD6BCB">
        <w:t>HIVE BLOCKCHAIN TECHNOLOGIES LTD</w:t>
      </w:r>
    </w:p>
    <w:p w14:paraId="404BEE24" w14:textId="5A853366" w:rsidR="00F1699A" w:rsidRPr="00F1699A" w:rsidRDefault="00DA4B37" w:rsidP="00F1699A">
      <w:pPr>
        <w:pStyle w:val="Titre1"/>
        <w:spacing w:after="240"/>
        <w:jc w:val="center"/>
        <w:rPr>
          <w:rFonts w:eastAsia="Times New Roman" w:cs="Times New Roman"/>
        </w:rPr>
      </w:pPr>
      <w:r w:rsidRPr="00DA4B37">
        <w:rPr>
          <w:rFonts w:eastAsia="Times New Roman" w:cs="Times New Roman"/>
        </w:rPr>
        <w:t>DEMANDE D’APPROBATION DU PLAN D’APPROVISIONNEMENT 2023-2032</w:t>
      </w:r>
      <w:r w:rsidR="009847D1">
        <w:rPr>
          <w:rFonts w:eastAsia="Times New Roman" w:cs="Times New Roman"/>
        </w:rPr>
        <w:t> </w:t>
      </w:r>
      <w:r w:rsidRPr="00DA4B37">
        <w:rPr>
          <w:rFonts w:eastAsia="Times New Roman" w:cs="Times New Roman"/>
        </w:rPr>
        <w:t>D’HYDRO-QUÉBEC DANS SES ACTIVITÉS DE DISTRIBUTION</w:t>
      </w:r>
    </w:p>
    <w:p w14:paraId="37DC7F52" w14:textId="6397576A" w:rsidR="000460D1" w:rsidRDefault="000460D1" w:rsidP="009C23DD">
      <w:pPr>
        <w:pStyle w:val="titre0"/>
        <w:pBdr>
          <w:top w:val="single" w:sz="4" w:space="1" w:color="auto"/>
        </w:pBdr>
        <w:tabs>
          <w:tab w:val="clear" w:pos="4320"/>
          <w:tab w:val="right" w:pos="9180"/>
        </w:tabs>
        <w:spacing w:before="0" w:line="240" w:lineRule="auto"/>
        <w:jc w:val="left"/>
        <w:rPr>
          <w:rFonts w:asciiTheme="minorHAnsi" w:hAnsiTheme="minorHAnsi" w:cstheme="minorHAnsi"/>
          <w:b w:val="0"/>
          <w:szCs w:val="24"/>
          <w:u w:val="single"/>
        </w:rPr>
      </w:pPr>
    </w:p>
    <w:p w14:paraId="210D3240" w14:textId="7CB3CFC0" w:rsidR="000460D1" w:rsidRDefault="009A6C89" w:rsidP="007D7789">
      <w:pPr>
        <w:pStyle w:val="NumA2"/>
      </w:pPr>
      <w:r>
        <w:t>introduction</w:t>
      </w:r>
    </w:p>
    <w:p w14:paraId="40FD5CF2" w14:textId="39C24B20" w:rsidR="007D7789" w:rsidRPr="00726152" w:rsidRDefault="007D7789" w:rsidP="00F1699A">
      <w:pPr>
        <w:pStyle w:val="NumA1"/>
        <w:numPr>
          <w:ilvl w:val="0"/>
          <w:numId w:val="21"/>
        </w:numPr>
      </w:pPr>
      <w:r>
        <w:t>Le 1</w:t>
      </w:r>
      <w:r w:rsidRPr="00F1699A">
        <w:rPr>
          <w:vertAlign w:val="superscript"/>
        </w:rPr>
        <w:t>er</w:t>
      </w:r>
      <w:r>
        <w:t> </w:t>
      </w:r>
      <w:r w:rsidRPr="00F1699A">
        <w:t>novembre</w:t>
      </w:r>
      <w:r>
        <w:t xml:space="preserve"> 2022, dans le cadre de sa demande d’approbation du Plan </w:t>
      </w:r>
      <w:r w:rsidRPr="009B4317">
        <w:t>d’approvisionnement</w:t>
      </w:r>
      <w:r>
        <w:t> 2023-2032, Hydro-Québec Distribution (le « </w:t>
      </w:r>
      <w:r w:rsidRPr="00F1699A">
        <w:rPr>
          <w:b/>
          <w:bCs/>
        </w:rPr>
        <w:t>Distributeur</w:t>
      </w:r>
      <w:r>
        <w:t xml:space="preserve"> ») demande à la Régie de l’énergie (la </w:t>
      </w:r>
      <w:r w:rsidR="009847D1">
        <w:t>« </w:t>
      </w:r>
      <w:r w:rsidRPr="00F1699A">
        <w:rPr>
          <w:b/>
          <w:bCs/>
        </w:rPr>
        <w:t>Régie</w:t>
      </w:r>
      <w:r w:rsidR="009847D1">
        <w:t> »</w:t>
      </w:r>
      <w:r w:rsidRPr="0083615E">
        <w:t>)</w:t>
      </w:r>
      <w:r w:rsidRPr="00F1699A">
        <w:rPr>
          <w:b/>
          <w:bCs/>
        </w:rPr>
        <w:t xml:space="preserve"> </w:t>
      </w:r>
      <w:r>
        <w:t>d’ordonner en vertu des articles</w:t>
      </w:r>
      <w:r w:rsidR="009847D1">
        <w:t> </w:t>
      </w:r>
      <w:r>
        <w:t xml:space="preserve">31, al. 1 (1)(5), 34 et 72 de la </w:t>
      </w:r>
      <w:r w:rsidRPr="00F1699A">
        <w:rPr>
          <w:i/>
          <w:iCs/>
        </w:rPr>
        <w:t>Loi sur la Régie de l’énergie</w:t>
      </w:r>
      <w:r w:rsidRPr="36D71D4F">
        <w:t xml:space="preserve"> (RLRQ c R-6.01) («</w:t>
      </w:r>
      <w:r w:rsidR="006F0762">
        <w:t> </w:t>
      </w:r>
      <w:r w:rsidRPr="00F1699A">
        <w:rPr>
          <w:b/>
          <w:bCs/>
        </w:rPr>
        <w:t>LRE</w:t>
      </w:r>
      <w:r w:rsidR="006F0762">
        <w:t> </w:t>
      </w:r>
      <w:r w:rsidRPr="36D71D4F">
        <w:t xml:space="preserve">») </w:t>
      </w:r>
      <w:r>
        <w:t>la suspension de manière urgente de l’attribution du solde de 267,4 MW du bloc réservé de 300 MW aux consommateurs utilisant l’électricité à des fins d’usage cryptographiques appliqué aux chaînes de blocs créés conformément à la décision</w:t>
      </w:r>
      <w:r w:rsidR="009847D1">
        <w:t> </w:t>
      </w:r>
      <w:r>
        <w:t>D-2019-052 (respectivement le « </w:t>
      </w:r>
      <w:r w:rsidRPr="00F1699A">
        <w:rPr>
          <w:b/>
          <w:bCs/>
        </w:rPr>
        <w:t>Bloc réservé</w:t>
      </w:r>
      <w:r>
        <w:t> », le « </w:t>
      </w:r>
      <w:r w:rsidRPr="00F1699A">
        <w:rPr>
          <w:b/>
          <w:bCs/>
        </w:rPr>
        <w:t>Solde du Bloc réservé</w:t>
      </w:r>
      <w:r>
        <w:t> » et la «</w:t>
      </w:r>
      <w:r w:rsidR="006F0762">
        <w:t> </w:t>
      </w:r>
      <w:r w:rsidRPr="00F1699A">
        <w:rPr>
          <w:b/>
          <w:bCs/>
        </w:rPr>
        <w:t>Demande d’ordonnance de sauvegarde</w:t>
      </w:r>
      <w:r w:rsidR="006F0762">
        <w:t> </w:t>
      </w:r>
      <w:r>
        <w:t>») et, au mérite, de retirer l’allocation du Bloc réservé dans son plan d’approvisionnement (la «</w:t>
      </w:r>
      <w:r w:rsidR="006F0762">
        <w:t> </w:t>
      </w:r>
      <w:r w:rsidRPr="00F1699A">
        <w:rPr>
          <w:b/>
          <w:bCs/>
        </w:rPr>
        <w:t>Demande au mérite</w:t>
      </w:r>
      <w:r w:rsidR="006F0762">
        <w:t> </w:t>
      </w:r>
      <w:r>
        <w:t>»</w:t>
      </w:r>
      <w:r w:rsidR="009B4317">
        <w:t xml:space="preserve"> et, ensemble, la «</w:t>
      </w:r>
      <w:r w:rsidR="006F0762">
        <w:t> </w:t>
      </w:r>
      <w:r w:rsidR="009B4317" w:rsidRPr="00F1699A">
        <w:rPr>
          <w:b/>
          <w:bCs/>
        </w:rPr>
        <w:t>Demande</w:t>
      </w:r>
      <w:r w:rsidR="006F0762">
        <w:t> </w:t>
      </w:r>
      <w:r w:rsidR="009B4317">
        <w:t>»</w:t>
      </w:r>
      <w:r>
        <w:t xml:space="preserve">);  </w:t>
      </w:r>
    </w:p>
    <w:p w14:paraId="610081F6" w14:textId="6099D853" w:rsidR="007D7789" w:rsidRDefault="007D7789" w:rsidP="00F1699A">
      <w:pPr>
        <w:pStyle w:val="NumA1"/>
      </w:pPr>
      <w:r>
        <w:t>Le 10</w:t>
      </w:r>
      <w:r w:rsidR="009847D1">
        <w:t> </w:t>
      </w:r>
      <w:r>
        <w:t>janvier</w:t>
      </w:r>
      <w:r w:rsidR="009847D1">
        <w:t> </w:t>
      </w:r>
      <w:r>
        <w:t>2023, la Régie rend la décision</w:t>
      </w:r>
      <w:r w:rsidR="009847D1">
        <w:t> </w:t>
      </w:r>
      <w:r>
        <w:t>D-2023-002, dans laquelle elle accueille la Demande d’ordonnance de sauvegarde du Distributeur et suspend</w:t>
      </w:r>
      <w:r w:rsidRPr="004516EA">
        <w:t xml:space="preserve"> provisoirement le processus d’attribution </w:t>
      </w:r>
      <w:r>
        <w:t xml:space="preserve">du </w:t>
      </w:r>
      <w:r w:rsidRPr="00F1699A">
        <w:t>Solde</w:t>
      </w:r>
      <w:r>
        <w:t xml:space="preserve"> du Bloc réservé prévu aux articles</w:t>
      </w:r>
      <w:r w:rsidR="009847D1">
        <w:t> </w:t>
      </w:r>
      <w:r>
        <w:t>1.3, 13</w:t>
      </w:r>
      <w:r w:rsidR="006F0762">
        <w:t>,9 </w:t>
      </w:r>
      <w:r>
        <w:t>al. 2 et 21</w:t>
      </w:r>
      <w:r w:rsidR="006F0762">
        <w:t>,</w:t>
      </w:r>
      <w:r>
        <w:t xml:space="preserve">1 des </w:t>
      </w:r>
      <w:r w:rsidRPr="00242D8E">
        <w:rPr>
          <w:i/>
          <w:iCs/>
        </w:rPr>
        <w:t>Conditions de service</w:t>
      </w:r>
      <w:r w:rsidRPr="00242D8E">
        <w:t xml:space="preserve"> pour l’usage cryptographique appliqué aux chaînes de blocs (« </w:t>
      </w:r>
      <w:r w:rsidRPr="00242D8E">
        <w:rPr>
          <w:b/>
          <w:bCs/>
        </w:rPr>
        <w:t>CSUCB</w:t>
      </w:r>
      <w:r w:rsidRPr="00242D8E">
        <w:t> »)</w:t>
      </w:r>
      <w:r>
        <w:t>, incluant le mécanisme basé sur une approche du «</w:t>
      </w:r>
      <w:r w:rsidR="006F0762">
        <w:t> </w:t>
      </w:r>
      <w:r>
        <w:t>premier arrivé, premier servi</w:t>
      </w:r>
      <w:r w:rsidR="006F0762">
        <w:t> </w:t>
      </w:r>
      <w:r>
        <w:t>» (le «</w:t>
      </w:r>
      <w:r w:rsidR="006F0762">
        <w:t> </w:t>
      </w:r>
      <w:r w:rsidRPr="00CD19C9">
        <w:rPr>
          <w:b/>
          <w:bCs/>
        </w:rPr>
        <w:t>Guichet unique</w:t>
      </w:r>
      <w:r w:rsidR="006F0762">
        <w:t> </w:t>
      </w:r>
      <w:r>
        <w:t>»). Dans cette décision, la Régie s’exprime de la façon suivante quant à la portée de l’ordonnance rendue</w:t>
      </w:r>
      <w:r w:rsidR="009847D1">
        <w:t> </w:t>
      </w:r>
      <w:r>
        <w:t>:</w:t>
      </w:r>
    </w:p>
    <w:p w14:paraId="6B86B2C6" w14:textId="786B3208" w:rsidR="007D7789" w:rsidRDefault="007D7789" w:rsidP="007D7789">
      <w:pPr>
        <w:pStyle w:val="ParaNum11"/>
        <w:numPr>
          <w:ilvl w:val="0"/>
          <w:numId w:val="0"/>
        </w:numPr>
        <w:ind w:left="1440" w:right="720"/>
        <w:rPr>
          <w:sz w:val="22"/>
        </w:rPr>
      </w:pPr>
      <w:r w:rsidRPr="004516EA">
        <w:rPr>
          <w:sz w:val="22"/>
        </w:rPr>
        <w:t>«</w:t>
      </w:r>
      <w:r w:rsidR="006F0762">
        <w:rPr>
          <w:sz w:val="22"/>
        </w:rPr>
        <w:t> </w:t>
      </w:r>
      <w:r w:rsidRPr="004516EA">
        <w:rPr>
          <w:sz w:val="22"/>
        </w:rPr>
        <w:t xml:space="preserve">[58] D’emblée, la Régie constate que plusieurs personnes intéressées soulèvent des arguments relatifs à la décision qu’elle aura à rendre au fond en ce qui a trait à la réévaluation du volume du Bloc réservé. </w:t>
      </w:r>
      <w:r w:rsidRPr="004516EA">
        <w:rPr>
          <w:sz w:val="22"/>
          <w:u w:val="single"/>
        </w:rPr>
        <w:t xml:space="preserve">La Régie tient à rappeler que, par la Demande, le Distributeur vise à faire suspendre provisoirement ses obligations en ce qui a trait au Bloc réservé, jusqu’à ce que la Régie se prononce au fond sur la </w:t>
      </w:r>
      <w:r w:rsidRPr="004516EA">
        <w:rPr>
          <w:sz w:val="22"/>
          <w:u w:val="single"/>
        </w:rPr>
        <w:lastRenderedPageBreak/>
        <w:t xml:space="preserve">question. </w:t>
      </w:r>
      <w:r w:rsidRPr="004516EA">
        <w:rPr>
          <w:b/>
          <w:bCs/>
          <w:sz w:val="22"/>
          <w:u w:val="single"/>
        </w:rPr>
        <w:t>Il n’est donc pas question, à ce stade, de rendre une décision définitive à cet égard</w:t>
      </w:r>
      <w:r w:rsidRPr="004516EA">
        <w:rPr>
          <w:sz w:val="22"/>
        </w:rPr>
        <w:t>.</w:t>
      </w:r>
      <w:r w:rsidR="006F0762">
        <w:rPr>
          <w:sz w:val="22"/>
        </w:rPr>
        <w:t> </w:t>
      </w:r>
      <w:r w:rsidRPr="004516EA">
        <w:rPr>
          <w:sz w:val="22"/>
        </w:rPr>
        <w:t>»</w:t>
      </w:r>
    </w:p>
    <w:p w14:paraId="2985522A" w14:textId="77777777" w:rsidR="007D7789" w:rsidRDefault="007D7789" w:rsidP="007D7789">
      <w:pPr>
        <w:pStyle w:val="ParaNum11"/>
        <w:numPr>
          <w:ilvl w:val="0"/>
          <w:numId w:val="0"/>
        </w:numPr>
        <w:ind w:left="1440" w:right="720"/>
        <w:jc w:val="right"/>
        <w:rPr>
          <w:sz w:val="22"/>
        </w:rPr>
      </w:pPr>
      <w:r>
        <w:rPr>
          <w:sz w:val="22"/>
        </w:rPr>
        <w:t>[Nous soulignons]</w:t>
      </w:r>
    </w:p>
    <w:tbl>
      <w:tblPr>
        <w:tblW w:w="8958" w:type="dxa"/>
        <w:tblInd w:w="648" w:type="dxa"/>
        <w:tblLook w:val="00A0" w:firstRow="1" w:lastRow="0" w:firstColumn="1" w:lastColumn="0" w:noHBand="0" w:noVBand="0"/>
      </w:tblPr>
      <w:tblGrid>
        <w:gridCol w:w="7092"/>
        <w:gridCol w:w="1866"/>
      </w:tblGrid>
      <w:tr w:rsidR="007D7789" w:rsidRPr="00726152" w14:paraId="14D8B374" w14:textId="77777777" w:rsidTr="002D4AE4">
        <w:tc>
          <w:tcPr>
            <w:tcW w:w="7092" w:type="dxa"/>
          </w:tcPr>
          <w:p w14:paraId="7AADCF06" w14:textId="0B89C81E" w:rsidR="007D7789" w:rsidRPr="00726152" w:rsidRDefault="007D7789" w:rsidP="00E731DA">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Décision</w:t>
            </w:r>
            <w:r w:rsidR="009847D1">
              <w:rPr>
                <w:rFonts w:ascii="Times New Roman" w:eastAsia="Times New Roman" w:hAnsi="Times New Roman" w:cs="Times New Roman"/>
                <w:color w:val="000000"/>
                <w:szCs w:val="24"/>
              </w:rPr>
              <w:t> </w:t>
            </w:r>
            <w:r>
              <w:t>D-2023-002, rendue le 10</w:t>
            </w:r>
            <w:r w:rsidR="009847D1">
              <w:t> </w:t>
            </w:r>
            <w:r>
              <w:t>janvier</w:t>
            </w:r>
            <w:r w:rsidR="009847D1">
              <w:t> </w:t>
            </w:r>
            <w:r>
              <w:t>2023, para. 58.</w:t>
            </w:r>
          </w:p>
        </w:tc>
        <w:tc>
          <w:tcPr>
            <w:tcW w:w="1866" w:type="dxa"/>
            <w:vAlign w:val="center"/>
          </w:tcPr>
          <w:p w14:paraId="78EC1B1A" w14:textId="4D365EAD" w:rsidR="002D4AE4" w:rsidRPr="00726152" w:rsidRDefault="002D4AE4" w:rsidP="00E731DA">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A-0438</w:t>
            </w:r>
          </w:p>
        </w:tc>
      </w:tr>
    </w:tbl>
    <w:p w14:paraId="5869181F" w14:textId="7FCCED53" w:rsidR="007D7789" w:rsidRDefault="007D7789" w:rsidP="00F1699A">
      <w:pPr>
        <w:pStyle w:val="NumA1"/>
      </w:pPr>
      <w:r>
        <w:t>Le 2</w:t>
      </w:r>
      <w:r w:rsidR="009847D1">
        <w:t> </w:t>
      </w:r>
      <w:r>
        <w:t>février</w:t>
      </w:r>
      <w:r w:rsidR="009847D1">
        <w:t> </w:t>
      </w:r>
      <w:r>
        <w:t>2023, la Régie rend la décision procédurale</w:t>
      </w:r>
      <w:r w:rsidR="009847D1">
        <w:t> </w:t>
      </w:r>
      <w:r>
        <w:t>D-2023-011 dans laquelle elle permet à HIVE d’intervenir au présent dossier et de traiter de la question de l’attribution du Solde du Bloc réservé</w:t>
      </w:r>
      <w:r w:rsidR="00B14551">
        <w:t>;</w:t>
      </w:r>
    </w:p>
    <w:tbl>
      <w:tblPr>
        <w:tblW w:w="8958" w:type="dxa"/>
        <w:tblInd w:w="648" w:type="dxa"/>
        <w:tblLook w:val="00A0" w:firstRow="1" w:lastRow="0" w:firstColumn="1" w:lastColumn="0" w:noHBand="0" w:noVBand="0"/>
      </w:tblPr>
      <w:tblGrid>
        <w:gridCol w:w="7092"/>
        <w:gridCol w:w="1866"/>
      </w:tblGrid>
      <w:tr w:rsidR="007D7789" w:rsidRPr="00726152" w14:paraId="66ED6E85" w14:textId="77777777" w:rsidTr="002D4AE4">
        <w:tc>
          <w:tcPr>
            <w:tcW w:w="7092" w:type="dxa"/>
          </w:tcPr>
          <w:p w14:paraId="52CF32D4" w14:textId="30139704" w:rsidR="007D7789" w:rsidRPr="00726152" w:rsidRDefault="007D7789" w:rsidP="00E731DA">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Décision</w:t>
            </w:r>
            <w:r w:rsidR="009847D1">
              <w:rPr>
                <w:rFonts w:ascii="Times New Roman" w:eastAsia="Times New Roman" w:hAnsi="Times New Roman" w:cs="Times New Roman"/>
                <w:color w:val="000000"/>
                <w:szCs w:val="24"/>
              </w:rPr>
              <w:t> </w:t>
            </w:r>
            <w:r>
              <w:t>D-2023-011, rendue le 2</w:t>
            </w:r>
            <w:r w:rsidR="009847D1">
              <w:t> </w:t>
            </w:r>
            <w:r>
              <w:t>février</w:t>
            </w:r>
            <w:r w:rsidR="009847D1">
              <w:t> </w:t>
            </w:r>
            <w:r>
              <w:t>2023, para. 39.</w:t>
            </w:r>
          </w:p>
        </w:tc>
        <w:tc>
          <w:tcPr>
            <w:tcW w:w="1866" w:type="dxa"/>
            <w:vAlign w:val="center"/>
          </w:tcPr>
          <w:p w14:paraId="71DDD97C" w14:textId="68EE3B6F" w:rsidR="002D4AE4" w:rsidRPr="00726152" w:rsidRDefault="002D4AE4" w:rsidP="00E731DA">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w:t>
            </w:r>
            <w:r w:rsidR="00043C12">
              <w:rPr>
                <w:rFonts w:ascii="Times New Roman" w:eastAsia="Times New Roman" w:hAnsi="Times New Roman" w:cs="Times New Roman"/>
                <w:b/>
                <w:color w:val="000000"/>
              </w:rPr>
              <w:t>0013</w:t>
            </w:r>
          </w:p>
        </w:tc>
      </w:tr>
    </w:tbl>
    <w:p w14:paraId="6202E58B" w14:textId="45BB209B" w:rsidR="007D7789" w:rsidRDefault="007D7789" w:rsidP="00F1699A">
      <w:pPr>
        <w:pStyle w:val="NumA1"/>
      </w:pPr>
      <w:r>
        <w:t>Dans les mois qui ont suivi, HIVE a collaboré avec l’intervenante Backbone Hosting</w:t>
      </w:r>
      <w:r w:rsidR="009847D1">
        <w:t> </w:t>
      </w:r>
      <w:r>
        <w:t>Solutions inc. («</w:t>
      </w:r>
      <w:r w:rsidR="006F0762">
        <w:t> </w:t>
      </w:r>
      <w:r>
        <w:rPr>
          <w:b/>
          <w:bCs/>
        </w:rPr>
        <w:t>Bitfarms</w:t>
      </w:r>
      <w:r w:rsidR="006F0762">
        <w:t> </w:t>
      </w:r>
      <w:r>
        <w:t xml:space="preserve">») </w:t>
      </w:r>
      <w:r w:rsidR="00D8255A">
        <w:t xml:space="preserve">dans le cadre de l’audience; </w:t>
      </w:r>
    </w:p>
    <w:p w14:paraId="1D2CE6EB" w14:textId="01193E0F" w:rsidR="00726152" w:rsidRPr="00C27F30" w:rsidRDefault="00CB4444" w:rsidP="00F1699A">
      <w:pPr>
        <w:pStyle w:val="NumA1"/>
      </w:pPr>
      <w:r>
        <w:t xml:space="preserve">Selon HIVE, </w:t>
      </w:r>
      <w:r w:rsidR="00BB01B2">
        <w:t>le Distributeur n’est pas autorisé à utiliser le forum de la demande d’approbation du plan d’approvisionnement pour demander la révision des ordonnances de la Régie rendues dans la décision</w:t>
      </w:r>
      <w:r w:rsidR="009847D1">
        <w:t> </w:t>
      </w:r>
      <w:r w:rsidR="00BB01B2">
        <w:t>D-2021-148 relativement à l’allocation Solde du Bloc réservé</w:t>
      </w:r>
      <w:r w:rsidR="004432E8">
        <w:t>;</w:t>
      </w:r>
    </w:p>
    <w:p w14:paraId="63C44618" w14:textId="3BAEA32B" w:rsidR="00705BB3" w:rsidRDefault="00B14551" w:rsidP="00F1699A">
      <w:pPr>
        <w:pStyle w:val="NumA1"/>
      </w:pPr>
      <w:r>
        <w:t>Au surplus</w:t>
      </w:r>
      <w:r w:rsidR="00BB01B2">
        <w:t xml:space="preserve">, HIVE est d’avis que le Distributeur n’a pas démontré </w:t>
      </w:r>
      <w:r>
        <w:t>le bien-fondé</w:t>
      </w:r>
      <w:r w:rsidR="00BB01B2">
        <w:t xml:space="preserve"> d’être relevé de l’obligation d’allouer le Solde du Bloc réservé, ceci considérant l’impact réel de l’allocation du Solde du Bloc réservé sur ses bilans en tenant compte des outils de gestion de puissance et considérant l’entrée en vigueur de la </w:t>
      </w:r>
      <w:r w:rsidR="00BB01B2">
        <w:rPr>
          <w:i/>
          <w:iCs/>
        </w:rPr>
        <w:t>Loi visant notamment à plafonner le taux d’indexation des prix des tarifs domestiques de distribution d’Hydro-Québec et à accroître l’encadrement de l’obligation de distribuer de l’électricité</w:t>
      </w:r>
      <w:r w:rsidR="00BB01B2">
        <w:t xml:space="preserve"> (LQ</w:t>
      </w:r>
      <w:r w:rsidR="009847D1">
        <w:t> </w:t>
      </w:r>
      <w:r w:rsidR="00BB01B2">
        <w:t>2023, c 1</w:t>
      </w:r>
      <w:r>
        <w:t>, la «</w:t>
      </w:r>
      <w:r w:rsidR="006F0762">
        <w:t> </w:t>
      </w:r>
      <w:r>
        <w:rPr>
          <w:b/>
          <w:bCs/>
        </w:rPr>
        <w:t>Loi</w:t>
      </w:r>
      <w:r w:rsidR="009847D1">
        <w:rPr>
          <w:b/>
          <w:bCs/>
        </w:rPr>
        <w:t> </w:t>
      </w:r>
      <w:r>
        <w:rPr>
          <w:b/>
          <w:bCs/>
        </w:rPr>
        <w:t>2</w:t>
      </w:r>
      <w:r w:rsidR="006F0762">
        <w:t> </w:t>
      </w:r>
      <w:r>
        <w:t>»</w:t>
      </w:r>
      <w:r w:rsidR="00BB01B2">
        <w:t>), laquelle limite l’obligation du Distributeur de desservir sa clientèle en vertu de l’article</w:t>
      </w:r>
      <w:r w:rsidR="009847D1">
        <w:t> </w:t>
      </w:r>
      <w:r w:rsidR="00BB01B2">
        <w:t xml:space="preserve">76 de la LRE; </w:t>
      </w:r>
    </w:p>
    <w:tbl>
      <w:tblPr>
        <w:tblW w:w="8958" w:type="dxa"/>
        <w:tblInd w:w="648" w:type="dxa"/>
        <w:tblLook w:val="00A0" w:firstRow="1" w:lastRow="0" w:firstColumn="1" w:lastColumn="0" w:noHBand="0" w:noVBand="0"/>
      </w:tblPr>
      <w:tblGrid>
        <w:gridCol w:w="7650"/>
        <w:gridCol w:w="1308"/>
      </w:tblGrid>
      <w:tr w:rsidR="00F05C88" w:rsidRPr="009243DB" w14:paraId="32627956" w14:textId="77777777" w:rsidTr="00DB6A1A">
        <w:tc>
          <w:tcPr>
            <w:tcW w:w="7650" w:type="dxa"/>
          </w:tcPr>
          <w:p w14:paraId="53E29144" w14:textId="77777777" w:rsidR="00F05C88" w:rsidRPr="009243DB" w:rsidRDefault="00F05C88" w:rsidP="00DB6A1A">
            <w:pPr>
              <w:keepNext/>
              <w:spacing w:before="120" w:after="120" w:line="240" w:lineRule="auto"/>
              <w:ind w:left="72" w:firstLine="0"/>
              <w:rPr>
                <w:rFonts w:ascii="Times New Roman" w:eastAsia="Times New Roman" w:hAnsi="Times New Roman" w:cs="Times New Roman"/>
                <w:color w:val="000000"/>
                <w:szCs w:val="24"/>
              </w:rPr>
            </w:pPr>
            <w:r w:rsidRPr="009243DB">
              <w:rPr>
                <w:i/>
                <w:iCs/>
              </w:rPr>
              <w:t>Loi visant notamment à plafonner le taux d’indexation des prix des tarifs domestiques de distribution d’Hydro-Québec et à accroître l’encadrement de l’obligation de distribuer de l’électricité</w:t>
            </w:r>
            <w:r>
              <w:t>, articles 8 et 10.</w:t>
            </w:r>
          </w:p>
        </w:tc>
        <w:tc>
          <w:tcPr>
            <w:tcW w:w="1308" w:type="dxa"/>
            <w:vAlign w:val="center"/>
          </w:tcPr>
          <w:p w14:paraId="35EBCE9F" w14:textId="6366D8EC" w:rsidR="00F05C88" w:rsidRPr="009243DB" w:rsidRDefault="00F05C88" w:rsidP="00DB6A1A">
            <w:pPr>
              <w:keepNext/>
              <w:spacing w:before="120" w:after="120" w:line="240" w:lineRule="auto"/>
              <w:ind w:left="0"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Onglet </w:t>
            </w:r>
            <w:r w:rsidR="00A87F7D">
              <w:rPr>
                <w:rFonts w:ascii="Times New Roman" w:eastAsia="Times New Roman" w:hAnsi="Times New Roman" w:cs="Times New Roman"/>
                <w:b/>
                <w:bCs/>
                <w:color w:val="000000"/>
              </w:rPr>
              <w:t>1</w:t>
            </w:r>
          </w:p>
        </w:tc>
      </w:tr>
    </w:tbl>
    <w:p w14:paraId="6708B7D6" w14:textId="4A309205" w:rsidR="00BB01B2" w:rsidRDefault="00BB01B2" w:rsidP="00F1699A">
      <w:pPr>
        <w:pStyle w:val="NumA1"/>
      </w:pPr>
      <w:r>
        <w:t xml:space="preserve">L’argumentation qui suit s’inscrit dans ce contexte; </w:t>
      </w:r>
    </w:p>
    <w:p w14:paraId="225C34AC" w14:textId="7F724630" w:rsidR="00623815" w:rsidRDefault="00063B7E" w:rsidP="007D7789">
      <w:pPr>
        <w:pStyle w:val="NumA2"/>
        <w:keepNext/>
      </w:pPr>
      <w:r>
        <w:t xml:space="preserve">Cadre factuel </w:t>
      </w:r>
    </w:p>
    <w:p w14:paraId="5DFB991F" w14:textId="66648D53" w:rsidR="007D7789" w:rsidRPr="007D7789" w:rsidRDefault="007D7789" w:rsidP="007D7789">
      <w:pPr>
        <w:pStyle w:val="NumA3"/>
      </w:pPr>
      <w:r>
        <w:t>Le dossier</w:t>
      </w:r>
      <w:r w:rsidR="009847D1">
        <w:t> </w:t>
      </w:r>
      <w:r>
        <w:t>R-4045-2018</w:t>
      </w:r>
    </w:p>
    <w:p w14:paraId="79B6DD14" w14:textId="0B211AF9" w:rsidR="00BB01B2" w:rsidRDefault="00657EFA" w:rsidP="00F1699A">
      <w:pPr>
        <w:pStyle w:val="NumA1"/>
      </w:pPr>
      <w:r>
        <w:t>D</w:t>
      </w:r>
      <w:r w:rsidR="00BB01B2">
        <w:t xml:space="preserve">ans le cadre de l’audience sur la Demande d’ordonnance de sauvegarde, le Distributeur indiquait que </w:t>
      </w:r>
      <w:r w:rsidR="00AB1E32">
        <w:t>le</w:t>
      </w:r>
      <w:r w:rsidR="00E6439E">
        <w:t xml:space="preserve"> réflexe naturel </w:t>
      </w:r>
      <w:r w:rsidR="00320EA2">
        <w:t xml:space="preserve">en s’attardant à sa demande </w:t>
      </w:r>
      <w:r w:rsidR="00BB01B2">
        <w:t>était de</w:t>
      </w:r>
      <w:r w:rsidR="00320EA2">
        <w:t xml:space="preserve"> procéder à l’analyse de </w:t>
      </w:r>
      <w:r w:rsidR="00CE6D5A">
        <w:t>l’historique du dossier</w:t>
      </w:r>
      <w:r w:rsidR="009847D1">
        <w:t> </w:t>
      </w:r>
      <w:r w:rsidR="00CE6D5A">
        <w:t>R-4045-2018</w:t>
      </w:r>
      <w:r>
        <w:t xml:space="preserve">. C’est ce que nous ferons; </w:t>
      </w:r>
    </w:p>
    <w:tbl>
      <w:tblPr>
        <w:tblW w:w="8958" w:type="dxa"/>
        <w:tblInd w:w="648" w:type="dxa"/>
        <w:tblLook w:val="00A0" w:firstRow="1" w:lastRow="0" w:firstColumn="1" w:lastColumn="0" w:noHBand="0" w:noVBand="0"/>
      </w:tblPr>
      <w:tblGrid>
        <w:gridCol w:w="7092"/>
        <w:gridCol w:w="1866"/>
      </w:tblGrid>
      <w:tr w:rsidR="00BB01B2" w:rsidRPr="00726152" w14:paraId="53B281A3" w14:textId="77777777" w:rsidTr="002D4AE4">
        <w:tc>
          <w:tcPr>
            <w:tcW w:w="7092" w:type="dxa"/>
          </w:tcPr>
          <w:p w14:paraId="774C3D00" w14:textId="1CBD8739" w:rsidR="00BB01B2" w:rsidRPr="00726152" w:rsidRDefault="00BB01B2" w:rsidP="00E85B60">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R-4210-2022, A-0010 à la page</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144,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 xml:space="preserve">19 à 25. </w:t>
            </w:r>
          </w:p>
        </w:tc>
        <w:tc>
          <w:tcPr>
            <w:tcW w:w="1866" w:type="dxa"/>
            <w:vAlign w:val="bottom"/>
          </w:tcPr>
          <w:p w14:paraId="42CD2934" w14:textId="1026DAB4" w:rsidR="00BB01B2" w:rsidRPr="00726152" w:rsidRDefault="00B14551" w:rsidP="00E85B60">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A-0010</w:t>
            </w:r>
          </w:p>
        </w:tc>
      </w:tr>
    </w:tbl>
    <w:p w14:paraId="1B610B2C" w14:textId="7CD05BD2" w:rsidR="00FA24BE" w:rsidRDefault="00C014B2" w:rsidP="00F1699A">
      <w:pPr>
        <w:pStyle w:val="NumA1"/>
      </w:pPr>
      <w:r>
        <w:lastRenderedPageBreak/>
        <w:t>Le dossier</w:t>
      </w:r>
      <w:r w:rsidR="009847D1">
        <w:t> </w:t>
      </w:r>
      <w:r>
        <w:t>R-4045-2018</w:t>
      </w:r>
      <w:r w:rsidR="007D1C4F" w:rsidRPr="00FA24BE">
        <w:t xml:space="preserve"> </w:t>
      </w:r>
      <w:r w:rsidR="0095452E" w:rsidRPr="00FA24BE">
        <w:t xml:space="preserve">a été introduit </w:t>
      </w:r>
      <w:r w:rsidR="00E43F02">
        <w:t xml:space="preserve">par le Distributeur </w:t>
      </w:r>
      <w:r w:rsidR="00FA24BE">
        <w:t>l</w:t>
      </w:r>
      <w:r w:rsidR="00FA24BE" w:rsidRPr="00FA24BE">
        <w:t>e 14</w:t>
      </w:r>
      <w:r w:rsidR="009847D1">
        <w:t> </w:t>
      </w:r>
      <w:r w:rsidR="00FA24BE" w:rsidRPr="00FA24BE">
        <w:t>juin</w:t>
      </w:r>
      <w:r w:rsidR="009847D1">
        <w:t> </w:t>
      </w:r>
      <w:r w:rsidR="00FA24BE" w:rsidRPr="00FA24BE">
        <w:t>2018,</w:t>
      </w:r>
      <w:r w:rsidR="00E43F02">
        <w:t xml:space="preserve"> suivant l’adoption d</w:t>
      </w:r>
      <w:r w:rsidR="00FA24BE" w:rsidRPr="00FA24BE">
        <w:t xml:space="preserve">’un </w:t>
      </w:r>
      <w:r w:rsidR="00BA0CF6">
        <w:t>d</w:t>
      </w:r>
      <w:r w:rsidR="00FA24BE" w:rsidRPr="00FA24BE">
        <w:t>écret du gouvernement soulignant «</w:t>
      </w:r>
      <w:r w:rsidR="006F0762">
        <w:t> </w:t>
      </w:r>
      <w:r w:rsidR="00FA24BE" w:rsidRPr="00FA24BE">
        <w:t>qu’Hydro-Québec fait face à une demande exceptionnelle et soudaine d’alimentation en électricité des consommateurs pour un usage cryptographique appliqué aux chaînes de blocs</w:t>
      </w:r>
      <w:r w:rsidR="006F0762">
        <w:t> </w:t>
      </w:r>
      <w:r w:rsidR="00FA24BE" w:rsidRPr="00FA24BE">
        <w:t>» et que «</w:t>
      </w:r>
      <w:r w:rsidR="006F0762">
        <w:t> </w:t>
      </w:r>
      <w:r w:rsidR="00FA24BE" w:rsidRPr="00FA24BE">
        <w:t xml:space="preserve">cette demande </w:t>
      </w:r>
      <w:r w:rsidR="000846BB">
        <w:t>est susceptible de compromettre le développement économique de secteurs d’importance au Québec, notamment l’aluminium […] »</w:t>
      </w:r>
      <w:r w:rsidR="00AE535F">
        <w:t>;</w:t>
      </w:r>
    </w:p>
    <w:tbl>
      <w:tblPr>
        <w:tblW w:w="8958" w:type="dxa"/>
        <w:tblInd w:w="648" w:type="dxa"/>
        <w:tblLook w:val="00A0" w:firstRow="1" w:lastRow="0" w:firstColumn="1" w:lastColumn="0" w:noHBand="0" w:noVBand="0"/>
      </w:tblPr>
      <w:tblGrid>
        <w:gridCol w:w="7092"/>
        <w:gridCol w:w="1866"/>
      </w:tblGrid>
      <w:tr w:rsidR="00AC46CD" w:rsidRPr="00726152" w14:paraId="12947214" w14:textId="77777777" w:rsidTr="002D4AE4">
        <w:tc>
          <w:tcPr>
            <w:tcW w:w="7092" w:type="dxa"/>
          </w:tcPr>
          <w:p w14:paraId="13CCB0D5" w14:textId="51539991" w:rsidR="00AC46CD" w:rsidRPr="00726152" w:rsidRDefault="00AC46CD" w:rsidP="00CF6517">
            <w:pPr>
              <w:spacing w:before="120" w:after="0" w:line="240" w:lineRule="auto"/>
              <w:ind w:left="72" w:firstLine="0"/>
              <w:rPr>
                <w:rFonts w:ascii="Times New Roman" w:eastAsia="Times New Roman" w:hAnsi="Times New Roman" w:cs="Times New Roman"/>
                <w:color w:val="000000"/>
                <w:szCs w:val="24"/>
              </w:rPr>
            </w:pPr>
            <w:r w:rsidRPr="00AC46CD">
              <w:rPr>
                <w:rFonts w:ascii="Times New Roman" w:eastAsia="Times New Roman" w:hAnsi="Times New Roman" w:cs="Times New Roman"/>
                <w:color w:val="000000"/>
                <w:szCs w:val="24"/>
              </w:rPr>
              <w:t>HQD-1, document</w:t>
            </w:r>
            <w:r w:rsidR="009847D1">
              <w:rPr>
                <w:rFonts w:ascii="Times New Roman" w:eastAsia="Times New Roman" w:hAnsi="Times New Roman" w:cs="Times New Roman"/>
                <w:color w:val="000000"/>
                <w:szCs w:val="24"/>
              </w:rPr>
              <w:t> </w:t>
            </w:r>
            <w:r w:rsidRPr="00AC46CD">
              <w:rPr>
                <w:rFonts w:ascii="Times New Roman" w:eastAsia="Times New Roman" w:hAnsi="Times New Roman" w:cs="Times New Roman"/>
                <w:color w:val="000000"/>
                <w:szCs w:val="24"/>
              </w:rPr>
              <w:t>1 (B-0004), R-4045-2018, Décret No 646-2018 du 30</w:t>
            </w:r>
            <w:r w:rsidR="009847D1">
              <w:rPr>
                <w:rFonts w:ascii="Times New Roman" w:eastAsia="Times New Roman" w:hAnsi="Times New Roman" w:cs="Times New Roman"/>
                <w:color w:val="000000"/>
                <w:szCs w:val="24"/>
              </w:rPr>
              <w:t> </w:t>
            </w:r>
            <w:r w:rsidRPr="00AC46CD">
              <w:rPr>
                <w:rFonts w:ascii="Times New Roman" w:eastAsia="Times New Roman" w:hAnsi="Times New Roman" w:cs="Times New Roman"/>
                <w:color w:val="000000"/>
                <w:szCs w:val="24"/>
              </w:rPr>
              <w:t>mai</w:t>
            </w:r>
            <w:r w:rsidR="009847D1">
              <w:rPr>
                <w:rFonts w:ascii="Times New Roman" w:eastAsia="Times New Roman" w:hAnsi="Times New Roman" w:cs="Times New Roman"/>
                <w:color w:val="000000"/>
                <w:szCs w:val="24"/>
              </w:rPr>
              <w:t> </w:t>
            </w:r>
            <w:r w:rsidRPr="00AC46CD">
              <w:rPr>
                <w:rFonts w:ascii="Times New Roman" w:eastAsia="Times New Roman" w:hAnsi="Times New Roman" w:cs="Times New Roman"/>
                <w:color w:val="000000"/>
                <w:szCs w:val="24"/>
              </w:rPr>
              <w:t>2018 et Arrêté ministériel No AM 2018-004 du 31</w:t>
            </w:r>
            <w:r w:rsidR="009847D1">
              <w:rPr>
                <w:rFonts w:ascii="Times New Roman" w:eastAsia="Times New Roman" w:hAnsi="Times New Roman" w:cs="Times New Roman"/>
                <w:color w:val="000000"/>
                <w:szCs w:val="24"/>
              </w:rPr>
              <w:t> </w:t>
            </w:r>
            <w:r w:rsidRPr="00AC46CD">
              <w:rPr>
                <w:rFonts w:ascii="Times New Roman" w:eastAsia="Times New Roman" w:hAnsi="Times New Roman" w:cs="Times New Roman"/>
                <w:color w:val="000000"/>
                <w:szCs w:val="24"/>
              </w:rPr>
              <w:t>mai</w:t>
            </w:r>
            <w:r w:rsidR="009847D1">
              <w:rPr>
                <w:rFonts w:ascii="Times New Roman" w:eastAsia="Times New Roman" w:hAnsi="Times New Roman" w:cs="Times New Roman"/>
                <w:color w:val="000000"/>
                <w:szCs w:val="24"/>
              </w:rPr>
              <w:t> </w:t>
            </w:r>
            <w:r w:rsidRPr="00AC46CD">
              <w:rPr>
                <w:rFonts w:ascii="Times New Roman" w:eastAsia="Times New Roman" w:hAnsi="Times New Roman" w:cs="Times New Roman"/>
                <w:color w:val="000000"/>
                <w:szCs w:val="24"/>
              </w:rPr>
              <w:t>2018</w:t>
            </w:r>
            <w:r w:rsidR="00452559">
              <w:rPr>
                <w:rFonts w:ascii="Times New Roman" w:eastAsia="Times New Roman" w:hAnsi="Times New Roman" w:cs="Times New Roman"/>
                <w:color w:val="000000"/>
                <w:szCs w:val="24"/>
              </w:rPr>
              <w:t xml:space="preserve">; </w:t>
            </w:r>
          </w:p>
        </w:tc>
        <w:tc>
          <w:tcPr>
            <w:tcW w:w="1866" w:type="dxa"/>
            <w:vAlign w:val="bottom"/>
          </w:tcPr>
          <w:p w14:paraId="2EA888CA" w14:textId="138BD564" w:rsidR="002D4AE4" w:rsidRPr="00726152" w:rsidRDefault="002D4AE4" w:rsidP="00CF6517">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C-HIVE-0017</w:t>
            </w:r>
          </w:p>
        </w:tc>
      </w:tr>
      <w:tr w:rsidR="00452559" w:rsidRPr="00726152" w14:paraId="3ED7D61C" w14:textId="77777777" w:rsidTr="002D4AE4">
        <w:tc>
          <w:tcPr>
            <w:tcW w:w="7092" w:type="dxa"/>
          </w:tcPr>
          <w:p w14:paraId="08D3060A" w14:textId="2BAD2230" w:rsidR="00452559" w:rsidRPr="00AC46CD" w:rsidRDefault="00452559" w:rsidP="00452559">
            <w:pPr>
              <w:spacing w:before="120" w:after="0" w:line="240" w:lineRule="auto"/>
              <w:ind w:left="72" w:firstLine="0"/>
              <w:rPr>
                <w:rFonts w:ascii="Times New Roman" w:eastAsia="Times New Roman" w:hAnsi="Times New Roman" w:cs="Times New Roman"/>
                <w:color w:val="000000"/>
                <w:szCs w:val="24"/>
              </w:rPr>
            </w:pPr>
            <w:r w:rsidRPr="00AC46CD">
              <w:rPr>
                <w:rFonts w:ascii="Times New Roman" w:eastAsia="Times New Roman" w:hAnsi="Times New Roman" w:cs="Times New Roman"/>
                <w:color w:val="000000"/>
                <w:szCs w:val="24"/>
              </w:rPr>
              <w:t>B-00</w:t>
            </w:r>
            <w:r>
              <w:rPr>
                <w:rFonts w:ascii="Times New Roman" w:eastAsia="Times New Roman" w:hAnsi="Times New Roman" w:cs="Times New Roman"/>
                <w:color w:val="000000"/>
                <w:szCs w:val="24"/>
              </w:rPr>
              <w:t>01, R-4045-2018</w:t>
            </w:r>
          </w:p>
        </w:tc>
        <w:tc>
          <w:tcPr>
            <w:tcW w:w="1866" w:type="dxa"/>
            <w:vAlign w:val="bottom"/>
          </w:tcPr>
          <w:p w14:paraId="229B6754" w14:textId="3FA6CD83" w:rsidR="00452559" w:rsidRPr="00726152" w:rsidRDefault="002D4AE4" w:rsidP="002D4AE4">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C-HIVE-0018</w:t>
            </w:r>
          </w:p>
        </w:tc>
      </w:tr>
    </w:tbl>
    <w:p w14:paraId="6766E377" w14:textId="4A8D9504" w:rsidR="00796F9E" w:rsidRPr="00796F9E" w:rsidRDefault="00AC46CD" w:rsidP="00F1699A">
      <w:pPr>
        <w:pStyle w:val="NumA1"/>
      </w:pPr>
      <w:r>
        <w:t>Cette hausse soud</w:t>
      </w:r>
      <w:r w:rsidR="00D14059">
        <w:t xml:space="preserve">aine </w:t>
      </w:r>
      <w:r w:rsidR="00452559">
        <w:t>de</w:t>
      </w:r>
      <w:r w:rsidR="00D14059">
        <w:t xml:space="preserve"> demande d’alimentation </w:t>
      </w:r>
      <w:r w:rsidR="00663CC6">
        <w:t>s’ins</w:t>
      </w:r>
      <w:r w:rsidR="000D55E3">
        <w:t xml:space="preserve">crivait </w:t>
      </w:r>
      <w:r w:rsidR="00C67A9C">
        <w:t>d</w:t>
      </w:r>
      <w:r w:rsidR="00796F9E" w:rsidRPr="00796F9E">
        <w:t>ans un contexte particulier</w:t>
      </w:r>
      <w:r w:rsidR="00C67A9C">
        <w:t xml:space="preserve"> où le Distributeur avait, </w:t>
      </w:r>
      <w:r w:rsidR="00796F9E" w:rsidRPr="00796F9E">
        <w:t>de 2017 à 2018, fait la promotion du Québec comme étant un lieu propice à l’implantation de centres de données utilisant la technologie chaîne de blocs</w:t>
      </w:r>
      <w:r w:rsidR="00F40825">
        <w:t>;</w:t>
      </w:r>
    </w:p>
    <w:p w14:paraId="06042CEA" w14:textId="156153FC" w:rsidR="00796F9E" w:rsidRPr="00796F9E" w:rsidRDefault="00796F9E" w:rsidP="002D7ECE">
      <w:pPr>
        <w:pStyle w:val="QuoteCitation"/>
      </w:pPr>
      <w:r w:rsidRPr="00796F9E">
        <w:t xml:space="preserve">Q. [330] D’accord. Maintenant, parlons un peu de la période antérieure à la décision de la Régie du treize (13) juillet deux mille dix-huit (2018). Est-ce que j’ai raison de dire qu’en deux mille dix-sept (2017) et même jusqu’au début deux mille dix-huit (2018), Hydro-Québec a fait la promotion du quelque chose comme étant propice à l’implantation de centres de données qui utilisent la technologie blockchain? </w:t>
      </w:r>
    </w:p>
    <w:p w14:paraId="693BB099" w14:textId="0A8D400E" w:rsidR="00796F9E" w:rsidRPr="00796F9E" w:rsidRDefault="00796F9E" w:rsidP="002D7ECE">
      <w:pPr>
        <w:pStyle w:val="QuoteCitation"/>
      </w:pPr>
      <w:r w:rsidRPr="00796F9E">
        <w:t>M.</w:t>
      </w:r>
      <w:r w:rsidR="009847D1">
        <w:t> </w:t>
      </w:r>
      <w:r w:rsidRPr="00796F9E">
        <w:t>DAVID</w:t>
      </w:r>
      <w:r w:rsidR="009847D1">
        <w:t> </w:t>
      </w:r>
      <w:r w:rsidRPr="00796F9E">
        <w:t>VINCENT</w:t>
      </w:r>
      <w:r w:rsidR="009847D1">
        <w:t> </w:t>
      </w:r>
      <w:r w:rsidRPr="00796F9E">
        <w:t xml:space="preserve">: En fait, on a fait la promotion du Québec comme étant une juridiction propice aux centres de données. </w:t>
      </w:r>
    </w:p>
    <w:p w14:paraId="31F2C223" w14:textId="77777777" w:rsidR="00796F9E" w:rsidRPr="00796F9E" w:rsidRDefault="00796F9E" w:rsidP="002D7ECE">
      <w:pPr>
        <w:pStyle w:val="QuoteCitation"/>
      </w:pPr>
      <w:r w:rsidRPr="00796F9E">
        <w:t xml:space="preserve">Q. [331] Et ça incluait également le blockchain et vous avez même mentionné le blockchain dans certaines présentations. </w:t>
      </w:r>
    </w:p>
    <w:p w14:paraId="490E896A" w14:textId="77777777" w:rsidR="00796F9E" w:rsidRPr="00796F9E" w:rsidRDefault="00796F9E" w:rsidP="002D7ECE">
      <w:pPr>
        <w:pStyle w:val="QuoteCitation"/>
      </w:pPr>
      <w:r w:rsidRPr="00796F9E">
        <w:t>R. Dans certaines présentations, on a mentionné le blockchain effectivement, oui.</w:t>
      </w:r>
    </w:p>
    <w:tbl>
      <w:tblPr>
        <w:tblW w:w="8958" w:type="dxa"/>
        <w:tblInd w:w="648" w:type="dxa"/>
        <w:tblLook w:val="00A0" w:firstRow="1" w:lastRow="0" w:firstColumn="1" w:lastColumn="0" w:noHBand="0" w:noVBand="0"/>
      </w:tblPr>
      <w:tblGrid>
        <w:gridCol w:w="7002"/>
        <w:gridCol w:w="1956"/>
      </w:tblGrid>
      <w:tr w:rsidR="00C5472D" w:rsidRPr="00726152" w14:paraId="3E68A09D" w14:textId="77777777" w:rsidTr="009847D1">
        <w:tc>
          <w:tcPr>
            <w:tcW w:w="7002" w:type="dxa"/>
            <w:vAlign w:val="center"/>
          </w:tcPr>
          <w:p w14:paraId="5DB665EC" w14:textId="545166D4" w:rsidR="00C5472D" w:rsidRPr="00726152" w:rsidRDefault="00652B3B" w:rsidP="009847D1">
            <w:pPr>
              <w:spacing w:before="120" w:after="0" w:line="240" w:lineRule="auto"/>
              <w:ind w:left="72" w:firstLine="0"/>
              <w:jc w:val="left"/>
              <w:rPr>
                <w:rFonts w:ascii="Times New Roman" w:eastAsia="Times New Roman" w:hAnsi="Times New Roman" w:cs="Times New Roman"/>
                <w:color w:val="000000"/>
                <w:szCs w:val="24"/>
              </w:rPr>
            </w:pPr>
            <w:r w:rsidRPr="00652B3B">
              <w:rPr>
                <w:rFonts w:ascii="Times New Roman" w:eastAsia="Times New Roman" w:hAnsi="Times New Roman" w:cs="Times New Roman"/>
                <w:color w:val="000000"/>
                <w:szCs w:val="24"/>
              </w:rPr>
              <w:t>Témoignage de David Vincent, A-0064, Notes sténographiques de l’audience du 30</w:t>
            </w:r>
            <w:r w:rsidR="009847D1">
              <w:rPr>
                <w:rFonts w:ascii="Times New Roman" w:eastAsia="Times New Roman" w:hAnsi="Times New Roman" w:cs="Times New Roman"/>
                <w:color w:val="000000"/>
                <w:szCs w:val="24"/>
              </w:rPr>
              <w:t> </w:t>
            </w:r>
            <w:r w:rsidRPr="00652B3B">
              <w:rPr>
                <w:rFonts w:ascii="Times New Roman" w:eastAsia="Times New Roman" w:hAnsi="Times New Roman" w:cs="Times New Roman"/>
                <w:color w:val="000000"/>
                <w:szCs w:val="24"/>
              </w:rPr>
              <w:t>octobre</w:t>
            </w:r>
            <w:r w:rsidR="009847D1">
              <w:rPr>
                <w:rFonts w:ascii="Times New Roman" w:eastAsia="Times New Roman" w:hAnsi="Times New Roman" w:cs="Times New Roman"/>
                <w:color w:val="000000"/>
                <w:szCs w:val="24"/>
              </w:rPr>
              <w:t> </w:t>
            </w:r>
            <w:r w:rsidRPr="00652B3B">
              <w:rPr>
                <w:rFonts w:ascii="Times New Roman" w:eastAsia="Times New Roman" w:hAnsi="Times New Roman" w:cs="Times New Roman"/>
                <w:color w:val="000000"/>
                <w:szCs w:val="24"/>
              </w:rPr>
              <w:t>2018, volume</w:t>
            </w:r>
            <w:r w:rsidR="009847D1">
              <w:rPr>
                <w:rFonts w:ascii="Times New Roman" w:eastAsia="Times New Roman" w:hAnsi="Times New Roman" w:cs="Times New Roman"/>
                <w:color w:val="000000"/>
                <w:szCs w:val="24"/>
              </w:rPr>
              <w:t> </w:t>
            </w:r>
            <w:r w:rsidRPr="00652B3B">
              <w:rPr>
                <w:rFonts w:ascii="Times New Roman" w:eastAsia="Times New Roman" w:hAnsi="Times New Roman" w:cs="Times New Roman"/>
                <w:color w:val="000000"/>
                <w:szCs w:val="24"/>
              </w:rPr>
              <w:t>5, à la p</w:t>
            </w:r>
            <w:r w:rsidR="008F3913">
              <w:rPr>
                <w:rFonts w:ascii="Times New Roman" w:eastAsia="Times New Roman" w:hAnsi="Times New Roman" w:cs="Times New Roman"/>
                <w:color w:val="000000"/>
                <w:szCs w:val="24"/>
              </w:rPr>
              <w:t>.</w:t>
            </w:r>
            <w:r w:rsidR="009847D1">
              <w:rPr>
                <w:rFonts w:ascii="Times New Roman" w:eastAsia="Times New Roman" w:hAnsi="Times New Roman" w:cs="Times New Roman"/>
                <w:color w:val="000000"/>
                <w:szCs w:val="24"/>
              </w:rPr>
              <w:t> </w:t>
            </w:r>
            <w:r w:rsidRPr="00652B3B">
              <w:rPr>
                <w:rFonts w:ascii="Times New Roman" w:eastAsia="Times New Roman" w:hAnsi="Times New Roman" w:cs="Times New Roman"/>
                <w:color w:val="000000"/>
                <w:szCs w:val="24"/>
              </w:rPr>
              <w:t>228</w:t>
            </w:r>
            <w:r w:rsidR="00C5472D">
              <w:rPr>
                <w:rFonts w:ascii="Times New Roman" w:eastAsia="Times New Roman" w:hAnsi="Times New Roman" w:cs="Times New Roman"/>
                <w:color w:val="000000"/>
                <w:szCs w:val="24"/>
              </w:rPr>
              <w:t xml:space="preserve"> (</w:t>
            </w:r>
            <w:r w:rsidR="00C5472D" w:rsidRPr="00E70706">
              <w:rPr>
                <w:rFonts w:ascii="Times New Roman" w:eastAsia="Times New Roman" w:hAnsi="Times New Roman" w:cs="Times New Roman"/>
                <w:color w:val="000000"/>
                <w:szCs w:val="24"/>
              </w:rPr>
              <w:t>R-</w:t>
            </w:r>
            <w:r w:rsidR="00C5472D">
              <w:rPr>
                <w:rFonts w:ascii="Times New Roman" w:eastAsia="Times New Roman" w:hAnsi="Times New Roman" w:cs="Times New Roman"/>
                <w:color w:val="000000"/>
                <w:szCs w:val="24"/>
              </w:rPr>
              <w:t>4045-2018)</w:t>
            </w:r>
          </w:p>
        </w:tc>
        <w:tc>
          <w:tcPr>
            <w:tcW w:w="1956" w:type="dxa"/>
            <w:vAlign w:val="center"/>
          </w:tcPr>
          <w:p w14:paraId="3970FB62" w14:textId="065DDBDB" w:rsidR="00C5472D" w:rsidRPr="00726152" w:rsidRDefault="002D4AE4" w:rsidP="009847D1">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C-HIVE-0019</w:t>
            </w:r>
          </w:p>
        </w:tc>
      </w:tr>
    </w:tbl>
    <w:p w14:paraId="1EA4B165" w14:textId="28273B4C" w:rsidR="00D71C57" w:rsidRPr="00D71C57" w:rsidRDefault="00487589" w:rsidP="00F1699A">
      <w:pPr>
        <w:pStyle w:val="NumA1"/>
      </w:pPr>
      <w:r>
        <w:t xml:space="preserve">Au terme </w:t>
      </w:r>
      <w:r w:rsidR="0085768E">
        <w:t>de la Phase</w:t>
      </w:r>
      <w:r w:rsidR="009847D1">
        <w:t> </w:t>
      </w:r>
      <w:r w:rsidR="0085768E">
        <w:t xml:space="preserve">1 du </w:t>
      </w:r>
      <w:r>
        <w:t>dossier</w:t>
      </w:r>
      <w:r w:rsidR="009847D1">
        <w:t> </w:t>
      </w:r>
      <w:r>
        <w:t>R-4045-2018, d</w:t>
      </w:r>
      <w:r w:rsidR="00D71C57" w:rsidRPr="00D71C57">
        <w:t xml:space="preserve">ans sa décision D-2019-052, la Régie </w:t>
      </w:r>
      <w:r>
        <w:t xml:space="preserve">a </w:t>
      </w:r>
      <w:r w:rsidR="00D71C57" w:rsidRPr="00D71C57">
        <w:t>autoris</w:t>
      </w:r>
      <w:r>
        <w:t>é</w:t>
      </w:r>
      <w:r w:rsidR="00D71C57" w:rsidRPr="00D71C57">
        <w:t xml:space="preserve"> la création du Bloc réservé et son attribution par le lancement d’un appel de propositions </w:t>
      </w:r>
      <w:r w:rsidR="007D7789">
        <w:t>A/P</w:t>
      </w:r>
      <w:r w:rsidR="009847D1">
        <w:t> </w:t>
      </w:r>
      <w:r w:rsidR="007D7789">
        <w:t>2019-01 (l’«</w:t>
      </w:r>
      <w:r w:rsidR="006F0762">
        <w:t> </w:t>
      </w:r>
      <w:r w:rsidR="007D7789">
        <w:rPr>
          <w:b/>
          <w:bCs/>
        </w:rPr>
        <w:t>Appel de proposition</w:t>
      </w:r>
      <w:r w:rsidR="006F0762">
        <w:t> </w:t>
      </w:r>
      <w:r w:rsidR="007D7789">
        <w:t>»)</w:t>
      </w:r>
      <w:r w:rsidR="007D7789" w:rsidRPr="00D71C57">
        <w:t xml:space="preserve"> </w:t>
      </w:r>
      <w:r w:rsidR="00D71C57" w:rsidRPr="00D71C57">
        <w:t>aux consommateurs utilisant l’électricité à des fins d’usage cryptographiques appliqué aux chaînes de blocs;</w:t>
      </w:r>
    </w:p>
    <w:p w14:paraId="2F362B69" w14:textId="0943BC5A" w:rsidR="00D71C57" w:rsidRPr="00D71C57" w:rsidRDefault="00452DBC" w:rsidP="00F1699A">
      <w:pPr>
        <w:pStyle w:val="NumA1"/>
      </w:pPr>
      <w:r>
        <w:t>Encore à la Phase</w:t>
      </w:r>
      <w:r w:rsidR="009847D1">
        <w:t> </w:t>
      </w:r>
      <w:r>
        <w:t>1, d</w:t>
      </w:r>
      <w:r w:rsidR="00D71C57" w:rsidRPr="00D71C57">
        <w:t xml:space="preserve">ans sa décision D-2021-007, la Régie </w:t>
      </w:r>
      <w:r w:rsidR="00C765F1">
        <w:t>a pris a</w:t>
      </w:r>
      <w:r w:rsidR="00D71C57" w:rsidRPr="00D71C57">
        <w:t xml:space="preserve">cte des résultats </w:t>
      </w:r>
      <w:r w:rsidR="007D7789">
        <w:t xml:space="preserve">de l’Appel de proposition </w:t>
      </w:r>
      <w:r w:rsidR="00D71C57" w:rsidRPr="00D71C57">
        <w:t>ayant donné lieu à la signature d’entente</w:t>
      </w:r>
      <w:r w:rsidR="007D7789">
        <w:t>s</w:t>
      </w:r>
      <w:r w:rsidR="00D71C57" w:rsidRPr="00D71C57">
        <w:t xml:space="preserve"> d’avant-projet totalisant 32,6 MW</w:t>
      </w:r>
      <w:r w:rsidR="007D7789">
        <w:t xml:space="preserve"> </w:t>
      </w:r>
      <w:r w:rsidR="00D71C57" w:rsidRPr="00D71C57">
        <w:t>et demande au Distributeur, dans le cadre de la Phase 3 du dossier R-4045-2018, de proposer la manière dont le Solde du Bloc réservé devra être alloué;</w:t>
      </w:r>
    </w:p>
    <w:p w14:paraId="4C2C2C11" w14:textId="10F03227" w:rsidR="00D71C57" w:rsidRPr="00D71C57" w:rsidRDefault="004A5C28" w:rsidP="00F1699A">
      <w:pPr>
        <w:pStyle w:val="NumA1"/>
      </w:pPr>
      <w:r>
        <w:t>Au terme de la Phase</w:t>
      </w:r>
      <w:r w:rsidR="009847D1">
        <w:t> </w:t>
      </w:r>
      <w:r>
        <w:t>3, p</w:t>
      </w:r>
      <w:r w:rsidR="00D71C57" w:rsidRPr="00D71C57">
        <w:t>ar sa décision D-2021-148, la Régie entérine le processus d’attribution du Solde du Bloc réservé proposé par le Distributeur</w:t>
      </w:r>
      <w:r w:rsidR="009847D1">
        <w:t> </w:t>
      </w:r>
      <w:r w:rsidR="00B14551">
        <w:t>:</w:t>
      </w:r>
      <w:r w:rsidR="007D7789">
        <w:t xml:space="preserve"> le Guichet unique</w:t>
      </w:r>
      <w:r w:rsidR="00D71C57" w:rsidRPr="00D71C57">
        <w:t>;</w:t>
      </w:r>
    </w:p>
    <w:p w14:paraId="78F0F9BE" w14:textId="0155D07E" w:rsidR="00D71C57" w:rsidRDefault="0025016C" w:rsidP="00F1699A">
      <w:pPr>
        <w:pStyle w:val="NumA1"/>
      </w:pPr>
      <w:r>
        <w:lastRenderedPageBreak/>
        <w:t>En suivi de la décision</w:t>
      </w:r>
      <w:r w:rsidR="009847D1">
        <w:t> </w:t>
      </w:r>
      <w:r>
        <w:t xml:space="preserve">2021-148, </w:t>
      </w:r>
      <w:r w:rsidR="00D71C57" w:rsidRPr="00D71C57">
        <w:t xml:space="preserve">le Distributeur dépose </w:t>
      </w:r>
      <w:r w:rsidR="00214612">
        <w:t>le 26</w:t>
      </w:r>
      <w:r w:rsidR="009847D1">
        <w:t> </w:t>
      </w:r>
      <w:r w:rsidR="00214612">
        <w:t>novembre</w:t>
      </w:r>
      <w:r w:rsidR="009847D1">
        <w:t> </w:t>
      </w:r>
      <w:r w:rsidR="00214612">
        <w:t xml:space="preserve">2021 </w:t>
      </w:r>
      <w:r w:rsidR="00D71C57" w:rsidRPr="00D71C57">
        <w:t xml:space="preserve">le texte modifié du Tarif CB et </w:t>
      </w:r>
      <w:r w:rsidR="007D7789">
        <w:t>CSUCB</w:t>
      </w:r>
      <w:r w:rsidR="00D71C57" w:rsidRPr="00D71C57">
        <w:t>, tel que requis par la Régie à la décision précitée;</w:t>
      </w:r>
    </w:p>
    <w:tbl>
      <w:tblPr>
        <w:tblW w:w="8958" w:type="dxa"/>
        <w:tblInd w:w="648" w:type="dxa"/>
        <w:tblLook w:val="00A0" w:firstRow="1" w:lastRow="0" w:firstColumn="1" w:lastColumn="0" w:noHBand="0" w:noVBand="0"/>
      </w:tblPr>
      <w:tblGrid>
        <w:gridCol w:w="7092"/>
        <w:gridCol w:w="1866"/>
      </w:tblGrid>
      <w:tr w:rsidR="000170AE" w:rsidRPr="00726152" w14:paraId="7DFD3625" w14:textId="77777777" w:rsidTr="002D4AE4">
        <w:tc>
          <w:tcPr>
            <w:tcW w:w="7092" w:type="dxa"/>
          </w:tcPr>
          <w:p w14:paraId="2C98BD3D" w14:textId="40F56946" w:rsidR="000170AE" w:rsidRPr="00726152" w:rsidRDefault="00E15A31" w:rsidP="00CF6517">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B-0333 et B-0335</w:t>
            </w:r>
            <w:r w:rsidR="000170AE">
              <w:rPr>
                <w:rFonts w:ascii="Times New Roman" w:eastAsia="Times New Roman" w:hAnsi="Times New Roman" w:cs="Times New Roman"/>
                <w:color w:val="000000"/>
                <w:szCs w:val="24"/>
              </w:rPr>
              <w:t xml:space="preserve"> (</w:t>
            </w:r>
            <w:r w:rsidR="000170AE" w:rsidRPr="00E70706">
              <w:rPr>
                <w:rFonts w:ascii="Times New Roman" w:eastAsia="Times New Roman" w:hAnsi="Times New Roman" w:cs="Times New Roman"/>
                <w:color w:val="000000"/>
                <w:szCs w:val="24"/>
              </w:rPr>
              <w:t>R-</w:t>
            </w:r>
            <w:r w:rsidR="000170AE">
              <w:rPr>
                <w:rFonts w:ascii="Times New Roman" w:eastAsia="Times New Roman" w:hAnsi="Times New Roman" w:cs="Times New Roman"/>
                <w:color w:val="000000"/>
                <w:szCs w:val="24"/>
              </w:rPr>
              <w:t>4045-2018</w:t>
            </w:r>
            <w:r w:rsidR="00F74DA3">
              <w:rPr>
                <w:rFonts w:ascii="Times New Roman" w:eastAsia="Times New Roman" w:hAnsi="Times New Roman" w:cs="Times New Roman"/>
                <w:color w:val="000000"/>
                <w:szCs w:val="24"/>
              </w:rPr>
              <w:t>, phase 3</w:t>
            </w:r>
            <w:r w:rsidR="000170AE">
              <w:rPr>
                <w:rFonts w:ascii="Times New Roman" w:eastAsia="Times New Roman" w:hAnsi="Times New Roman" w:cs="Times New Roman"/>
                <w:color w:val="000000"/>
                <w:szCs w:val="24"/>
              </w:rPr>
              <w:t>)</w:t>
            </w:r>
            <w:r w:rsidR="00F74DA3">
              <w:rPr>
                <w:rFonts w:ascii="Times New Roman" w:eastAsia="Times New Roman" w:hAnsi="Times New Roman" w:cs="Times New Roman"/>
                <w:color w:val="000000"/>
                <w:szCs w:val="24"/>
              </w:rPr>
              <w:t xml:space="preserve">. </w:t>
            </w:r>
          </w:p>
        </w:tc>
        <w:tc>
          <w:tcPr>
            <w:tcW w:w="1866" w:type="dxa"/>
            <w:vAlign w:val="bottom"/>
          </w:tcPr>
          <w:p w14:paraId="58DA09BB" w14:textId="77777777" w:rsidR="000170AE" w:rsidRDefault="002D4AE4" w:rsidP="002D4AE4">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C-HIVE-0024</w:t>
            </w:r>
          </w:p>
          <w:p w14:paraId="7AA0983C" w14:textId="42A71220" w:rsidR="002D4AE4" w:rsidRPr="00726152" w:rsidRDefault="002D4AE4" w:rsidP="002D4AE4">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C-HIVE-0025</w:t>
            </w:r>
          </w:p>
        </w:tc>
      </w:tr>
    </w:tbl>
    <w:p w14:paraId="4FA9DC64" w14:textId="77777777" w:rsidR="00D71C57" w:rsidRPr="00D71C57" w:rsidRDefault="00D71C57" w:rsidP="00F1699A">
      <w:pPr>
        <w:pStyle w:val="NumA1"/>
      </w:pPr>
      <w:r w:rsidRPr="00D71C57">
        <w:t>Le 9 décembre 2021, par sa décision D-2021-160, la Régie approuve les modifications au Tarif CB et aux CSUCB et fixe au 9 décembre 2021 leur entrée en vigueur;</w:t>
      </w:r>
    </w:p>
    <w:p w14:paraId="459ABC56" w14:textId="3C21B518" w:rsidR="00D71C57" w:rsidRPr="00D71C57" w:rsidRDefault="00B14551" w:rsidP="00F1699A">
      <w:pPr>
        <w:pStyle w:val="NumA1"/>
      </w:pPr>
      <w:r>
        <w:t>Entre autres</w:t>
      </w:r>
      <w:r w:rsidR="00657EFA">
        <w:t>, l</w:t>
      </w:r>
      <w:r w:rsidR="00D71C57" w:rsidRPr="00D71C57">
        <w:t xml:space="preserve">’article 1.3 des CSUCB prévoit les modalités pour déposer </w:t>
      </w:r>
      <w:r w:rsidR="00657EFA">
        <w:t>des demandes d’abonnement aupr</w:t>
      </w:r>
      <w:r w:rsidR="00D71C57" w:rsidRPr="00D71C57">
        <w:t xml:space="preserve">ès du Distributeur, </w:t>
      </w:r>
      <w:r w:rsidR="00657EFA">
        <w:t>soit u</w:t>
      </w:r>
      <w:r w:rsidR="00D71C57" w:rsidRPr="00D71C57">
        <w:t xml:space="preserve">n système </w:t>
      </w:r>
      <w:r w:rsidR="00D71C57" w:rsidRPr="00B14551">
        <w:t>selon</w:t>
      </w:r>
      <w:r w:rsidR="00D71C57" w:rsidRPr="00D71C57">
        <w:t xml:space="preserve"> lequel une seule demande par projet peut être déposée auprès du Distributeur et dont l’attribution est établie selon la politique du « premier arrivé, premier servi »;</w:t>
      </w:r>
    </w:p>
    <w:p w14:paraId="31016B5F" w14:textId="5DA71B23" w:rsidR="007D7789" w:rsidRDefault="007D7789" w:rsidP="007D7789">
      <w:pPr>
        <w:pStyle w:val="NumA3"/>
      </w:pPr>
      <w:r>
        <w:t xml:space="preserve">L’attente de la mise en ligne du Guichet unique </w:t>
      </w:r>
    </w:p>
    <w:p w14:paraId="6CE69A9E" w14:textId="5C2FCE12" w:rsidR="00D71C57" w:rsidRDefault="00F83716" w:rsidP="00F1699A">
      <w:pPr>
        <w:pStyle w:val="NumA1"/>
      </w:pPr>
      <w:r>
        <w:t>D</w:t>
      </w:r>
      <w:r w:rsidR="00D71C57" w:rsidRPr="00D71C57">
        <w:t xml:space="preserve">ans le cadre de sa décision D-2021-160, la Régie exigeait du Distributeur qu’il l’informe de la date de lancement du </w:t>
      </w:r>
      <w:r w:rsidR="007D7789">
        <w:t>G</w:t>
      </w:r>
      <w:r w:rsidR="00D71C57" w:rsidRPr="00D71C57">
        <w:t>uichet unique, de manière administrative;</w:t>
      </w:r>
    </w:p>
    <w:tbl>
      <w:tblPr>
        <w:tblW w:w="8958" w:type="dxa"/>
        <w:tblInd w:w="648" w:type="dxa"/>
        <w:tblLook w:val="00A0" w:firstRow="1" w:lastRow="0" w:firstColumn="1" w:lastColumn="0" w:noHBand="0" w:noVBand="0"/>
      </w:tblPr>
      <w:tblGrid>
        <w:gridCol w:w="7272"/>
        <w:gridCol w:w="1686"/>
      </w:tblGrid>
      <w:tr w:rsidR="00B44F18" w:rsidRPr="00726152" w14:paraId="64E92FE5" w14:textId="77777777" w:rsidTr="002D4AE4">
        <w:tc>
          <w:tcPr>
            <w:tcW w:w="7272" w:type="dxa"/>
          </w:tcPr>
          <w:p w14:paraId="528A7C42" w14:textId="089715F4" w:rsidR="00B44F18" w:rsidRPr="00726152" w:rsidRDefault="00BC1554" w:rsidP="00CF6517">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D-2021-160 (R-4045-2018) au </w:t>
            </w:r>
            <w:r w:rsidR="008F3913">
              <w:rPr>
                <w:rFonts w:ascii="Times New Roman" w:eastAsia="Times New Roman" w:hAnsi="Times New Roman" w:cs="Times New Roman"/>
                <w:color w:val="000000"/>
                <w:szCs w:val="24"/>
              </w:rPr>
              <w:t xml:space="preserve">para. </w:t>
            </w:r>
            <w:r>
              <w:rPr>
                <w:rFonts w:ascii="Times New Roman" w:eastAsia="Times New Roman" w:hAnsi="Times New Roman" w:cs="Times New Roman"/>
                <w:color w:val="000000"/>
                <w:szCs w:val="24"/>
              </w:rPr>
              <w:t xml:space="preserve">15. </w:t>
            </w:r>
            <w:r w:rsidR="00B44F18">
              <w:rPr>
                <w:rFonts w:ascii="Times New Roman" w:eastAsia="Times New Roman" w:hAnsi="Times New Roman" w:cs="Times New Roman"/>
                <w:color w:val="000000"/>
                <w:szCs w:val="24"/>
              </w:rPr>
              <w:t xml:space="preserve"> </w:t>
            </w:r>
          </w:p>
        </w:tc>
        <w:tc>
          <w:tcPr>
            <w:tcW w:w="1686" w:type="dxa"/>
            <w:vAlign w:val="bottom"/>
          </w:tcPr>
          <w:p w14:paraId="25CDD821" w14:textId="1EC7418A" w:rsidR="00B44F18" w:rsidRPr="00726152" w:rsidRDefault="002D4AE4" w:rsidP="002D4AE4">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C-HIVE-0026</w:t>
            </w:r>
          </w:p>
        </w:tc>
      </w:tr>
    </w:tbl>
    <w:p w14:paraId="65C68FF0" w14:textId="3B226AFF" w:rsidR="00D71C57" w:rsidRDefault="00657EFA" w:rsidP="00F1699A">
      <w:pPr>
        <w:pStyle w:val="NumA1"/>
      </w:pPr>
      <w:r>
        <w:t>Le 26</w:t>
      </w:r>
      <w:r w:rsidR="009847D1">
        <w:t> </w:t>
      </w:r>
      <w:r>
        <w:t>novembre</w:t>
      </w:r>
      <w:r w:rsidR="009847D1">
        <w:t> </w:t>
      </w:r>
      <w:r>
        <w:t xml:space="preserve">2021, </w:t>
      </w:r>
      <w:r w:rsidR="00D71C57" w:rsidRPr="00D71C57">
        <w:t xml:space="preserve">le Distributeur </w:t>
      </w:r>
      <w:r>
        <w:t xml:space="preserve">informe la Régie </w:t>
      </w:r>
      <w:r w:rsidR="00D71C57" w:rsidRPr="00D71C57">
        <w:t>qu’il travaille à mobiliser ses équipes afin de démarrer le processus d'attribution du Solde du Bloc réservé dans les meilleurs délais</w:t>
      </w:r>
      <w:r>
        <w:t xml:space="preserve">, visant une ouverture du Guichet unique pour </w:t>
      </w:r>
      <w:r w:rsidR="00D71C57" w:rsidRPr="00D71C57">
        <w:t>la fin du premier trimestre de 2022</w:t>
      </w:r>
      <w:r>
        <w:t>;</w:t>
      </w:r>
    </w:p>
    <w:tbl>
      <w:tblPr>
        <w:tblW w:w="8958" w:type="dxa"/>
        <w:tblInd w:w="648" w:type="dxa"/>
        <w:tblLook w:val="00A0" w:firstRow="1" w:lastRow="0" w:firstColumn="1" w:lastColumn="0" w:noHBand="0" w:noVBand="0"/>
      </w:tblPr>
      <w:tblGrid>
        <w:gridCol w:w="7272"/>
        <w:gridCol w:w="1686"/>
      </w:tblGrid>
      <w:tr w:rsidR="00926BF0" w:rsidRPr="00726152" w14:paraId="2787C7AC" w14:textId="77777777" w:rsidTr="002D4AE4">
        <w:tc>
          <w:tcPr>
            <w:tcW w:w="7272" w:type="dxa"/>
          </w:tcPr>
          <w:p w14:paraId="225B7439" w14:textId="3B004522" w:rsidR="00926BF0" w:rsidRPr="00726152" w:rsidRDefault="00926BF0" w:rsidP="00CF6517">
            <w:pPr>
              <w:spacing w:before="120" w:after="0" w:line="240" w:lineRule="auto"/>
              <w:ind w:left="72" w:firstLine="0"/>
              <w:rPr>
                <w:rFonts w:ascii="Times New Roman" w:eastAsia="Times New Roman" w:hAnsi="Times New Roman" w:cs="Times New Roman"/>
                <w:color w:val="000000"/>
                <w:szCs w:val="24"/>
              </w:rPr>
            </w:pPr>
            <w:r w:rsidRPr="00926BF0">
              <w:rPr>
                <w:rFonts w:ascii="Times New Roman" w:eastAsia="Times New Roman" w:hAnsi="Times New Roman" w:cs="Times New Roman"/>
                <w:color w:val="000000"/>
                <w:szCs w:val="24"/>
              </w:rPr>
              <w:t>B-0329</w:t>
            </w:r>
            <w:r>
              <w:rPr>
                <w:rFonts w:ascii="Times New Roman" w:eastAsia="Times New Roman" w:hAnsi="Times New Roman" w:cs="Times New Roman"/>
                <w:color w:val="000000"/>
                <w:szCs w:val="24"/>
              </w:rPr>
              <w:t xml:space="preserve"> (</w:t>
            </w:r>
            <w:r w:rsidRPr="00926BF0">
              <w:rPr>
                <w:rFonts w:ascii="Times New Roman" w:eastAsia="Times New Roman" w:hAnsi="Times New Roman" w:cs="Times New Roman"/>
                <w:color w:val="000000"/>
                <w:szCs w:val="24"/>
              </w:rPr>
              <w:t>R-4045-2018 Phase</w:t>
            </w:r>
            <w:r w:rsidR="009847D1">
              <w:rPr>
                <w:rFonts w:ascii="Times New Roman" w:eastAsia="Times New Roman" w:hAnsi="Times New Roman" w:cs="Times New Roman"/>
                <w:color w:val="000000"/>
                <w:szCs w:val="24"/>
              </w:rPr>
              <w:t> </w:t>
            </w:r>
            <w:r w:rsidRPr="00926BF0">
              <w:rPr>
                <w:rFonts w:ascii="Times New Roman" w:eastAsia="Times New Roman" w:hAnsi="Times New Roman" w:cs="Times New Roman"/>
                <w:color w:val="000000"/>
                <w:szCs w:val="24"/>
              </w:rPr>
              <w:t>3</w:t>
            </w:r>
            <w:r>
              <w:rPr>
                <w:rFonts w:ascii="Times New Roman" w:eastAsia="Times New Roman" w:hAnsi="Times New Roman" w:cs="Times New Roman"/>
                <w:color w:val="000000"/>
                <w:szCs w:val="24"/>
              </w:rPr>
              <w:t>)</w:t>
            </w:r>
          </w:p>
        </w:tc>
        <w:tc>
          <w:tcPr>
            <w:tcW w:w="1686" w:type="dxa"/>
            <w:vAlign w:val="bottom"/>
          </w:tcPr>
          <w:p w14:paraId="29867D75" w14:textId="00B425B5" w:rsidR="00926BF0" w:rsidRPr="00726152" w:rsidRDefault="002D4AE4" w:rsidP="002D4AE4">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C-HIVE-0027</w:t>
            </w:r>
          </w:p>
        </w:tc>
      </w:tr>
    </w:tbl>
    <w:p w14:paraId="0D8CE3CD" w14:textId="28E309AF" w:rsidR="00D71C57" w:rsidRPr="00D71C57" w:rsidRDefault="00D71C57" w:rsidP="00F1699A">
      <w:pPr>
        <w:pStyle w:val="NumA1"/>
      </w:pPr>
      <w:r w:rsidRPr="00D71C57">
        <w:t xml:space="preserve">Il s’agit d’ailleurs de l’information rapportée sur le site Internet du Distributeur jusqu’au </w:t>
      </w:r>
      <w:r w:rsidR="0096770C">
        <w:t>29</w:t>
      </w:r>
      <w:r w:rsidRPr="00D71C57">
        <w:t xml:space="preserve"> mars 2022, qui se lisait comme suit : </w:t>
      </w:r>
    </w:p>
    <w:p w14:paraId="710BDB61" w14:textId="77777777" w:rsidR="00D71C57" w:rsidRPr="00622162" w:rsidRDefault="00D71C57" w:rsidP="002D7ECE">
      <w:pPr>
        <w:pStyle w:val="QuoteCitation"/>
      </w:pPr>
      <w:r>
        <w:t>« </w:t>
      </w:r>
      <w:r w:rsidRPr="00622162">
        <w:t>L’appel de propositions no A/P</w:t>
      </w:r>
      <w:r>
        <w:t> </w:t>
      </w:r>
      <w:r w:rsidRPr="00622162">
        <w:t>2019-01 qui visait l’attribution du bloc réservé est terminé. Les quantités restantes du bloc seront attribuées selon le principe du premier arrivé, premier servi, conformément à la décision rendue par la Régie de l’énergie le 17</w:t>
      </w:r>
      <w:r>
        <w:t> </w:t>
      </w:r>
      <w:r w:rsidRPr="00622162">
        <w:t>novembre</w:t>
      </w:r>
      <w:r>
        <w:t> </w:t>
      </w:r>
      <w:r w:rsidRPr="00622162">
        <w:t>2021 (Phase</w:t>
      </w:r>
      <w:r>
        <w:t> </w:t>
      </w:r>
      <w:r w:rsidRPr="00622162">
        <w:t>3 – R-4045-2018) [PDF].</w:t>
      </w:r>
    </w:p>
    <w:p w14:paraId="6F3C5DC8" w14:textId="77777777" w:rsidR="00D71C57" w:rsidRDefault="00D71C57" w:rsidP="003A14BC">
      <w:pPr>
        <w:pStyle w:val="QuoteCitation"/>
      </w:pPr>
      <w:r w:rsidRPr="00622162">
        <w:t>Hydro-Québec travaille présentement à mettre en place le processus d’attribution et communiquera prochainement la date de lancement de ce processus ainsi que les modalités de participation. À ce stade‑ci, il est prévu que le lancement aura lieu durant le premier trimestre de 2022.</w:t>
      </w:r>
      <w:r>
        <w:t> »</w:t>
      </w:r>
    </w:p>
    <w:tbl>
      <w:tblPr>
        <w:tblW w:w="8958" w:type="dxa"/>
        <w:tblInd w:w="648" w:type="dxa"/>
        <w:tblLook w:val="00A0" w:firstRow="1" w:lastRow="0" w:firstColumn="1" w:lastColumn="0" w:noHBand="0" w:noVBand="0"/>
      </w:tblPr>
      <w:tblGrid>
        <w:gridCol w:w="6822"/>
        <w:gridCol w:w="2136"/>
      </w:tblGrid>
      <w:tr w:rsidR="001830F9" w:rsidRPr="00726152" w14:paraId="498919C3" w14:textId="77777777" w:rsidTr="00043C12">
        <w:tc>
          <w:tcPr>
            <w:tcW w:w="6822" w:type="dxa"/>
          </w:tcPr>
          <w:p w14:paraId="1A073D33" w14:textId="7A42674B" w:rsidR="00F62FC2" w:rsidRPr="00463245" w:rsidRDefault="00AA2504" w:rsidP="00463245">
            <w:pPr>
              <w:spacing w:before="120" w:after="120" w:line="240" w:lineRule="auto"/>
              <w:ind w:left="72" w:firstLine="0"/>
              <w:rPr>
                <w:rFonts w:ascii="Times New Roman" w:eastAsia="Times New Roman" w:hAnsi="Times New Roman" w:cs="Times New Roman"/>
                <w:color w:val="000000"/>
                <w:szCs w:val="24"/>
              </w:rPr>
            </w:pPr>
            <w:r w:rsidRPr="00463245">
              <w:rPr>
                <w:rFonts w:ascii="Times New Roman" w:eastAsia="Times New Roman" w:hAnsi="Times New Roman" w:cs="Times New Roman"/>
                <w:color w:val="000000"/>
                <w:szCs w:val="24"/>
              </w:rPr>
              <w:t>MBC-</w:t>
            </w:r>
            <w:r w:rsidR="00B15B65" w:rsidRPr="00463245">
              <w:rPr>
                <w:rFonts w:ascii="Times New Roman" w:eastAsia="Times New Roman" w:hAnsi="Times New Roman" w:cs="Times New Roman"/>
                <w:color w:val="000000"/>
                <w:szCs w:val="24"/>
              </w:rPr>
              <w:t>2</w:t>
            </w:r>
            <w:r w:rsidR="00F8323A" w:rsidRPr="00463245">
              <w:rPr>
                <w:rFonts w:ascii="Times New Roman" w:eastAsia="Times New Roman" w:hAnsi="Times New Roman" w:cs="Times New Roman"/>
                <w:color w:val="000000"/>
                <w:szCs w:val="24"/>
              </w:rPr>
              <w:t xml:space="preserve"> </w:t>
            </w:r>
            <w:r w:rsidR="00E70E75" w:rsidRPr="00463245">
              <w:rPr>
                <w:rFonts w:ascii="Times New Roman" w:eastAsia="Times New Roman" w:hAnsi="Times New Roman" w:cs="Times New Roman"/>
                <w:color w:val="000000"/>
                <w:szCs w:val="24"/>
              </w:rPr>
              <w:t>–</w:t>
            </w:r>
            <w:r w:rsidR="00F8323A" w:rsidRPr="00463245">
              <w:rPr>
                <w:rFonts w:ascii="Times New Roman" w:eastAsia="Times New Roman" w:hAnsi="Times New Roman" w:cs="Times New Roman"/>
                <w:color w:val="000000"/>
                <w:szCs w:val="24"/>
              </w:rPr>
              <w:t xml:space="preserve"> </w:t>
            </w:r>
            <w:r w:rsidR="00192CE3" w:rsidRPr="00463245">
              <w:rPr>
                <w:rFonts w:ascii="Times New Roman" w:eastAsia="Times New Roman" w:hAnsi="Times New Roman" w:cs="Times New Roman"/>
                <w:color w:val="000000"/>
                <w:szCs w:val="24"/>
              </w:rPr>
              <w:t>Extrait du Site Web du Distributeur (21</w:t>
            </w:r>
            <w:r w:rsidR="009847D1">
              <w:rPr>
                <w:rFonts w:ascii="Times New Roman" w:eastAsia="Times New Roman" w:hAnsi="Times New Roman" w:cs="Times New Roman"/>
                <w:color w:val="000000"/>
                <w:szCs w:val="24"/>
              </w:rPr>
              <w:t> </w:t>
            </w:r>
            <w:r w:rsidR="00192CE3" w:rsidRPr="00463245">
              <w:rPr>
                <w:rFonts w:ascii="Times New Roman" w:eastAsia="Times New Roman" w:hAnsi="Times New Roman" w:cs="Times New Roman"/>
                <w:color w:val="000000"/>
                <w:szCs w:val="24"/>
              </w:rPr>
              <w:t>janvier</w:t>
            </w:r>
            <w:r w:rsidR="009847D1">
              <w:rPr>
                <w:rFonts w:ascii="Times New Roman" w:eastAsia="Times New Roman" w:hAnsi="Times New Roman" w:cs="Times New Roman"/>
                <w:color w:val="000000"/>
                <w:szCs w:val="24"/>
              </w:rPr>
              <w:t> </w:t>
            </w:r>
            <w:r w:rsidR="00192CE3" w:rsidRPr="00463245">
              <w:rPr>
                <w:rFonts w:ascii="Times New Roman" w:eastAsia="Times New Roman" w:hAnsi="Times New Roman" w:cs="Times New Roman"/>
                <w:color w:val="000000"/>
                <w:szCs w:val="24"/>
              </w:rPr>
              <w:t>2022)</w:t>
            </w:r>
          </w:p>
        </w:tc>
        <w:tc>
          <w:tcPr>
            <w:tcW w:w="2136" w:type="dxa"/>
            <w:vAlign w:val="bottom"/>
          </w:tcPr>
          <w:p w14:paraId="22C39D2E" w14:textId="4E618FBB" w:rsidR="002D4AE4" w:rsidRPr="00043C12" w:rsidRDefault="00043C12" w:rsidP="00CF6517">
            <w:pPr>
              <w:spacing w:before="120" w:after="120" w:line="240" w:lineRule="auto"/>
              <w:ind w:left="0" w:firstLine="0"/>
              <w:jc w:val="center"/>
              <w:rPr>
                <w:rFonts w:ascii="Times New Roman" w:eastAsia="Times New Roman" w:hAnsi="Times New Roman" w:cs="Times New Roman"/>
                <w:b/>
                <w:bCs/>
                <w:color w:val="000000"/>
              </w:rPr>
            </w:pPr>
            <w:r w:rsidRPr="00043C12">
              <w:rPr>
                <w:rFonts w:ascii="Times New Roman" w:eastAsia="Times New Roman" w:hAnsi="Times New Roman" w:cs="Times New Roman"/>
                <w:b/>
                <w:bCs/>
                <w:color w:val="000000"/>
              </w:rPr>
              <w:t>C</w:t>
            </w:r>
            <w:r w:rsidRPr="00043C12">
              <w:rPr>
                <w:rFonts w:ascii="Times New Roman" w:eastAsia="Times New Roman" w:hAnsi="Times New Roman" w:cs="Times New Roman"/>
                <w:b/>
                <w:bCs/>
                <w:color w:val="000000"/>
              </w:rPr>
              <w:noBreakHyphen/>
              <w:t>POW-RE</w:t>
            </w:r>
            <w:r w:rsidRPr="00043C12">
              <w:rPr>
                <w:rFonts w:ascii="Times New Roman" w:eastAsia="Times New Roman" w:hAnsi="Times New Roman" w:cs="Times New Roman"/>
                <w:b/>
                <w:bCs/>
                <w:color w:val="000000"/>
              </w:rPr>
              <w:noBreakHyphen/>
              <w:t>0006</w:t>
            </w:r>
          </w:p>
        </w:tc>
      </w:tr>
    </w:tbl>
    <w:p w14:paraId="79E6BDCF" w14:textId="48FCB5E1" w:rsidR="00D71C57" w:rsidRPr="00D71C57" w:rsidRDefault="00D71C57" w:rsidP="00F1699A">
      <w:pPr>
        <w:pStyle w:val="NumA1"/>
      </w:pPr>
      <w:r w:rsidRPr="00D71C57">
        <w:t xml:space="preserve">Or, au </w:t>
      </w:r>
      <w:r w:rsidR="00E47D53">
        <w:t>30</w:t>
      </w:r>
      <w:r w:rsidR="009847D1">
        <w:t> </w:t>
      </w:r>
      <w:r w:rsidR="00E47D53">
        <w:t>mars</w:t>
      </w:r>
      <w:r w:rsidRPr="00D71C57">
        <w:t xml:space="preserve"> 2022, le Distributeur affichait la formulation suivante sur son site Internet : </w:t>
      </w:r>
    </w:p>
    <w:p w14:paraId="240CADA7" w14:textId="77777777" w:rsidR="00D71C57" w:rsidRDefault="00D71C57" w:rsidP="003A14BC">
      <w:pPr>
        <w:pStyle w:val="QuoteCitation"/>
        <w:rPr>
          <w:rFonts w:eastAsia="Calibri"/>
        </w:rPr>
      </w:pPr>
      <w:r w:rsidRPr="007A5F26">
        <w:rPr>
          <w:rFonts w:eastAsia="Calibri"/>
        </w:rPr>
        <w:lastRenderedPageBreak/>
        <w:t>«</w:t>
      </w:r>
      <w:r>
        <w:rPr>
          <w:rFonts w:eastAsia="Calibri"/>
          <w:i/>
          <w:iCs/>
        </w:rPr>
        <w:t> </w:t>
      </w:r>
      <w:r w:rsidRPr="007A5F26">
        <w:rPr>
          <w:rFonts w:eastAsia="Calibri"/>
        </w:rPr>
        <w:t xml:space="preserve">Hydro-Québec fournira en temps opportun de l’information </w:t>
      </w:r>
      <w:r w:rsidRPr="007A5F26">
        <w:rPr>
          <w:rFonts w:eastAsia="Calibri"/>
          <w:u w:val="single"/>
        </w:rPr>
        <w:t>quant à l’attribution éventuelle du solde du bloc</w:t>
      </w:r>
      <w:r w:rsidRPr="007A5F26">
        <w:rPr>
          <w:rFonts w:eastAsia="Calibri"/>
        </w:rPr>
        <w:t>. Dans l’attente de cette information, nous vous recommandons de faire preuve de prudence dans les démarches relatives à un projet visant un usage cryptographique appliqué aux chaînes de blocs.</w:t>
      </w:r>
      <w:r>
        <w:rPr>
          <w:rFonts w:eastAsia="Calibri"/>
        </w:rPr>
        <w:t> </w:t>
      </w:r>
      <w:r w:rsidRPr="007A5F26">
        <w:rPr>
          <w:rFonts w:eastAsia="Calibri"/>
        </w:rPr>
        <w:t>»</w:t>
      </w:r>
    </w:p>
    <w:p w14:paraId="73C0310F" w14:textId="58B135A9" w:rsidR="00CF612A" w:rsidRDefault="00CF612A" w:rsidP="002D7ECE">
      <w:pPr>
        <w:pStyle w:val="QuoteCitation"/>
        <w:jc w:val="right"/>
        <w:rPr>
          <w:rFonts w:eastAsia="Calibri"/>
        </w:rPr>
      </w:pPr>
      <w:r>
        <w:rPr>
          <w:rFonts w:eastAsia="Calibri"/>
        </w:rPr>
        <w:t>[nos soulignements]</w:t>
      </w:r>
    </w:p>
    <w:tbl>
      <w:tblPr>
        <w:tblW w:w="8958" w:type="dxa"/>
        <w:tblInd w:w="648" w:type="dxa"/>
        <w:tblLook w:val="00A0" w:firstRow="1" w:lastRow="0" w:firstColumn="1" w:lastColumn="0" w:noHBand="0" w:noVBand="0"/>
      </w:tblPr>
      <w:tblGrid>
        <w:gridCol w:w="6822"/>
        <w:gridCol w:w="2136"/>
      </w:tblGrid>
      <w:tr w:rsidR="00E47D53" w:rsidRPr="00726152" w14:paraId="274EE374" w14:textId="77777777" w:rsidTr="00043C12">
        <w:tc>
          <w:tcPr>
            <w:tcW w:w="6822" w:type="dxa"/>
          </w:tcPr>
          <w:p w14:paraId="3DC8B051" w14:textId="6AF6E0A0" w:rsidR="00E47D53" w:rsidRPr="00463245" w:rsidRDefault="00E47D53" w:rsidP="00463245">
            <w:pPr>
              <w:spacing w:before="120" w:after="120" w:line="240" w:lineRule="auto"/>
              <w:ind w:left="72" w:firstLine="0"/>
              <w:rPr>
                <w:rFonts w:ascii="Times New Roman" w:eastAsia="Times New Roman" w:hAnsi="Times New Roman" w:cs="Times New Roman"/>
                <w:color w:val="000000"/>
                <w:szCs w:val="24"/>
              </w:rPr>
            </w:pPr>
            <w:r w:rsidRPr="00463245">
              <w:rPr>
                <w:rFonts w:ascii="Times New Roman" w:eastAsia="Times New Roman" w:hAnsi="Times New Roman" w:cs="Times New Roman"/>
                <w:color w:val="000000"/>
                <w:szCs w:val="24"/>
              </w:rPr>
              <w:t>MBC-3 – Changements au Site Web du Distributeur (30</w:t>
            </w:r>
            <w:r w:rsidR="009847D1">
              <w:rPr>
                <w:rFonts w:ascii="Times New Roman" w:eastAsia="Times New Roman" w:hAnsi="Times New Roman" w:cs="Times New Roman"/>
                <w:color w:val="000000"/>
                <w:szCs w:val="24"/>
              </w:rPr>
              <w:t> </w:t>
            </w:r>
            <w:r w:rsidRPr="00463245">
              <w:rPr>
                <w:rFonts w:ascii="Times New Roman" w:eastAsia="Times New Roman" w:hAnsi="Times New Roman" w:cs="Times New Roman"/>
                <w:color w:val="000000"/>
                <w:szCs w:val="24"/>
              </w:rPr>
              <w:t>mars</w:t>
            </w:r>
            <w:r w:rsidR="009847D1">
              <w:rPr>
                <w:rFonts w:ascii="Times New Roman" w:eastAsia="Times New Roman" w:hAnsi="Times New Roman" w:cs="Times New Roman"/>
                <w:color w:val="000000"/>
                <w:szCs w:val="24"/>
              </w:rPr>
              <w:t> </w:t>
            </w:r>
            <w:r w:rsidRPr="00463245">
              <w:rPr>
                <w:rFonts w:ascii="Times New Roman" w:eastAsia="Times New Roman" w:hAnsi="Times New Roman" w:cs="Times New Roman"/>
                <w:color w:val="000000"/>
                <w:szCs w:val="24"/>
              </w:rPr>
              <w:t>2022)</w:t>
            </w:r>
          </w:p>
        </w:tc>
        <w:tc>
          <w:tcPr>
            <w:tcW w:w="2136" w:type="dxa"/>
            <w:vAlign w:val="bottom"/>
          </w:tcPr>
          <w:p w14:paraId="5720FB20" w14:textId="50C9B6BC" w:rsidR="00E47D53" w:rsidRPr="00726152" w:rsidRDefault="00043C12" w:rsidP="00043C12">
            <w:pPr>
              <w:spacing w:before="120" w:after="120" w:line="240" w:lineRule="auto"/>
              <w:ind w:left="0" w:firstLine="0"/>
              <w:jc w:val="center"/>
              <w:rPr>
                <w:rFonts w:ascii="Times New Roman" w:eastAsia="Times New Roman" w:hAnsi="Times New Roman" w:cs="Times New Roman"/>
                <w:b/>
                <w:color w:val="000000"/>
              </w:rPr>
            </w:pPr>
            <w:r w:rsidRPr="00043C12">
              <w:rPr>
                <w:rFonts w:ascii="Times New Roman" w:eastAsia="Times New Roman" w:hAnsi="Times New Roman" w:cs="Times New Roman"/>
                <w:b/>
                <w:bCs/>
                <w:color w:val="000000"/>
              </w:rPr>
              <w:t>C</w:t>
            </w:r>
            <w:r w:rsidRPr="00043C12">
              <w:rPr>
                <w:rFonts w:ascii="Times New Roman" w:eastAsia="Times New Roman" w:hAnsi="Times New Roman" w:cs="Times New Roman"/>
                <w:b/>
                <w:bCs/>
                <w:color w:val="000000"/>
              </w:rPr>
              <w:noBreakHyphen/>
              <w:t>POW-RE</w:t>
            </w:r>
            <w:r w:rsidRPr="00043C12">
              <w:rPr>
                <w:rFonts w:ascii="Times New Roman" w:eastAsia="Times New Roman" w:hAnsi="Times New Roman" w:cs="Times New Roman"/>
                <w:b/>
                <w:bCs/>
                <w:color w:val="000000"/>
              </w:rPr>
              <w:noBreakHyphen/>
              <w:t>000</w:t>
            </w:r>
            <w:r>
              <w:rPr>
                <w:rFonts w:ascii="Times New Roman" w:eastAsia="Times New Roman" w:hAnsi="Times New Roman" w:cs="Times New Roman"/>
                <w:b/>
                <w:bCs/>
                <w:color w:val="000000"/>
              </w:rPr>
              <w:t>7</w:t>
            </w:r>
          </w:p>
        </w:tc>
      </w:tr>
    </w:tbl>
    <w:p w14:paraId="313E6E5D" w14:textId="74C9EC2E" w:rsidR="00D6170E" w:rsidRDefault="005615D1" w:rsidP="00F1699A">
      <w:pPr>
        <w:pStyle w:val="NumA1"/>
      </w:pPr>
      <w:r>
        <w:t xml:space="preserve">Cette annonce de la part du Distributeur </w:t>
      </w:r>
      <w:r w:rsidR="008541C5">
        <w:t xml:space="preserve">est concomitante </w:t>
      </w:r>
      <w:r w:rsidR="000B3261">
        <w:t>à</w:t>
      </w:r>
      <w:r w:rsidR="00D6170E">
        <w:t xml:space="preserve"> une sortie publique de la cheffe de la direction du Distributeur à l’effet qu’elle entendait «</w:t>
      </w:r>
      <w:r w:rsidR="006F0762">
        <w:t> </w:t>
      </w:r>
      <w:r w:rsidR="00D6170E">
        <w:t>effacer</w:t>
      </w:r>
      <w:r w:rsidR="006F0762">
        <w:t> </w:t>
      </w:r>
      <w:r w:rsidR="00D6170E">
        <w:t xml:space="preserve">» le Bloc réservé et que le Distributeur </w:t>
      </w:r>
      <w:r w:rsidR="00917CB6">
        <w:t xml:space="preserve">ne </w:t>
      </w:r>
      <w:r w:rsidR="00D6170E">
        <w:t>«</w:t>
      </w:r>
      <w:r w:rsidR="006F0762">
        <w:t> </w:t>
      </w:r>
      <w:r w:rsidR="00D6170E">
        <w:t>devrait plus accueillir ce type de consommation-là</w:t>
      </w:r>
      <w:r w:rsidR="006F0762">
        <w:t> </w:t>
      </w:r>
      <w:r w:rsidR="00D6170E">
        <w:t>»</w:t>
      </w:r>
      <w:r w:rsidR="007D7789">
        <w:t xml:space="preserve">; </w:t>
      </w:r>
      <w:r w:rsidR="005A0934">
        <w:t xml:space="preserve">ainsi qu’à </w:t>
      </w:r>
      <w:r w:rsidR="00B71DDC">
        <w:t xml:space="preserve">la publication imminente d’un décret priorisant certaines </w:t>
      </w:r>
      <w:r w:rsidR="00267686">
        <w:t>industries</w:t>
      </w:r>
      <w:r w:rsidR="00D6170E">
        <w:t xml:space="preserve">; </w:t>
      </w:r>
    </w:p>
    <w:tbl>
      <w:tblPr>
        <w:tblW w:w="8958" w:type="dxa"/>
        <w:tblInd w:w="648" w:type="dxa"/>
        <w:tblLook w:val="00A0" w:firstRow="1" w:lastRow="0" w:firstColumn="1" w:lastColumn="0" w:noHBand="0" w:noVBand="0"/>
      </w:tblPr>
      <w:tblGrid>
        <w:gridCol w:w="6822"/>
        <w:gridCol w:w="2136"/>
      </w:tblGrid>
      <w:tr w:rsidR="00373046" w:rsidRPr="00726152" w14:paraId="61AFCB05" w14:textId="77777777" w:rsidTr="00043C12">
        <w:tc>
          <w:tcPr>
            <w:tcW w:w="6822" w:type="dxa"/>
          </w:tcPr>
          <w:p w14:paraId="4CABBBE0" w14:textId="6FBE09B2" w:rsidR="00373046" w:rsidRPr="00463245" w:rsidRDefault="00373046" w:rsidP="00463245">
            <w:pPr>
              <w:pStyle w:val="Corpsdetexte"/>
              <w:spacing w:before="120" w:after="120"/>
              <w:ind w:left="0" w:firstLine="0"/>
            </w:pPr>
            <w:r w:rsidRPr="00463245">
              <w:t>Article – HQ ne participera pas au paradis des bitcoins</w:t>
            </w:r>
          </w:p>
        </w:tc>
        <w:tc>
          <w:tcPr>
            <w:tcW w:w="2136" w:type="dxa"/>
            <w:vAlign w:val="bottom"/>
          </w:tcPr>
          <w:p w14:paraId="73536753" w14:textId="2E74FED8" w:rsidR="00373046" w:rsidRPr="00A21461" w:rsidRDefault="00043C12" w:rsidP="00043C12">
            <w:pPr>
              <w:spacing w:before="120" w:after="120" w:line="240" w:lineRule="auto"/>
              <w:ind w:left="0" w:firstLine="0"/>
              <w:jc w:val="center"/>
              <w:rPr>
                <w:rFonts w:ascii="Times New Roman" w:eastAsia="Times New Roman" w:hAnsi="Times New Roman" w:cs="Times New Roman"/>
                <w:b/>
                <w:bCs/>
                <w:color w:val="000000"/>
              </w:rPr>
            </w:pPr>
            <w:r>
              <w:rPr>
                <w:rFonts w:ascii="Times New Roman" w:eastAsia="Times New Roman" w:hAnsi="Times New Roman" w:cs="Times New Roman"/>
                <w:b/>
                <w:color w:val="000000"/>
              </w:rPr>
              <w:t>C-HIVE-0003</w:t>
            </w:r>
          </w:p>
        </w:tc>
      </w:tr>
      <w:tr w:rsidR="00F05C88" w:rsidRPr="00726152" w14:paraId="2BB4EFFF" w14:textId="77777777" w:rsidTr="00043C12">
        <w:tc>
          <w:tcPr>
            <w:tcW w:w="6822" w:type="dxa"/>
          </w:tcPr>
          <w:p w14:paraId="10F8C45F" w14:textId="2BC2E7B8" w:rsidR="00F05C88" w:rsidRPr="00463245" w:rsidRDefault="00F05C88" w:rsidP="00F05C88">
            <w:pPr>
              <w:pStyle w:val="Corpsdetexte"/>
              <w:spacing w:before="120" w:after="120"/>
              <w:ind w:left="0" w:firstLine="0"/>
            </w:pPr>
            <w:r>
              <w:rPr>
                <w:rFonts w:ascii="Times New Roman" w:hAnsi="Times New Roman"/>
                <w:color w:val="000000"/>
                <w:szCs w:val="24"/>
              </w:rPr>
              <w:t>Notes sténographiques, à la p. 85, lignes 3 à 9.</w:t>
            </w:r>
          </w:p>
        </w:tc>
        <w:tc>
          <w:tcPr>
            <w:tcW w:w="2136" w:type="dxa"/>
            <w:vAlign w:val="bottom"/>
          </w:tcPr>
          <w:p w14:paraId="3292257D" w14:textId="07BAFE85" w:rsidR="00F05C88" w:rsidRDefault="00F05C88" w:rsidP="00F05C88">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A-0010</w:t>
            </w:r>
          </w:p>
        </w:tc>
      </w:tr>
    </w:tbl>
    <w:p w14:paraId="669CEE68" w14:textId="5216CEA4" w:rsidR="007D7789" w:rsidRPr="00290ECC" w:rsidRDefault="007D7789" w:rsidP="00F1699A">
      <w:pPr>
        <w:pStyle w:val="NumA1"/>
        <w:rPr>
          <w:rFonts w:eastAsia="Calibri"/>
          <w:sz w:val="22"/>
          <w:szCs w:val="20"/>
        </w:rPr>
      </w:pPr>
      <w:r w:rsidRPr="00D71C57">
        <w:t xml:space="preserve">Le </w:t>
      </w:r>
      <w:r>
        <w:t>8</w:t>
      </w:r>
      <w:r w:rsidR="009847D1">
        <w:t> </w:t>
      </w:r>
      <w:r>
        <w:t>juillet</w:t>
      </w:r>
      <w:r w:rsidR="009847D1">
        <w:t> </w:t>
      </w:r>
      <w:r>
        <w:t>2022</w:t>
      </w:r>
      <w:r w:rsidRPr="00D71C57">
        <w:t xml:space="preserve">, le Distributeur annonçait que la procédure d’allocation du Solde du Bloc réservé devrait débuter vers la mi-septembre 2022; </w:t>
      </w:r>
    </w:p>
    <w:tbl>
      <w:tblPr>
        <w:tblW w:w="8958" w:type="dxa"/>
        <w:tblInd w:w="648" w:type="dxa"/>
        <w:tblLook w:val="00A0" w:firstRow="1" w:lastRow="0" w:firstColumn="1" w:lastColumn="0" w:noHBand="0" w:noVBand="0"/>
      </w:tblPr>
      <w:tblGrid>
        <w:gridCol w:w="6822"/>
        <w:gridCol w:w="2136"/>
      </w:tblGrid>
      <w:tr w:rsidR="007D7789" w:rsidRPr="00726152" w14:paraId="608D613F" w14:textId="77777777" w:rsidTr="00043C12">
        <w:tc>
          <w:tcPr>
            <w:tcW w:w="6822" w:type="dxa"/>
          </w:tcPr>
          <w:p w14:paraId="2D72EE2A" w14:textId="03204331" w:rsidR="007D7789" w:rsidRPr="00463245" w:rsidRDefault="007D7789" w:rsidP="00E731DA">
            <w:pPr>
              <w:spacing w:before="120" w:after="120" w:line="240" w:lineRule="auto"/>
              <w:ind w:left="72" w:firstLine="0"/>
              <w:rPr>
                <w:rFonts w:ascii="Times New Roman" w:eastAsia="Times New Roman" w:hAnsi="Times New Roman" w:cs="Times New Roman"/>
                <w:color w:val="000000"/>
                <w:szCs w:val="24"/>
              </w:rPr>
            </w:pPr>
            <w:r w:rsidRPr="00463245">
              <w:rPr>
                <w:rFonts w:ascii="Times New Roman" w:eastAsia="Times New Roman" w:hAnsi="Times New Roman" w:cs="Times New Roman"/>
                <w:color w:val="000000"/>
                <w:szCs w:val="24"/>
              </w:rPr>
              <w:t>MBC-4 – Changements au Site Web du Distributeur (8</w:t>
            </w:r>
            <w:r w:rsidR="009847D1">
              <w:rPr>
                <w:rFonts w:ascii="Times New Roman" w:eastAsia="Times New Roman" w:hAnsi="Times New Roman" w:cs="Times New Roman"/>
                <w:color w:val="000000"/>
                <w:szCs w:val="24"/>
              </w:rPr>
              <w:t> </w:t>
            </w:r>
            <w:r w:rsidRPr="00463245">
              <w:rPr>
                <w:rFonts w:ascii="Times New Roman" w:eastAsia="Times New Roman" w:hAnsi="Times New Roman" w:cs="Times New Roman"/>
                <w:color w:val="000000"/>
                <w:szCs w:val="24"/>
              </w:rPr>
              <w:t>juillet</w:t>
            </w:r>
            <w:r w:rsidR="009847D1">
              <w:rPr>
                <w:rFonts w:ascii="Times New Roman" w:eastAsia="Times New Roman" w:hAnsi="Times New Roman" w:cs="Times New Roman"/>
                <w:color w:val="000000"/>
                <w:szCs w:val="24"/>
              </w:rPr>
              <w:t> </w:t>
            </w:r>
            <w:r w:rsidRPr="00463245">
              <w:rPr>
                <w:rFonts w:ascii="Times New Roman" w:eastAsia="Times New Roman" w:hAnsi="Times New Roman" w:cs="Times New Roman"/>
                <w:color w:val="000000"/>
                <w:szCs w:val="24"/>
              </w:rPr>
              <w:t>2022)</w:t>
            </w:r>
          </w:p>
        </w:tc>
        <w:tc>
          <w:tcPr>
            <w:tcW w:w="2136" w:type="dxa"/>
            <w:vAlign w:val="center"/>
          </w:tcPr>
          <w:p w14:paraId="2D2787B1" w14:textId="51575F91" w:rsidR="007D7789" w:rsidRPr="00726152" w:rsidRDefault="00043C12" w:rsidP="00043C12">
            <w:pPr>
              <w:spacing w:before="120" w:after="120" w:line="240" w:lineRule="auto"/>
              <w:ind w:left="0" w:firstLine="0"/>
              <w:jc w:val="center"/>
              <w:rPr>
                <w:rFonts w:ascii="Times New Roman" w:eastAsia="Times New Roman" w:hAnsi="Times New Roman" w:cs="Times New Roman"/>
                <w:b/>
                <w:color w:val="000000"/>
              </w:rPr>
            </w:pPr>
            <w:r w:rsidRPr="00043C12">
              <w:rPr>
                <w:rFonts w:ascii="Times New Roman" w:eastAsia="Times New Roman" w:hAnsi="Times New Roman" w:cs="Times New Roman"/>
                <w:b/>
                <w:bCs/>
                <w:color w:val="000000"/>
              </w:rPr>
              <w:t>C</w:t>
            </w:r>
            <w:r w:rsidRPr="00043C12">
              <w:rPr>
                <w:rFonts w:ascii="Times New Roman" w:eastAsia="Times New Roman" w:hAnsi="Times New Roman" w:cs="Times New Roman"/>
                <w:b/>
                <w:bCs/>
                <w:color w:val="000000"/>
              </w:rPr>
              <w:noBreakHyphen/>
              <w:t>POW-RE</w:t>
            </w:r>
            <w:r w:rsidRPr="00043C12">
              <w:rPr>
                <w:rFonts w:ascii="Times New Roman" w:eastAsia="Times New Roman" w:hAnsi="Times New Roman" w:cs="Times New Roman"/>
                <w:b/>
                <w:bCs/>
                <w:color w:val="000000"/>
              </w:rPr>
              <w:noBreakHyphen/>
              <w:t>000</w:t>
            </w:r>
            <w:r>
              <w:rPr>
                <w:rFonts w:ascii="Times New Roman" w:eastAsia="Times New Roman" w:hAnsi="Times New Roman" w:cs="Times New Roman"/>
                <w:b/>
                <w:bCs/>
                <w:color w:val="000000"/>
              </w:rPr>
              <w:t>8</w:t>
            </w:r>
          </w:p>
        </w:tc>
      </w:tr>
    </w:tbl>
    <w:p w14:paraId="202633E7" w14:textId="4A00C27A" w:rsidR="00AA20E5" w:rsidRDefault="00AA20E5" w:rsidP="00F1699A">
      <w:pPr>
        <w:pStyle w:val="NumA1"/>
        <w:rPr>
          <w:rFonts w:eastAsia="Calibri"/>
        </w:rPr>
      </w:pPr>
      <w:r>
        <w:rPr>
          <w:rFonts w:eastAsia="Calibri"/>
        </w:rPr>
        <w:t>Nous soulignons que le Distributeur annonçait alors la mise en ligne du Guichet unique près d’un an après la décision D-2021-148, alors qu’il avait été en mesure de mettre en place la procédure d’Appel de proposition, soit une procédure complète d’appel d’offres, en moins de 6 semaines;</w:t>
      </w:r>
    </w:p>
    <w:p w14:paraId="6C20533E" w14:textId="2D57E62E" w:rsidR="007D7789" w:rsidRDefault="007D7789" w:rsidP="00F1699A">
      <w:pPr>
        <w:pStyle w:val="NumA1"/>
        <w:rPr>
          <w:rFonts w:eastAsia="Calibri"/>
        </w:rPr>
      </w:pPr>
      <w:r>
        <w:rPr>
          <w:rFonts w:eastAsia="Calibri"/>
        </w:rPr>
        <w:t>Malgré les déclarations publiques de sa direction et malgré les invitations à la prudence sur son site web, le Distributeur indique qu’il mettait des efforts considérables à la mise en ligne du Guichet unique et qu’il considérait toujours l’allocation du Solde du Bloc réservé au courant de l’été</w:t>
      </w:r>
      <w:r w:rsidR="009847D1">
        <w:rPr>
          <w:rFonts w:eastAsia="Calibri"/>
        </w:rPr>
        <w:t> </w:t>
      </w:r>
      <w:r>
        <w:rPr>
          <w:rFonts w:eastAsia="Calibri"/>
        </w:rPr>
        <w:t>2022 et jusqu’en octobre</w:t>
      </w:r>
      <w:r w:rsidR="009847D1">
        <w:rPr>
          <w:rFonts w:eastAsia="Calibri"/>
        </w:rPr>
        <w:t> </w:t>
      </w:r>
      <w:r>
        <w:rPr>
          <w:rFonts w:eastAsia="Calibri"/>
        </w:rPr>
        <w:t>2022, là où son plan d’approvisionnement</w:t>
      </w:r>
      <w:r w:rsidR="009847D1">
        <w:rPr>
          <w:rFonts w:eastAsia="Calibri"/>
        </w:rPr>
        <w:t> </w:t>
      </w:r>
      <w:r>
        <w:rPr>
          <w:rFonts w:eastAsia="Calibri"/>
        </w:rPr>
        <w:t xml:space="preserve">2023-2032 s’est concrétisé; </w:t>
      </w:r>
    </w:p>
    <w:tbl>
      <w:tblPr>
        <w:tblW w:w="8958" w:type="dxa"/>
        <w:tblInd w:w="648" w:type="dxa"/>
        <w:tblLook w:val="00A0" w:firstRow="1" w:lastRow="0" w:firstColumn="1" w:lastColumn="0" w:noHBand="0" w:noVBand="0"/>
      </w:tblPr>
      <w:tblGrid>
        <w:gridCol w:w="7272"/>
        <w:gridCol w:w="1686"/>
      </w:tblGrid>
      <w:tr w:rsidR="00043C12" w:rsidRPr="00726152" w14:paraId="4F67D701" w14:textId="77777777" w:rsidTr="00043C12">
        <w:tc>
          <w:tcPr>
            <w:tcW w:w="7272" w:type="dxa"/>
          </w:tcPr>
          <w:p w14:paraId="014DD15D" w14:textId="523376A4" w:rsidR="00043C12" w:rsidRPr="00726152" w:rsidRDefault="00043C12" w:rsidP="00043C12">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79,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17 à 25 et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80, ligne</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 à 2.</w:t>
            </w:r>
          </w:p>
        </w:tc>
        <w:tc>
          <w:tcPr>
            <w:tcW w:w="1686" w:type="dxa"/>
            <w:vMerge w:val="restart"/>
            <w:vAlign w:val="center"/>
          </w:tcPr>
          <w:p w14:paraId="216589E5" w14:textId="78FAEB49" w:rsidR="00043C12" w:rsidRPr="00043C12" w:rsidRDefault="00043C12" w:rsidP="00043C12">
            <w:pPr>
              <w:spacing w:before="120" w:after="120" w:line="240" w:lineRule="auto"/>
              <w:ind w:left="0" w:firstLine="0"/>
              <w:jc w:val="center"/>
              <w:rPr>
                <w:rFonts w:ascii="Times New Roman" w:eastAsia="Times New Roman" w:hAnsi="Times New Roman" w:cs="Times New Roman"/>
                <w:b/>
                <w:bCs/>
                <w:color w:val="000000"/>
              </w:rPr>
            </w:pPr>
            <w:r w:rsidRPr="00043C12">
              <w:rPr>
                <w:rFonts w:ascii="Times New Roman" w:eastAsia="Times New Roman" w:hAnsi="Times New Roman" w:cs="Times New Roman"/>
                <w:b/>
                <w:bCs/>
                <w:color w:val="000000"/>
                <w:szCs w:val="24"/>
              </w:rPr>
              <w:t>A-0010</w:t>
            </w:r>
          </w:p>
        </w:tc>
      </w:tr>
      <w:tr w:rsidR="00043C12" w:rsidRPr="00726152" w14:paraId="76CCBB39" w14:textId="77777777" w:rsidTr="00043C12">
        <w:tc>
          <w:tcPr>
            <w:tcW w:w="7272" w:type="dxa"/>
          </w:tcPr>
          <w:p w14:paraId="291EDA98" w14:textId="4F34F395" w:rsidR="00043C12" w:rsidRPr="005A02EE" w:rsidRDefault="00043C12" w:rsidP="00043C12">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82,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6 à 15.</w:t>
            </w:r>
          </w:p>
        </w:tc>
        <w:tc>
          <w:tcPr>
            <w:tcW w:w="1686" w:type="dxa"/>
            <w:vMerge/>
            <w:vAlign w:val="bottom"/>
          </w:tcPr>
          <w:p w14:paraId="1FB4D143" w14:textId="134CF166" w:rsidR="00043C12" w:rsidRDefault="00043C12" w:rsidP="00043C12">
            <w:pPr>
              <w:spacing w:before="120" w:after="120" w:line="240" w:lineRule="auto"/>
              <w:ind w:left="0" w:firstLine="0"/>
              <w:jc w:val="center"/>
              <w:rPr>
                <w:rFonts w:ascii="Times New Roman" w:eastAsia="Times New Roman" w:hAnsi="Times New Roman" w:cs="Times New Roman"/>
                <w:b/>
                <w:color w:val="000000"/>
              </w:rPr>
            </w:pPr>
          </w:p>
        </w:tc>
      </w:tr>
      <w:tr w:rsidR="007D7789" w:rsidRPr="00726152" w14:paraId="0BABD53B" w14:textId="77777777" w:rsidTr="009847D1">
        <w:tc>
          <w:tcPr>
            <w:tcW w:w="7272" w:type="dxa"/>
          </w:tcPr>
          <w:p w14:paraId="1442BE66" w14:textId="6D62479A" w:rsidR="007D7789" w:rsidRPr="005A02EE" w:rsidRDefault="007D7789" w:rsidP="00043C12">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107,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18 à 25 et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108,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 xml:space="preserve">1 à 13. </w:t>
            </w:r>
          </w:p>
        </w:tc>
        <w:tc>
          <w:tcPr>
            <w:tcW w:w="1686" w:type="dxa"/>
            <w:vAlign w:val="center"/>
          </w:tcPr>
          <w:p w14:paraId="5F8EFDCF" w14:textId="5304362F" w:rsidR="007D7789" w:rsidRDefault="00043C12" w:rsidP="009847D1">
            <w:pPr>
              <w:spacing w:before="120" w:after="120" w:line="240" w:lineRule="auto"/>
              <w:ind w:left="0" w:firstLine="0"/>
              <w:jc w:val="center"/>
              <w:rPr>
                <w:rFonts w:ascii="Times New Roman" w:eastAsia="Times New Roman" w:hAnsi="Times New Roman" w:cs="Times New Roman"/>
                <w:b/>
                <w:color w:val="000000"/>
              </w:rPr>
            </w:pPr>
            <w:r w:rsidRPr="00043C12">
              <w:rPr>
                <w:rFonts w:ascii="Times New Roman" w:eastAsia="Times New Roman" w:hAnsi="Times New Roman" w:cs="Times New Roman"/>
                <w:b/>
                <w:bCs/>
                <w:color w:val="000000"/>
                <w:szCs w:val="24"/>
              </w:rPr>
              <w:t>A-00</w:t>
            </w:r>
            <w:r>
              <w:rPr>
                <w:rFonts w:ascii="Times New Roman" w:eastAsia="Times New Roman" w:hAnsi="Times New Roman" w:cs="Times New Roman"/>
                <w:b/>
                <w:bCs/>
                <w:color w:val="000000"/>
                <w:szCs w:val="24"/>
              </w:rPr>
              <w:t>53</w:t>
            </w:r>
          </w:p>
        </w:tc>
      </w:tr>
    </w:tbl>
    <w:p w14:paraId="1B20F077" w14:textId="38E05B52" w:rsidR="007D7789" w:rsidRPr="00C84347" w:rsidRDefault="00C84347" w:rsidP="00C84347">
      <w:pPr>
        <w:pStyle w:val="NumA3"/>
      </w:pPr>
      <w:r w:rsidRPr="00C84347">
        <w:t>Rectification des faits</w:t>
      </w:r>
    </w:p>
    <w:p w14:paraId="121C2C0A" w14:textId="1DA2A0DA" w:rsidR="00C84347" w:rsidRDefault="00C84347" w:rsidP="00C84347">
      <w:pPr>
        <w:pStyle w:val="NumA1"/>
      </w:pPr>
      <w:r>
        <w:t>HIVE souhaite rectifier certains éléments de la plaidoirie du Distributeur relativement aux usages cryptographiques</w:t>
      </w:r>
      <w:r w:rsidR="006F0762">
        <w:t> </w:t>
      </w:r>
      <w:r>
        <w:t xml:space="preserve">: </w:t>
      </w:r>
    </w:p>
    <w:p w14:paraId="648F589E" w14:textId="65242E6C" w:rsidR="00C84347" w:rsidRPr="00C84347" w:rsidRDefault="00C84347" w:rsidP="00C84347">
      <w:pPr>
        <w:pStyle w:val="Bullet1"/>
      </w:pPr>
      <w:r w:rsidRPr="00C84347">
        <w:lastRenderedPageBreak/>
        <w:t>La preuve déposée au dossier ne révèle aucune turbulence dans le secteur cryptographique lié au phénomène de «</w:t>
      </w:r>
      <w:r w:rsidR="006F0762">
        <w:t> </w:t>
      </w:r>
      <w:r w:rsidRPr="00C84347">
        <w:t>halving</w:t>
      </w:r>
      <w:r w:rsidR="006F0762">
        <w:t> </w:t>
      </w:r>
      <w:r w:rsidRPr="00C84347">
        <w:t xml:space="preserve">». Plutôt, il a été amené en preuve que </w:t>
      </w:r>
      <w:r>
        <w:t xml:space="preserve">plusieurs joueurs bien établis </w:t>
      </w:r>
      <w:r w:rsidR="006C7575">
        <w:t xml:space="preserve">sont bien préparés à faire face à ces phénomènes. </w:t>
      </w:r>
      <w:r>
        <w:t>L</w:t>
      </w:r>
      <w:r w:rsidRPr="00C84347">
        <w:t>e phénomène de «</w:t>
      </w:r>
      <w:r w:rsidR="006F0762">
        <w:t> </w:t>
      </w:r>
      <w:r w:rsidRPr="00C84347">
        <w:t>halving</w:t>
      </w:r>
      <w:r w:rsidR="006F0762">
        <w:t> </w:t>
      </w:r>
      <w:r w:rsidRPr="00C84347">
        <w:t xml:space="preserve">» s’assimile aux courbes de croissance </w:t>
      </w:r>
      <w:r>
        <w:t xml:space="preserve">ou aux ralentissements économiques existant </w:t>
      </w:r>
      <w:r w:rsidRPr="00C84347">
        <w:t>dans tout secteur économique</w:t>
      </w:r>
      <w:r>
        <w:t xml:space="preserve">; </w:t>
      </w:r>
    </w:p>
    <w:tbl>
      <w:tblPr>
        <w:tblW w:w="8958" w:type="dxa"/>
        <w:tblInd w:w="648" w:type="dxa"/>
        <w:tblLook w:val="00A0" w:firstRow="1" w:lastRow="0" w:firstColumn="1" w:lastColumn="0" w:noHBand="0" w:noVBand="0"/>
      </w:tblPr>
      <w:tblGrid>
        <w:gridCol w:w="6822"/>
        <w:gridCol w:w="2136"/>
      </w:tblGrid>
      <w:tr w:rsidR="00C84347" w:rsidRPr="00726152" w14:paraId="595B56B6" w14:textId="77777777" w:rsidTr="00DB6A1A">
        <w:tc>
          <w:tcPr>
            <w:tcW w:w="6822" w:type="dxa"/>
          </w:tcPr>
          <w:p w14:paraId="232CE233" w14:textId="74239417" w:rsidR="00C84347" w:rsidRPr="00463245" w:rsidRDefault="00C84347" w:rsidP="00C84347">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Notes sténographiques, à la p. 17, lignes 7 à 25, à la p. 18 et à la p. 19, lignes 1 à 4. </w:t>
            </w:r>
          </w:p>
        </w:tc>
        <w:tc>
          <w:tcPr>
            <w:tcW w:w="2136" w:type="dxa"/>
            <w:vAlign w:val="center"/>
          </w:tcPr>
          <w:p w14:paraId="0BEE8B1C" w14:textId="2B9FDACF" w:rsidR="00C84347" w:rsidRPr="00726152" w:rsidRDefault="00C84347" w:rsidP="00C84347">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A-0058</w:t>
            </w:r>
          </w:p>
        </w:tc>
      </w:tr>
      <w:tr w:rsidR="00C84347" w:rsidRPr="00726152" w14:paraId="4613D1E0" w14:textId="77777777" w:rsidTr="00DB6A1A">
        <w:tc>
          <w:tcPr>
            <w:tcW w:w="6822" w:type="dxa"/>
          </w:tcPr>
          <w:p w14:paraId="1BADCA35" w14:textId="69050516" w:rsidR="00C84347" w:rsidRDefault="00C84347" w:rsidP="00C84347">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Notes sténographiques, à la p. 51, lignes 11 à 25, à la p. 52, lignes 1 à 20. </w:t>
            </w:r>
          </w:p>
        </w:tc>
        <w:tc>
          <w:tcPr>
            <w:tcW w:w="2136" w:type="dxa"/>
            <w:vAlign w:val="center"/>
          </w:tcPr>
          <w:p w14:paraId="753324B3" w14:textId="23BC4D62" w:rsidR="00C84347" w:rsidRDefault="00C84347" w:rsidP="00C84347">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A-0058</w:t>
            </w:r>
          </w:p>
        </w:tc>
      </w:tr>
      <w:tr w:rsidR="00C84347" w:rsidRPr="00726152" w14:paraId="78D1D06D" w14:textId="77777777" w:rsidTr="00DB6A1A">
        <w:tc>
          <w:tcPr>
            <w:tcW w:w="6822" w:type="dxa"/>
          </w:tcPr>
          <w:p w14:paraId="6C4BAEDA" w14:textId="1779F426" w:rsidR="00C84347" w:rsidRDefault="00C84347" w:rsidP="00C84347">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Notes sténographiques, à la p. 55, lignes 19 à 25 et à la p. 56, lignes 1 à 10. </w:t>
            </w:r>
          </w:p>
        </w:tc>
        <w:tc>
          <w:tcPr>
            <w:tcW w:w="2136" w:type="dxa"/>
            <w:vAlign w:val="center"/>
          </w:tcPr>
          <w:p w14:paraId="2E7FD316" w14:textId="7BF0F916" w:rsidR="00C84347" w:rsidRDefault="00C84347" w:rsidP="00C84347">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A-0058</w:t>
            </w:r>
          </w:p>
        </w:tc>
      </w:tr>
      <w:tr w:rsidR="00C84347" w:rsidRPr="00726152" w14:paraId="56556E48" w14:textId="77777777" w:rsidTr="00DB6A1A">
        <w:tc>
          <w:tcPr>
            <w:tcW w:w="6822" w:type="dxa"/>
          </w:tcPr>
          <w:p w14:paraId="31381218" w14:textId="52DB900C" w:rsidR="00C84347" w:rsidRDefault="00C84347" w:rsidP="00C84347">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Notes sténographiques, à la p. 66, lignes 16 à 25, à la p. 67 et à la p. 68, lignes 1 à 18. </w:t>
            </w:r>
          </w:p>
        </w:tc>
        <w:tc>
          <w:tcPr>
            <w:tcW w:w="2136" w:type="dxa"/>
            <w:vAlign w:val="center"/>
          </w:tcPr>
          <w:p w14:paraId="4F1AE87A" w14:textId="1CD0DFFE" w:rsidR="00C84347" w:rsidRDefault="00C84347" w:rsidP="00C84347">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A-0058</w:t>
            </w:r>
          </w:p>
        </w:tc>
      </w:tr>
    </w:tbl>
    <w:p w14:paraId="43976C91" w14:textId="535EFE07" w:rsidR="00C84347" w:rsidRDefault="00C84347" w:rsidP="00C84347">
      <w:pPr>
        <w:pStyle w:val="Bullet1"/>
      </w:pPr>
      <w:r>
        <w:t>La preuve déposée révèle que des emplois de qualité sont créés dans le secteur cryptographique;</w:t>
      </w:r>
    </w:p>
    <w:tbl>
      <w:tblPr>
        <w:tblW w:w="8958" w:type="dxa"/>
        <w:tblInd w:w="648" w:type="dxa"/>
        <w:tblLook w:val="00A0" w:firstRow="1" w:lastRow="0" w:firstColumn="1" w:lastColumn="0" w:noHBand="0" w:noVBand="0"/>
      </w:tblPr>
      <w:tblGrid>
        <w:gridCol w:w="6822"/>
        <w:gridCol w:w="2136"/>
      </w:tblGrid>
      <w:tr w:rsidR="00C84347" w:rsidRPr="00726152" w14:paraId="76469048" w14:textId="77777777" w:rsidTr="00DB6A1A">
        <w:tc>
          <w:tcPr>
            <w:tcW w:w="6822" w:type="dxa"/>
          </w:tcPr>
          <w:p w14:paraId="1879E35C" w14:textId="099384C1" w:rsidR="00C84347" w:rsidRPr="00463245" w:rsidRDefault="00C84347" w:rsidP="00DB6A1A">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Notes sténographiques, à la p. 13, lignes 6 à 21 et à la p. 21, lignes 11 à 17. </w:t>
            </w:r>
          </w:p>
        </w:tc>
        <w:tc>
          <w:tcPr>
            <w:tcW w:w="2136" w:type="dxa"/>
            <w:vAlign w:val="center"/>
          </w:tcPr>
          <w:p w14:paraId="17140668" w14:textId="7B82B3F8" w:rsidR="00C84347" w:rsidRPr="00726152" w:rsidRDefault="00C84347" w:rsidP="00DB6A1A">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A-0058</w:t>
            </w:r>
          </w:p>
        </w:tc>
      </w:tr>
      <w:tr w:rsidR="00C84347" w:rsidRPr="00726152" w14:paraId="6DAAB7BF" w14:textId="77777777" w:rsidTr="00DB6A1A">
        <w:tc>
          <w:tcPr>
            <w:tcW w:w="6822" w:type="dxa"/>
          </w:tcPr>
          <w:p w14:paraId="6C3A9DFD" w14:textId="00686BA6" w:rsidR="00C84347" w:rsidRDefault="00C84347" w:rsidP="00DB6A1A">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Affidavit de M. Aydin Kilic, au para 18. </w:t>
            </w:r>
          </w:p>
        </w:tc>
        <w:tc>
          <w:tcPr>
            <w:tcW w:w="2136" w:type="dxa"/>
            <w:vAlign w:val="center"/>
          </w:tcPr>
          <w:p w14:paraId="1FCBEF5E" w14:textId="7D35E7E2" w:rsidR="00C84347" w:rsidRDefault="00C84347" w:rsidP="00DB6A1A">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C-HIVE-0069</w:t>
            </w:r>
          </w:p>
        </w:tc>
      </w:tr>
    </w:tbl>
    <w:p w14:paraId="19A7E8AD" w14:textId="7F19C82A" w:rsidR="00945C2E" w:rsidRPr="00237C29" w:rsidRDefault="00945C2E" w:rsidP="00F1699A">
      <w:pPr>
        <w:pStyle w:val="NumA1"/>
      </w:pPr>
      <w:r w:rsidRPr="00C84347">
        <w:t>Considérant</w:t>
      </w:r>
      <w:r>
        <w:t xml:space="preserve"> ce contexte factuel, nous procèderons maintenant à l’analyse de la Demande selon le cadre juridique applicable; </w:t>
      </w:r>
    </w:p>
    <w:p w14:paraId="01457FFE" w14:textId="4B97A303" w:rsidR="000460D1" w:rsidRDefault="0073077C" w:rsidP="007D7789">
      <w:pPr>
        <w:pStyle w:val="NumA2"/>
        <w:keepNext/>
      </w:pPr>
      <w:r>
        <w:t>ANALYSE</w:t>
      </w:r>
    </w:p>
    <w:p w14:paraId="6EFF88FE" w14:textId="70376169" w:rsidR="00B51823" w:rsidRDefault="00B51823" w:rsidP="007D7789">
      <w:pPr>
        <w:pStyle w:val="NumA3"/>
        <w:numPr>
          <w:ilvl w:val="2"/>
          <w:numId w:val="15"/>
        </w:numPr>
      </w:pPr>
      <w:r>
        <w:t>Caractère contraignant de la décision</w:t>
      </w:r>
      <w:r w:rsidR="009847D1">
        <w:t> </w:t>
      </w:r>
      <w:r w:rsidR="007D7789">
        <w:t>D-2021-148</w:t>
      </w:r>
    </w:p>
    <w:p w14:paraId="31ADAF1D" w14:textId="10E40768" w:rsidR="007D7789" w:rsidRDefault="009B4317" w:rsidP="00F1699A">
      <w:pPr>
        <w:pStyle w:val="NumA1"/>
        <w:rPr>
          <w:rFonts w:eastAsia="Calibri"/>
          <w:snapToGrid w:val="0"/>
        </w:rPr>
      </w:pPr>
      <w:r>
        <w:rPr>
          <w:rFonts w:eastAsia="Calibri"/>
          <w:snapToGrid w:val="0"/>
        </w:rPr>
        <w:t>HIVE</w:t>
      </w:r>
      <w:r w:rsidR="007D7789" w:rsidRPr="001D6B14">
        <w:rPr>
          <w:rFonts w:eastAsia="Calibri"/>
          <w:snapToGrid w:val="0"/>
        </w:rPr>
        <w:t xml:space="preserve"> soumet que la Demande </w:t>
      </w:r>
      <w:r w:rsidR="00657EFA">
        <w:rPr>
          <w:rFonts w:eastAsia="Calibri"/>
          <w:snapToGrid w:val="0"/>
        </w:rPr>
        <w:t>vise à contourner la</w:t>
      </w:r>
      <w:r w:rsidR="007D7789" w:rsidRPr="001D6B14">
        <w:rPr>
          <w:rFonts w:eastAsia="Calibri"/>
          <w:snapToGrid w:val="0"/>
        </w:rPr>
        <w:t xml:space="preserve"> décision finale de la Régie</w:t>
      </w:r>
      <w:r w:rsidR="009847D1">
        <w:rPr>
          <w:rFonts w:eastAsia="Calibri"/>
          <w:snapToGrid w:val="0"/>
        </w:rPr>
        <w:t> </w:t>
      </w:r>
      <w:r w:rsidR="00657EFA">
        <w:rPr>
          <w:rFonts w:eastAsia="Calibri"/>
          <w:snapToGrid w:val="0"/>
        </w:rPr>
        <w:t>D-2021</w:t>
      </w:r>
      <w:r w:rsidR="00BC6BDB">
        <w:rPr>
          <w:rFonts w:eastAsia="Calibri"/>
          <w:snapToGrid w:val="0"/>
        </w:rPr>
        <w:noBreakHyphen/>
      </w:r>
      <w:r w:rsidR="00657EFA">
        <w:rPr>
          <w:rFonts w:eastAsia="Calibri"/>
          <w:snapToGrid w:val="0"/>
        </w:rPr>
        <w:t>148</w:t>
      </w:r>
      <w:r w:rsidR="007D7789" w:rsidRPr="000B0BA0">
        <w:rPr>
          <w:rFonts w:eastAsia="Calibri"/>
          <w:snapToGrid w:val="0"/>
        </w:rPr>
        <w:t>;</w:t>
      </w:r>
    </w:p>
    <w:p w14:paraId="6F23B3FD" w14:textId="14CF645D" w:rsidR="007D7789" w:rsidRDefault="000E52F6" w:rsidP="00F1699A">
      <w:pPr>
        <w:pStyle w:val="NumA1"/>
      </w:pPr>
      <w:r>
        <w:t>L</w:t>
      </w:r>
      <w:r w:rsidR="007D7789">
        <w:t xml:space="preserve">a Régie </w:t>
      </w:r>
      <w:r>
        <w:t xml:space="preserve">a déjà indiqué </w:t>
      </w:r>
      <w:r w:rsidR="00D8255A">
        <w:t>que la LRE devait être interprétée de manière à tenir compte du</w:t>
      </w:r>
      <w:r w:rsidR="007D7789">
        <w:t xml:space="preserve"> contexte évolutif de la </w:t>
      </w:r>
      <w:r w:rsidR="009025F6">
        <w:t>ré</w:t>
      </w:r>
      <w:r w:rsidR="00D8255A">
        <w:t>alité</w:t>
      </w:r>
      <w:r w:rsidR="007D7789">
        <w:t xml:space="preserve"> énergétique;</w:t>
      </w:r>
      <w:r>
        <w:t xml:space="preserve"> ceci dans le cadre de la décision autorisant la collaboration entre Hydro-Québec et Énergir pour la mise en place de la biénergie;</w:t>
      </w:r>
      <w:r w:rsidR="007D7789">
        <w:t xml:space="preserve"> </w:t>
      </w:r>
    </w:p>
    <w:tbl>
      <w:tblPr>
        <w:tblW w:w="8958" w:type="dxa"/>
        <w:tblInd w:w="648" w:type="dxa"/>
        <w:tblLook w:val="00A0" w:firstRow="1" w:lastRow="0" w:firstColumn="1" w:lastColumn="0" w:noHBand="0" w:noVBand="0"/>
      </w:tblPr>
      <w:tblGrid>
        <w:gridCol w:w="7002"/>
        <w:gridCol w:w="1956"/>
      </w:tblGrid>
      <w:tr w:rsidR="007D7789" w:rsidRPr="00726152" w14:paraId="2510272D" w14:textId="77777777" w:rsidTr="00043C12">
        <w:tc>
          <w:tcPr>
            <w:tcW w:w="7002" w:type="dxa"/>
          </w:tcPr>
          <w:p w14:paraId="47BCE38D" w14:textId="3792F667" w:rsidR="007D7789" w:rsidRPr="00726152" w:rsidRDefault="007D7789" w:rsidP="00E731DA">
            <w:pPr>
              <w:spacing w:before="120" w:after="0" w:line="240" w:lineRule="auto"/>
              <w:ind w:left="72" w:firstLine="0"/>
              <w:rPr>
                <w:rFonts w:ascii="Times New Roman" w:eastAsia="Times New Roman" w:hAnsi="Times New Roman" w:cs="Times New Roman"/>
                <w:color w:val="000000"/>
                <w:szCs w:val="24"/>
              </w:rPr>
            </w:pPr>
            <w:r w:rsidRPr="00851F20">
              <w:rPr>
                <w:rFonts w:eastAsia="Times New Roman"/>
              </w:rPr>
              <w:t>D-2022-079</w:t>
            </w:r>
            <w:r>
              <w:rPr>
                <w:rFonts w:eastAsia="Times New Roman"/>
              </w:rPr>
              <w:t xml:space="preserve"> (</w:t>
            </w:r>
            <w:r w:rsidRPr="00851F20">
              <w:rPr>
                <w:rFonts w:eastAsia="Times New Roman"/>
              </w:rPr>
              <w:t>R-4169-2021</w:t>
            </w:r>
            <w:r>
              <w:rPr>
                <w:rFonts w:eastAsia="Times New Roman"/>
              </w:rPr>
              <w:t>) aux paras</w:t>
            </w:r>
            <w:r w:rsidR="009847D1">
              <w:rPr>
                <w:rFonts w:eastAsia="Times New Roman"/>
              </w:rPr>
              <w:t> </w:t>
            </w:r>
            <w:r>
              <w:rPr>
                <w:rFonts w:eastAsia="Times New Roman"/>
              </w:rPr>
              <w:t>361, 366-367.</w:t>
            </w:r>
          </w:p>
        </w:tc>
        <w:tc>
          <w:tcPr>
            <w:tcW w:w="1956" w:type="dxa"/>
            <w:vAlign w:val="bottom"/>
          </w:tcPr>
          <w:p w14:paraId="34726EC4" w14:textId="61F8431F" w:rsidR="007D7789" w:rsidRPr="00726152" w:rsidRDefault="00043C12" w:rsidP="00043C12">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C-HIVE-0044</w:t>
            </w:r>
          </w:p>
        </w:tc>
      </w:tr>
    </w:tbl>
    <w:p w14:paraId="77BBB83E" w14:textId="6DC8C614" w:rsidR="007D7789" w:rsidRPr="00427AF9" w:rsidRDefault="00D8255A" w:rsidP="00F1699A">
      <w:pPr>
        <w:pStyle w:val="NumA1"/>
      </w:pPr>
      <w:r>
        <w:t xml:space="preserve">L’interprétation large de la LRE qui avait été mise de l’avant dans ce contexte </w:t>
      </w:r>
      <w:r w:rsidR="007D7789">
        <w:t>ne vient cependant pas limiter le principe de la chose jugée, dont bénéficient les décisions de la Régie;</w:t>
      </w:r>
    </w:p>
    <w:tbl>
      <w:tblPr>
        <w:tblW w:w="8958" w:type="dxa"/>
        <w:tblInd w:w="648" w:type="dxa"/>
        <w:tblLook w:val="00A0" w:firstRow="1" w:lastRow="0" w:firstColumn="1" w:lastColumn="0" w:noHBand="0" w:noVBand="0"/>
      </w:tblPr>
      <w:tblGrid>
        <w:gridCol w:w="7002"/>
        <w:gridCol w:w="1956"/>
      </w:tblGrid>
      <w:tr w:rsidR="007D7789" w:rsidRPr="00726152" w14:paraId="1C5FCE03" w14:textId="77777777" w:rsidTr="00043C12">
        <w:tc>
          <w:tcPr>
            <w:tcW w:w="7002" w:type="dxa"/>
          </w:tcPr>
          <w:p w14:paraId="77982CFD" w14:textId="77777777" w:rsidR="007D7789" w:rsidRPr="00726152" w:rsidRDefault="007D7789" w:rsidP="00E731DA">
            <w:pPr>
              <w:spacing w:before="120" w:after="0" w:line="240" w:lineRule="auto"/>
              <w:ind w:left="72" w:firstLine="0"/>
              <w:rPr>
                <w:rFonts w:ascii="Times New Roman" w:eastAsia="Times New Roman" w:hAnsi="Times New Roman" w:cs="Times New Roman"/>
                <w:color w:val="000000"/>
                <w:szCs w:val="24"/>
              </w:rPr>
            </w:pPr>
            <w:r w:rsidRPr="00427AF9">
              <w:rPr>
                <w:rFonts w:eastAsia="Times New Roman"/>
              </w:rPr>
              <w:t>D-2021-122</w:t>
            </w:r>
            <w:r>
              <w:rPr>
                <w:rFonts w:eastAsia="Times New Roman"/>
              </w:rPr>
              <w:t xml:space="preserve"> (</w:t>
            </w:r>
            <w:r w:rsidRPr="00427AF9">
              <w:rPr>
                <w:rFonts w:eastAsia="Times New Roman"/>
              </w:rPr>
              <w:t>R-4163-2021</w:t>
            </w:r>
            <w:r>
              <w:rPr>
                <w:rFonts w:eastAsia="Times New Roman"/>
              </w:rPr>
              <w:t>)</w:t>
            </w:r>
            <w:r>
              <w:rPr>
                <w:rFonts w:ascii="Times New Roman" w:eastAsia="Times New Roman" w:hAnsi="Times New Roman" w:cs="Times New Roman"/>
                <w:color w:val="000000"/>
                <w:szCs w:val="24"/>
              </w:rPr>
              <w:t>, au para. 40.</w:t>
            </w:r>
          </w:p>
        </w:tc>
        <w:tc>
          <w:tcPr>
            <w:tcW w:w="1956" w:type="dxa"/>
            <w:vAlign w:val="bottom"/>
          </w:tcPr>
          <w:p w14:paraId="2402D987" w14:textId="322809F1" w:rsidR="007D7789" w:rsidRPr="00726152" w:rsidRDefault="00043C12" w:rsidP="00043C12">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C-HIVE-0036</w:t>
            </w:r>
          </w:p>
        </w:tc>
      </w:tr>
      <w:tr w:rsidR="007D7789" w:rsidRPr="00726152" w14:paraId="6526D195" w14:textId="77777777" w:rsidTr="00043C12">
        <w:tc>
          <w:tcPr>
            <w:tcW w:w="7002" w:type="dxa"/>
          </w:tcPr>
          <w:p w14:paraId="226F04E2" w14:textId="77777777" w:rsidR="007D7789" w:rsidRPr="00427AF9" w:rsidRDefault="007D7789" w:rsidP="00E731DA">
            <w:pPr>
              <w:spacing w:before="120" w:after="0" w:line="240" w:lineRule="auto"/>
              <w:ind w:left="72" w:firstLine="0"/>
              <w:rPr>
                <w:rFonts w:eastAsia="Times New Roman"/>
              </w:rPr>
            </w:pPr>
            <w:r w:rsidRPr="00A811F4">
              <w:rPr>
                <w:rFonts w:eastAsia="Times New Roman"/>
              </w:rPr>
              <w:t>D-2020-086</w:t>
            </w:r>
            <w:r>
              <w:rPr>
                <w:rFonts w:eastAsia="Times New Roman"/>
              </w:rPr>
              <w:t xml:space="preserve"> (</w:t>
            </w:r>
            <w:r w:rsidRPr="00A811F4">
              <w:rPr>
                <w:rFonts w:eastAsia="Times New Roman"/>
              </w:rPr>
              <w:t>P-110-3184</w:t>
            </w:r>
            <w:r>
              <w:rPr>
                <w:rFonts w:eastAsia="Times New Roman"/>
              </w:rPr>
              <w:t>), au para. 37</w:t>
            </w:r>
          </w:p>
        </w:tc>
        <w:tc>
          <w:tcPr>
            <w:tcW w:w="1956" w:type="dxa"/>
            <w:vAlign w:val="bottom"/>
          </w:tcPr>
          <w:p w14:paraId="181B29FF" w14:textId="269FC095" w:rsidR="007D7789" w:rsidRPr="00726152" w:rsidRDefault="00043C12" w:rsidP="00043C12">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C-HIVE-0045</w:t>
            </w:r>
          </w:p>
        </w:tc>
      </w:tr>
      <w:tr w:rsidR="007D7789" w:rsidRPr="00726152" w14:paraId="1F7B45DC" w14:textId="77777777" w:rsidTr="00043C12">
        <w:tc>
          <w:tcPr>
            <w:tcW w:w="7002" w:type="dxa"/>
          </w:tcPr>
          <w:p w14:paraId="1D4338F1" w14:textId="77777777" w:rsidR="007D7789" w:rsidRPr="00A811F4" w:rsidRDefault="007D7789" w:rsidP="00E731DA">
            <w:pPr>
              <w:spacing w:before="120" w:after="0" w:line="240" w:lineRule="auto"/>
              <w:ind w:left="72" w:firstLine="0"/>
              <w:rPr>
                <w:rFonts w:eastAsia="Times New Roman"/>
              </w:rPr>
            </w:pPr>
            <w:r w:rsidRPr="00D13B68">
              <w:rPr>
                <w:rFonts w:eastAsia="Times New Roman"/>
              </w:rPr>
              <w:lastRenderedPageBreak/>
              <w:t>D-2022-095</w:t>
            </w:r>
            <w:r>
              <w:rPr>
                <w:rFonts w:eastAsia="Times New Roman"/>
              </w:rPr>
              <w:t xml:space="preserve"> (</w:t>
            </w:r>
            <w:r w:rsidRPr="00D13B68">
              <w:rPr>
                <w:rFonts w:eastAsia="Times New Roman"/>
              </w:rPr>
              <w:t>P-110-3536</w:t>
            </w:r>
            <w:r>
              <w:rPr>
                <w:rFonts w:eastAsia="Times New Roman"/>
              </w:rPr>
              <w:t>) au para. 35</w:t>
            </w:r>
          </w:p>
        </w:tc>
        <w:tc>
          <w:tcPr>
            <w:tcW w:w="1956" w:type="dxa"/>
            <w:vAlign w:val="bottom"/>
          </w:tcPr>
          <w:p w14:paraId="36EC3A09" w14:textId="695B14F6" w:rsidR="007D7789" w:rsidRPr="00726152" w:rsidRDefault="00043C12" w:rsidP="00043C12">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C-HIVE-0046</w:t>
            </w:r>
          </w:p>
        </w:tc>
      </w:tr>
    </w:tbl>
    <w:p w14:paraId="5733D38D" w14:textId="77777777" w:rsidR="007D7789" w:rsidRDefault="007D7789" w:rsidP="00F1699A">
      <w:pPr>
        <w:pStyle w:val="NumA1"/>
      </w:pPr>
      <w:r>
        <w:t xml:space="preserve">En effet, les décisions de la Régie sont finales et sans appel, sauf par ordonnance de révocation ou de révision de la décision par la Régie; </w:t>
      </w:r>
    </w:p>
    <w:p w14:paraId="7A479EC3" w14:textId="232D33C9" w:rsidR="007D7789" w:rsidRDefault="007D7789" w:rsidP="00F1699A">
      <w:pPr>
        <w:pStyle w:val="NumA1"/>
      </w:pPr>
      <w:r>
        <w:t>Les cas d’ouverture à la révision ou à la révocation sont prévus à l’article</w:t>
      </w:r>
      <w:r w:rsidR="009847D1">
        <w:t> </w:t>
      </w:r>
      <w:r>
        <w:t>37 de la LRE</w:t>
      </w:r>
      <w:r w:rsidR="009847D1">
        <w:t> </w:t>
      </w:r>
      <w:r>
        <w:t xml:space="preserve">: </w:t>
      </w:r>
    </w:p>
    <w:p w14:paraId="28A2972D" w14:textId="77777777" w:rsidR="007D7789" w:rsidRPr="00E70706" w:rsidRDefault="007D7789" w:rsidP="007D7789">
      <w:pPr>
        <w:pStyle w:val="Bullet2"/>
        <w:rPr>
          <w:rFonts w:eastAsia="Times New Roman"/>
        </w:rPr>
      </w:pPr>
      <w:r w:rsidRPr="00E70706">
        <w:rPr>
          <w:rFonts w:eastAsia="Times New Roman"/>
        </w:rPr>
        <w:t>Lorsqu’est découvert un fait nouveau qui, s’il avait été connu en temps utile, aurait pu justifier une décision différente;</w:t>
      </w:r>
    </w:p>
    <w:p w14:paraId="008E6867" w14:textId="77777777" w:rsidR="007D7789" w:rsidRPr="00E70706" w:rsidRDefault="007D7789" w:rsidP="007D7789">
      <w:pPr>
        <w:pStyle w:val="Bullet2"/>
        <w:rPr>
          <w:rFonts w:eastAsia="Times New Roman"/>
        </w:rPr>
      </w:pPr>
      <w:r w:rsidRPr="00E70706">
        <w:rPr>
          <w:rFonts w:eastAsia="Times New Roman"/>
        </w:rPr>
        <w:t>Lorsqu’une personne intéressée à l’affaire n’a pu, pour des raisons jugées suffisantes, présenter ses observations;</w:t>
      </w:r>
    </w:p>
    <w:p w14:paraId="7247DCBB" w14:textId="77777777" w:rsidR="007D7789" w:rsidRPr="00E70706" w:rsidRDefault="007D7789" w:rsidP="007D7789">
      <w:pPr>
        <w:pStyle w:val="Bullet2"/>
        <w:rPr>
          <w:rFonts w:eastAsia="Times New Roman"/>
        </w:rPr>
      </w:pPr>
      <w:r w:rsidRPr="00E70706">
        <w:rPr>
          <w:rFonts w:eastAsia="Times New Roman"/>
        </w:rPr>
        <w:t>Lorsqu’un vice de fond ou de procédure est de nature à invalider la décision.</w:t>
      </w:r>
    </w:p>
    <w:p w14:paraId="49EBDD4F" w14:textId="1B305F84" w:rsidR="007D7789" w:rsidRDefault="007D7789" w:rsidP="00F1699A">
      <w:pPr>
        <w:pStyle w:val="NumA1"/>
      </w:pPr>
      <w:r>
        <w:t>Les demandes de révision ou de révocation des décisions de la Régie doivent être déposées dans un délai de 30</w:t>
      </w:r>
      <w:r w:rsidR="009847D1">
        <w:t> </w:t>
      </w:r>
      <w:r>
        <w:t>jours de la décision attaquée, sauf circonstances exceptionnelles;</w:t>
      </w:r>
    </w:p>
    <w:tbl>
      <w:tblPr>
        <w:tblW w:w="8958" w:type="dxa"/>
        <w:tblInd w:w="648" w:type="dxa"/>
        <w:tblLook w:val="00A0" w:firstRow="1" w:lastRow="0" w:firstColumn="1" w:lastColumn="0" w:noHBand="0" w:noVBand="0"/>
      </w:tblPr>
      <w:tblGrid>
        <w:gridCol w:w="7182"/>
        <w:gridCol w:w="1776"/>
      </w:tblGrid>
      <w:tr w:rsidR="007D7789" w:rsidRPr="00726152" w14:paraId="0390531F" w14:textId="77777777" w:rsidTr="00043C12">
        <w:tc>
          <w:tcPr>
            <w:tcW w:w="7182" w:type="dxa"/>
          </w:tcPr>
          <w:p w14:paraId="7895E9F3" w14:textId="25CBE760" w:rsidR="007D7789" w:rsidRPr="00E70706" w:rsidRDefault="007D7789" w:rsidP="00E731DA">
            <w:pPr>
              <w:spacing w:before="120" w:after="0" w:line="240" w:lineRule="auto"/>
              <w:ind w:left="72" w:firstLine="0"/>
              <w:rPr>
                <w:rFonts w:ascii="Times New Roman" w:eastAsia="Times New Roman" w:hAnsi="Times New Roman" w:cs="Times New Roman"/>
                <w:color w:val="000000"/>
                <w:szCs w:val="24"/>
              </w:rPr>
            </w:pPr>
            <w:r w:rsidRPr="00E70706">
              <w:rPr>
                <w:rFonts w:ascii="Times New Roman" w:eastAsia="Times New Roman" w:hAnsi="Times New Roman" w:cs="Times New Roman"/>
                <w:i/>
                <w:iCs/>
                <w:color w:val="000000"/>
                <w:szCs w:val="24"/>
              </w:rPr>
              <w:t>Québec (Procureur général) c. Bélanger</w:t>
            </w:r>
            <w:r>
              <w:rPr>
                <w:rFonts w:ascii="Times New Roman" w:eastAsia="Times New Roman" w:hAnsi="Times New Roman" w:cs="Times New Roman"/>
                <w:color w:val="000000"/>
                <w:szCs w:val="24"/>
              </w:rPr>
              <w:t xml:space="preserve">, </w:t>
            </w:r>
            <w:r w:rsidRPr="00E70706">
              <w:rPr>
                <w:rFonts w:ascii="Times New Roman" w:eastAsia="Times New Roman" w:hAnsi="Times New Roman" w:cs="Times New Roman"/>
                <w:color w:val="000000"/>
                <w:szCs w:val="24"/>
              </w:rPr>
              <w:t>2012 QCCA 1669</w:t>
            </w:r>
            <w:r>
              <w:rPr>
                <w:rFonts w:ascii="Times New Roman" w:eastAsia="Times New Roman" w:hAnsi="Times New Roman" w:cs="Times New Roman"/>
                <w:color w:val="000000"/>
                <w:szCs w:val="24"/>
              </w:rPr>
              <w:t xml:space="preserve"> aux paras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30-33.</w:t>
            </w:r>
          </w:p>
        </w:tc>
        <w:tc>
          <w:tcPr>
            <w:tcW w:w="1776" w:type="dxa"/>
            <w:vAlign w:val="bottom"/>
          </w:tcPr>
          <w:p w14:paraId="2A3D0FB5" w14:textId="26C29801" w:rsidR="007D7789" w:rsidRPr="00726152" w:rsidRDefault="00043C12" w:rsidP="00043C12">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C-HIVE-0047</w:t>
            </w:r>
          </w:p>
        </w:tc>
      </w:tr>
      <w:tr w:rsidR="007D7789" w:rsidRPr="00726152" w14:paraId="7CC395A0" w14:textId="77777777" w:rsidTr="00043C12">
        <w:tc>
          <w:tcPr>
            <w:tcW w:w="7182" w:type="dxa"/>
          </w:tcPr>
          <w:p w14:paraId="52D180DC" w14:textId="77777777" w:rsidR="007D7789" w:rsidRPr="00726152" w:rsidRDefault="007D7789" w:rsidP="00E731DA">
            <w:pPr>
              <w:spacing w:before="120" w:after="0" w:line="240" w:lineRule="auto"/>
              <w:ind w:left="72" w:firstLine="0"/>
              <w:rPr>
                <w:rFonts w:ascii="Times New Roman" w:eastAsia="Times New Roman" w:hAnsi="Times New Roman" w:cs="Times New Roman"/>
                <w:color w:val="000000"/>
                <w:szCs w:val="24"/>
              </w:rPr>
            </w:pPr>
            <w:r w:rsidRPr="00E70706">
              <w:rPr>
                <w:rFonts w:ascii="Times New Roman" w:eastAsia="Times New Roman" w:hAnsi="Times New Roman" w:cs="Times New Roman"/>
                <w:color w:val="000000"/>
                <w:szCs w:val="24"/>
              </w:rPr>
              <w:t>D-2012-141</w:t>
            </w:r>
            <w:r>
              <w:rPr>
                <w:rFonts w:ascii="Times New Roman" w:eastAsia="Times New Roman" w:hAnsi="Times New Roman" w:cs="Times New Roman"/>
                <w:color w:val="000000"/>
                <w:szCs w:val="24"/>
              </w:rPr>
              <w:t xml:space="preserve"> (</w:t>
            </w:r>
            <w:r w:rsidRPr="00E70706">
              <w:rPr>
                <w:rFonts w:ascii="Times New Roman" w:eastAsia="Times New Roman" w:hAnsi="Times New Roman" w:cs="Times New Roman"/>
                <w:color w:val="000000"/>
                <w:szCs w:val="24"/>
              </w:rPr>
              <w:t>R-3815-2012</w:t>
            </w:r>
            <w:r>
              <w:rPr>
                <w:rFonts w:ascii="Times New Roman" w:eastAsia="Times New Roman" w:hAnsi="Times New Roman" w:cs="Times New Roman"/>
                <w:color w:val="000000"/>
                <w:szCs w:val="24"/>
              </w:rPr>
              <w:t xml:space="preserve">). </w:t>
            </w:r>
          </w:p>
        </w:tc>
        <w:tc>
          <w:tcPr>
            <w:tcW w:w="1776" w:type="dxa"/>
            <w:vAlign w:val="bottom"/>
          </w:tcPr>
          <w:p w14:paraId="4A496564" w14:textId="4C339819" w:rsidR="007D7789" w:rsidRPr="00726152" w:rsidRDefault="009847D1" w:rsidP="00043C12">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w:t>
            </w:r>
            <w:r w:rsidR="00043C12">
              <w:rPr>
                <w:rFonts w:ascii="Times New Roman" w:eastAsia="Times New Roman" w:hAnsi="Times New Roman" w:cs="Times New Roman"/>
                <w:b/>
                <w:color w:val="000000"/>
              </w:rPr>
              <w:t>-HIVE-0033</w:t>
            </w:r>
          </w:p>
        </w:tc>
      </w:tr>
      <w:tr w:rsidR="007D7789" w:rsidRPr="00726152" w14:paraId="7094CE84" w14:textId="77777777" w:rsidTr="00043C12">
        <w:tc>
          <w:tcPr>
            <w:tcW w:w="7182" w:type="dxa"/>
          </w:tcPr>
          <w:p w14:paraId="76501554" w14:textId="77777777" w:rsidR="007D7789" w:rsidRPr="00E70706" w:rsidRDefault="007D7789" w:rsidP="00E731DA">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D-2017-102 (R-3959-2016; R-3961-2016).</w:t>
            </w:r>
          </w:p>
        </w:tc>
        <w:tc>
          <w:tcPr>
            <w:tcW w:w="1776" w:type="dxa"/>
            <w:vAlign w:val="bottom"/>
          </w:tcPr>
          <w:p w14:paraId="794F419B" w14:textId="3B73348B" w:rsidR="007D7789" w:rsidRPr="00726152" w:rsidRDefault="009847D1" w:rsidP="00043C12">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w:t>
            </w:r>
            <w:r w:rsidR="00043C12">
              <w:rPr>
                <w:rFonts w:ascii="Times New Roman" w:eastAsia="Times New Roman" w:hAnsi="Times New Roman" w:cs="Times New Roman"/>
                <w:b/>
                <w:color w:val="000000"/>
              </w:rPr>
              <w:t>-HIVE-0048</w:t>
            </w:r>
          </w:p>
        </w:tc>
      </w:tr>
      <w:tr w:rsidR="007D7789" w:rsidRPr="00726152" w14:paraId="78F07A96" w14:textId="77777777" w:rsidTr="00043C12">
        <w:tc>
          <w:tcPr>
            <w:tcW w:w="7182" w:type="dxa"/>
          </w:tcPr>
          <w:p w14:paraId="17C39DDC" w14:textId="77777777" w:rsidR="007D7789" w:rsidRDefault="007D7789" w:rsidP="00E731DA">
            <w:pPr>
              <w:spacing w:before="120" w:after="0" w:line="240" w:lineRule="auto"/>
              <w:ind w:left="72" w:firstLine="0"/>
              <w:rPr>
                <w:rFonts w:ascii="Times New Roman" w:eastAsia="Times New Roman" w:hAnsi="Times New Roman" w:cs="Times New Roman"/>
                <w:color w:val="000000"/>
                <w:szCs w:val="24"/>
              </w:rPr>
            </w:pPr>
            <w:r w:rsidRPr="000D5BA1">
              <w:rPr>
                <w:rFonts w:ascii="Times New Roman" w:eastAsia="Times New Roman" w:hAnsi="Times New Roman" w:cs="Times New Roman"/>
                <w:color w:val="000000"/>
                <w:szCs w:val="24"/>
              </w:rPr>
              <w:t>D-2019-098; D-2019-098R</w:t>
            </w:r>
            <w:r>
              <w:rPr>
                <w:rFonts w:ascii="Times New Roman" w:eastAsia="Times New Roman" w:hAnsi="Times New Roman" w:cs="Times New Roman"/>
                <w:color w:val="000000"/>
                <w:szCs w:val="24"/>
              </w:rPr>
              <w:t xml:space="preserve"> (</w:t>
            </w:r>
            <w:r w:rsidRPr="000D5BA1">
              <w:rPr>
                <w:rFonts w:ascii="Times New Roman" w:eastAsia="Times New Roman" w:hAnsi="Times New Roman" w:cs="Times New Roman"/>
                <w:color w:val="000000"/>
                <w:szCs w:val="24"/>
              </w:rPr>
              <w:t>P‑110‑3272</w:t>
            </w:r>
            <w:r>
              <w:rPr>
                <w:rFonts w:ascii="Times New Roman" w:eastAsia="Times New Roman" w:hAnsi="Times New Roman" w:cs="Times New Roman"/>
                <w:color w:val="000000"/>
                <w:szCs w:val="24"/>
              </w:rPr>
              <w:t>) au para. 44.</w:t>
            </w:r>
          </w:p>
        </w:tc>
        <w:tc>
          <w:tcPr>
            <w:tcW w:w="1776" w:type="dxa"/>
            <w:vAlign w:val="bottom"/>
          </w:tcPr>
          <w:p w14:paraId="468BB6CC" w14:textId="187A7A72" w:rsidR="007D7789" w:rsidRDefault="00043C12" w:rsidP="00043C12">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C-HIVE-0037</w:t>
            </w:r>
          </w:p>
        </w:tc>
      </w:tr>
    </w:tbl>
    <w:p w14:paraId="3C9BBB76" w14:textId="77777777" w:rsidR="007D7789" w:rsidRDefault="007D7789" w:rsidP="00F1699A">
      <w:pPr>
        <w:pStyle w:val="NumA1"/>
      </w:pPr>
      <w:r>
        <w:t xml:space="preserve">Dans le cadre de la révision d’une décision, la Régie n’est pas appelée </w:t>
      </w:r>
      <w:r w:rsidRPr="00D91AB0">
        <w:t>à reconsidérer le fondement de la décision pour apprécier à nouveau les faits et rendre une décision plus appropriée</w:t>
      </w:r>
      <w:r>
        <w:t xml:space="preserve">; il ne s’agit pas non plus d’un moyen </w:t>
      </w:r>
      <w:r w:rsidRPr="00F16242">
        <w:t>par lequel la formation en révision substituerait sa propre appréciation des faits à celle de la première formation</w:t>
      </w:r>
      <w:r>
        <w:t>;</w:t>
      </w:r>
    </w:p>
    <w:tbl>
      <w:tblPr>
        <w:tblW w:w="8958" w:type="dxa"/>
        <w:tblInd w:w="648" w:type="dxa"/>
        <w:tblLook w:val="00A0" w:firstRow="1" w:lastRow="0" w:firstColumn="1" w:lastColumn="0" w:noHBand="0" w:noVBand="0"/>
      </w:tblPr>
      <w:tblGrid>
        <w:gridCol w:w="7272"/>
        <w:gridCol w:w="1686"/>
      </w:tblGrid>
      <w:tr w:rsidR="007D7789" w:rsidRPr="00726152" w14:paraId="438FA655" w14:textId="77777777" w:rsidTr="00043C12">
        <w:tc>
          <w:tcPr>
            <w:tcW w:w="7272" w:type="dxa"/>
          </w:tcPr>
          <w:p w14:paraId="3D737828" w14:textId="77777777" w:rsidR="007D7789" w:rsidRPr="00E70706" w:rsidRDefault="007D7789" w:rsidP="00E731DA">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D-2017-017 (</w:t>
            </w:r>
            <w:r w:rsidRPr="00C92337">
              <w:t>P-110-3074R</w:t>
            </w:r>
            <w:r>
              <w:rPr>
                <w:rFonts w:ascii="Times New Roman" w:eastAsia="Times New Roman" w:hAnsi="Times New Roman" w:cs="Times New Roman"/>
                <w:color w:val="000000"/>
                <w:szCs w:val="24"/>
              </w:rPr>
              <w:t>) aux paras. 23-24.</w:t>
            </w:r>
          </w:p>
        </w:tc>
        <w:tc>
          <w:tcPr>
            <w:tcW w:w="1686" w:type="dxa"/>
            <w:vAlign w:val="bottom"/>
          </w:tcPr>
          <w:p w14:paraId="11D56BA7" w14:textId="05BFC8EE" w:rsidR="007D7789" w:rsidRPr="00726152" w:rsidRDefault="00043C12" w:rsidP="00043C12">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C-HIVE-0049</w:t>
            </w:r>
          </w:p>
        </w:tc>
      </w:tr>
    </w:tbl>
    <w:p w14:paraId="57B562F4" w14:textId="6114D6C1" w:rsidR="00B14551" w:rsidRDefault="00B14551" w:rsidP="00F1699A">
      <w:pPr>
        <w:pStyle w:val="NumA1"/>
      </w:pPr>
      <w:r>
        <w:t>La décision</w:t>
      </w:r>
      <w:r w:rsidR="009847D1">
        <w:t> </w:t>
      </w:r>
      <w:r>
        <w:t>D-2021-148 ne laisse place à aucune ambiguïté quant à sa force exécutoire. Notamment, la Régie indiquait les éléments suivants dans sa décision</w:t>
      </w:r>
      <w:r w:rsidR="009847D1">
        <w:t> </w:t>
      </w:r>
      <w:r>
        <w:t xml:space="preserve">: </w:t>
      </w:r>
    </w:p>
    <w:p w14:paraId="25A12B7E" w14:textId="6390F6D0" w:rsidR="00B14551" w:rsidRDefault="00B14551" w:rsidP="00043C12">
      <w:pPr>
        <w:pStyle w:val="Bullet1"/>
      </w:pPr>
      <w:r>
        <w:t xml:space="preserve">La </w:t>
      </w:r>
      <w:r w:rsidRPr="00043C12">
        <w:t>taille</w:t>
      </w:r>
      <w:r>
        <w:t xml:space="preserve"> du Bloc réservé a été fixée de </w:t>
      </w:r>
      <w:r w:rsidRPr="006841DD">
        <w:t>façon</w:t>
      </w:r>
      <w:r>
        <w:t xml:space="preserve"> définitive dans la décision</w:t>
      </w:r>
      <w:r w:rsidR="009847D1">
        <w:t> </w:t>
      </w:r>
      <w:r>
        <w:t xml:space="preserve">D-2019-052 et il n’était pas question, dans le cadre des audiences ultérieures, de le réviser à la baisse; </w:t>
      </w:r>
    </w:p>
    <w:p w14:paraId="3927F18C" w14:textId="4973C074" w:rsidR="00B14551" w:rsidRPr="002665BD" w:rsidRDefault="00B14551" w:rsidP="00B14551">
      <w:pPr>
        <w:pStyle w:val="ParaNum11"/>
        <w:numPr>
          <w:ilvl w:val="0"/>
          <w:numId w:val="0"/>
        </w:numPr>
        <w:ind w:left="1440" w:right="720"/>
        <w:rPr>
          <w:sz w:val="22"/>
        </w:rPr>
      </w:pPr>
      <w:r w:rsidRPr="002665BD">
        <w:rPr>
          <w:sz w:val="22"/>
        </w:rPr>
        <w:t>«</w:t>
      </w:r>
      <w:r w:rsidR="006F0762">
        <w:rPr>
          <w:sz w:val="22"/>
        </w:rPr>
        <w:t> </w:t>
      </w:r>
      <w:r w:rsidRPr="002665BD">
        <w:rPr>
          <w:sz w:val="22"/>
        </w:rPr>
        <w:t xml:space="preserve">[64] </w:t>
      </w:r>
      <w:r w:rsidRPr="002665BD">
        <w:rPr>
          <w:sz w:val="22"/>
          <w:u w:val="single"/>
        </w:rPr>
        <w:t>La réévaluation du volume d’énergie réservé pour l’usage cryptographique</w:t>
      </w:r>
      <w:r w:rsidRPr="002665BD">
        <w:rPr>
          <w:sz w:val="22"/>
        </w:rPr>
        <w:t xml:space="preserve"> appliqué aux chaînes de blocs, dans le cadre des suivis demandés par la Régie, </w:t>
      </w:r>
      <w:r w:rsidRPr="002665BD">
        <w:rPr>
          <w:b/>
          <w:bCs/>
          <w:sz w:val="22"/>
          <w:u w:val="single"/>
        </w:rPr>
        <w:t>visait à évaluer s’il était possible d’augmenter la quantité d’énergie disponible pour cette industrie. Il n’était pas question de réviser à la baisse la taille du Bloc dédié fixée de façon définitive par la décision</w:t>
      </w:r>
      <w:r w:rsidR="009847D1">
        <w:rPr>
          <w:b/>
          <w:bCs/>
          <w:sz w:val="22"/>
          <w:u w:val="single"/>
        </w:rPr>
        <w:t> </w:t>
      </w:r>
      <w:r w:rsidRPr="002665BD">
        <w:rPr>
          <w:b/>
          <w:bCs/>
          <w:sz w:val="22"/>
          <w:u w:val="single"/>
        </w:rPr>
        <w:t>D-2019-052</w:t>
      </w:r>
      <w:r w:rsidRPr="002665BD">
        <w:rPr>
          <w:sz w:val="22"/>
        </w:rPr>
        <w:t xml:space="preserve">.  </w:t>
      </w:r>
    </w:p>
    <w:p w14:paraId="4C6A4779" w14:textId="720178CB" w:rsidR="00B14551" w:rsidRPr="002665BD" w:rsidRDefault="00B14551" w:rsidP="00B14551">
      <w:pPr>
        <w:pStyle w:val="ParaNum11"/>
        <w:numPr>
          <w:ilvl w:val="0"/>
          <w:numId w:val="0"/>
        </w:numPr>
        <w:ind w:left="1440" w:right="720"/>
        <w:rPr>
          <w:sz w:val="22"/>
        </w:rPr>
      </w:pPr>
      <w:r w:rsidRPr="002665BD">
        <w:rPr>
          <w:sz w:val="22"/>
        </w:rPr>
        <w:lastRenderedPageBreak/>
        <w:t>[65] Par ailleurs, au paragraphe</w:t>
      </w:r>
      <w:r w:rsidR="009847D1">
        <w:rPr>
          <w:sz w:val="22"/>
        </w:rPr>
        <w:t> </w:t>
      </w:r>
      <w:r w:rsidRPr="002665BD">
        <w:rPr>
          <w:sz w:val="22"/>
        </w:rPr>
        <w:t>171 de sa décision</w:t>
      </w:r>
      <w:r w:rsidR="009847D1">
        <w:rPr>
          <w:sz w:val="22"/>
        </w:rPr>
        <w:t> </w:t>
      </w:r>
      <w:r w:rsidRPr="002665BD">
        <w:rPr>
          <w:sz w:val="22"/>
        </w:rPr>
        <w:t>D-2021-007, la Régie offrait une option au Distributeur lui permettant de déposer une demande visant à réviser la taille du solde du Bloc dédié s’il le jugeait nécessaire, compte tenu des changements du contexte énergétique. Il ne s’agissait aucunement d’une invitation à réexaminer et réviser la taille du Bloc dédié</w:t>
      </w:r>
      <w:r w:rsidR="009847D1">
        <w:rPr>
          <w:sz w:val="22"/>
        </w:rPr>
        <w:t> </w:t>
      </w:r>
      <w:r w:rsidRPr="002665BD">
        <w:rPr>
          <w:sz w:val="22"/>
        </w:rPr>
        <w:t xml:space="preserve">:  </w:t>
      </w:r>
    </w:p>
    <w:p w14:paraId="2444CEF7" w14:textId="2947E50D" w:rsidR="00B14551" w:rsidRPr="002665BD" w:rsidRDefault="009847D1" w:rsidP="00B14551">
      <w:pPr>
        <w:pStyle w:val="ParaNum11"/>
        <w:numPr>
          <w:ilvl w:val="0"/>
          <w:numId w:val="0"/>
        </w:numPr>
        <w:ind w:left="2160" w:right="720"/>
        <w:rPr>
          <w:sz w:val="22"/>
        </w:rPr>
      </w:pPr>
      <w:r>
        <w:rPr>
          <w:sz w:val="22"/>
        </w:rPr>
        <w:t>“</w:t>
      </w:r>
      <w:r w:rsidR="00B14551" w:rsidRPr="002665BD">
        <w:rPr>
          <w:sz w:val="22"/>
        </w:rPr>
        <w:t xml:space="preserve">[170] </w:t>
      </w:r>
      <w:r w:rsidR="00B14551" w:rsidRPr="002665BD">
        <w:rPr>
          <w:sz w:val="22"/>
          <w:u w:val="single"/>
        </w:rPr>
        <w:t>La Régie note cependant que, selon le Distributeur, le contexte énergétique a évolué depuis l’étape</w:t>
      </w:r>
      <w:r>
        <w:rPr>
          <w:sz w:val="22"/>
          <w:u w:val="single"/>
        </w:rPr>
        <w:t> </w:t>
      </w:r>
      <w:r w:rsidR="00B14551" w:rsidRPr="002665BD">
        <w:rPr>
          <w:sz w:val="22"/>
          <w:u w:val="single"/>
        </w:rPr>
        <w:t>2 du dossier et que désormais ses bilans de puissance et d’énergie sont serrés</w:t>
      </w:r>
      <w:r w:rsidR="00B14551" w:rsidRPr="002665BD">
        <w:rPr>
          <w:sz w:val="22"/>
        </w:rPr>
        <w:t xml:space="preserve">.   </w:t>
      </w:r>
    </w:p>
    <w:p w14:paraId="7EC4A3AE" w14:textId="787CA3EF" w:rsidR="00B14551" w:rsidRPr="002665BD" w:rsidRDefault="00B14551" w:rsidP="00B14551">
      <w:pPr>
        <w:pStyle w:val="ParaNum11"/>
        <w:numPr>
          <w:ilvl w:val="0"/>
          <w:numId w:val="0"/>
        </w:numPr>
        <w:ind w:left="2160" w:right="720"/>
        <w:rPr>
          <w:sz w:val="22"/>
        </w:rPr>
      </w:pPr>
      <w:r w:rsidRPr="002665BD">
        <w:rPr>
          <w:sz w:val="22"/>
        </w:rPr>
        <w:t xml:space="preserve">[171] Considérant ce qui précède, la Régie souligne que si le Distributeur souhaite que le nombre de mégawatts prévu dans le Bloc dédié soit revu et donc obtenir une modification de l’encadrement de son obligation de desservir établi par la Régie au présent dossier, </w:t>
      </w:r>
      <w:r w:rsidRPr="002665BD">
        <w:rPr>
          <w:sz w:val="22"/>
          <w:u w:val="single"/>
        </w:rPr>
        <w:t>il devra présenter cette demande dans le cadre de la phase</w:t>
      </w:r>
      <w:r w:rsidR="009847D1">
        <w:rPr>
          <w:sz w:val="22"/>
          <w:u w:val="single"/>
        </w:rPr>
        <w:t> </w:t>
      </w:r>
      <w:r w:rsidRPr="002665BD">
        <w:rPr>
          <w:sz w:val="22"/>
          <w:u w:val="single"/>
        </w:rPr>
        <w:t>3</w:t>
      </w:r>
      <w:r>
        <w:rPr>
          <w:sz w:val="22"/>
        </w:rPr>
        <w:t>.</w:t>
      </w:r>
      <w:r w:rsidR="009847D1">
        <w:rPr>
          <w:sz w:val="22"/>
        </w:rPr>
        <w:t>”</w:t>
      </w:r>
    </w:p>
    <w:p w14:paraId="58C85520" w14:textId="55BC3962" w:rsidR="00B14551" w:rsidRDefault="00B14551" w:rsidP="00B14551">
      <w:pPr>
        <w:pStyle w:val="ParaNum11"/>
        <w:numPr>
          <w:ilvl w:val="0"/>
          <w:numId w:val="0"/>
        </w:numPr>
        <w:ind w:left="1440" w:right="720"/>
        <w:rPr>
          <w:sz w:val="22"/>
        </w:rPr>
      </w:pPr>
      <w:r w:rsidRPr="002665BD">
        <w:rPr>
          <w:sz w:val="22"/>
        </w:rPr>
        <w:t xml:space="preserve">[66] Ainsi, </w:t>
      </w:r>
      <w:r w:rsidRPr="002665BD">
        <w:rPr>
          <w:b/>
          <w:bCs/>
          <w:sz w:val="22"/>
          <w:u w:val="single"/>
        </w:rPr>
        <w:t>conformément aux décisions de la Régie, la totalité du solde du Bloc dédié doit être offerte dans le cadre du Processus d’attribution visant à l’écouler</w:t>
      </w:r>
      <w:r w:rsidRPr="002665BD">
        <w:rPr>
          <w:sz w:val="22"/>
        </w:rPr>
        <w:t>. La Régie ne retient donc pas la proposition du RNCREQ visant à étaler sur trois années le solde du Bloc dédié à être attribué et à tenir une phase</w:t>
      </w:r>
      <w:r w:rsidR="009847D1">
        <w:rPr>
          <w:sz w:val="22"/>
        </w:rPr>
        <w:t> </w:t>
      </w:r>
      <w:r w:rsidRPr="002665BD">
        <w:rPr>
          <w:sz w:val="22"/>
        </w:rPr>
        <w:t>4 afin de réévaluer à la baisse la taille du Bloc dédié, telle que fixée dans le cadre de la décision</w:t>
      </w:r>
      <w:r w:rsidR="009847D1">
        <w:rPr>
          <w:sz w:val="22"/>
        </w:rPr>
        <w:t> </w:t>
      </w:r>
      <w:r w:rsidRPr="002665BD">
        <w:rPr>
          <w:sz w:val="22"/>
        </w:rPr>
        <w:t>D-2019-052.</w:t>
      </w:r>
      <w:r w:rsidR="006F0762">
        <w:rPr>
          <w:sz w:val="22"/>
        </w:rPr>
        <w:t> </w:t>
      </w:r>
      <w:r w:rsidRPr="002665BD">
        <w:rPr>
          <w:sz w:val="22"/>
        </w:rPr>
        <w:t>»</w:t>
      </w:r>
    </w:p>
    <w:p w14:paraId="7AD42F4F" w14:textId="1876A3D7" w:rsidR="00B14551" w:rsidRDefault="00B14551" w:rsidP="00B14551">
      <w:pPr>
        <w:pStyle w:val="QuoteCitation"/>
      </w:pPr>
      <w:r>
        <w:t>[Nous soulignons]</w:t>
      </w:r>
    </w:p>
    <w:tbl>
      <w:tblPr>
        <w:tblW w:w="8958" w:type="dxa"/>
        <w:tblInd w:w="648" w:type="dxa"/>
        <w:tblLook w:val="00A0" w:firstRow="1" w:lastRow="0" w:firstColumn="1" w:lastColumn="0" w:noHBand="0" w:noVBand="0"/>
      </w:tblPr>
      <w:tblGrid>
        <w:gridCol w:w="7092"/>
        <w:gridCol w:w="1866"/>
      </w:tblGrid>
      <w:tr w:rsidR="00B14551" w:rsidRPr="00726152" w14:paraId="74929EC3" w14:textId="77777777" w:rsidTr="00043C12">
        <w:tc>
          <w:tcPr>
            <w:tcW w:w="7092" w:type="dxa"/>
          </w:tcPr>
          <w:p w14:paraId="275292EF" w14:textId="6ACE8683" w:rsidR="00B14551" w:rsidRPr="00E70706" w:rsidRDefault="00B14551" w:rsidP="00CB5458">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D-2021-148 (R-3959-2016; </w:t>
            </w:r>
            <w:r w:rsidRPr="00E70706">
              <w:rPr>
                <w:rFonts w:ascii="Times New Roman" w:eastAsia="Times New Roman" w:hAnsi="Times New Roman" w:cs="Times New Roman"/>
                <w:color w:val="000000"/>
                <w:szCs w:val="24"/>
              </w:rPr>
              <w:t>R-4045-2018</w:t>
            </w:r>
            <w:r>
              <w:rPr>
                <w:rFonts w:ascii="Times New Roman" w:eastAsia="Times New Roman" w:hAnsi="Times New Roman" w:cs="Times New Roman"/>
                <w:color w:val="000000"/>
                <w:szCs w:val="24"/>
              </w:rPr>
              <w:t>) aux para</w:t>
            </w:r>
            <w:r w:rsidR="009025F6">
              <w:rPr>
                <w:rFonts w:ascii="Times New Roman" w:eastAsia="Times New Roman" w:hAnsi="Times New Roman" w:cs="Times New Roman"/>
                <w:color w:val="000000"/>
                <w:szCs w:val="24"/>
              </w:rPr>
              <w:t>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 xml:space="preserve">64 à 66. </w:t>
            </w:r>
          </w:p>
        </w:tc>
        <w:tc>
          <w:tcPr>
            <w:tcW w:w="1866" w:type="dxa"/>
            <w:vAlign w:val="bottom"/>
          </w:tcPr>
          <w:p w14:paraId="25DB993E" w14:textId="6D9A3732" w:rsidR="00B14551" w:rsidRPr="00726152" w:rsidRDefault="00043C12" w:rsidP="00043C12">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C-HIVE-0005</w:t>
            </w:r>
          </w:p>
        </w:tc>
      </w:tr>
    </w:tbl>
    <w:p w14:paraId="63DBA3A1" w14:textId="3D2BE599" w:rsidR="00B14551" w:rsidRDefault="00B14551" w:rsidP="00043C12">
      <w:pPr>
        <w:pStyle w:val="Bullet1"/>
      </w:pPr>
      <w:r>
        <w:t xml:space="preserve">La Régie rappelait </w:t>
      </w:r>
      <w:r w:rsidR="00D8255A">
        <w:t xml:space="preserve">que, dans la décision D-2021-007, </w:t>
      </w:r>
      <w:r>
        <w:t xml:space="preserve">elle avait offert au Distributeur de déposer une demande visant à réviser la taille du Bloc réservé s’il le jugeait nécessaire, ce que le Distributeur n’a pas fait; </w:t>
      </w:r>
    </w:p>
    <w:tbl>
      <w:tblPr>
        <w:tblW w:w="8958" w:type="dxa"/>
        <w:tblInd w:w="648" w:type="dxa"/>
        <w:tblLook w:val="00A0" w:firstRow="1" w:lastRow="0" w:firstColumn="1" w:lastColumn="0" w:noHBand="0" w:noVBand="0"/>
      </w:tblPr>
      <w:tblGrid>
        <w:gridCol w:w="7092"/>
        <w:gridCol w:w="1866"/>
      </w:tblGrid>
      <w:tr w:rsidR="00B14551" w:rsidRPr="00726152" w14:paraId="66658397" w14:textId="77777777" w:rsidTr="00043C12">
        <w:tc>
          <w:tcPr>
            <w:tcW w:w="7092" w:type="dxa"/>
          </w:tcPr>
          <w:p w14:paraId="45A62F48" w14:textId="1AFB87C6" w:rsidR="00B14551" w:rsidRPr="00726152" w:rsidRDefault="00B14551" w:rsidP="00CB5458">
            <w:pPr>
              <w:spacing w:before="120" w:after="0" w:line="240" w:lineRule="auto"/>
              <w:ind w:left="72" w:firstLine="0"/>
              <w:rPr>
                <w:rFonts w:ascii="Times New Roman" w:eastAsia="Times New Roman" w:hAnsi="Times New Roman" w:cs="Times New Roman"/>
                <w:color w:val="000000"/>
                <w:szCs w:val="24"/>
              </w:rPr>
            </w:pPr>
            <w:r w:rsidRPr="00E70706">
              <w:rPr>
                <w:rFonts w:ascii="Times New Roman" w:eastAsia="Times New Roman" w:hAnsi="Times New Roman" w:cs="Times New Roman"/>
                <w:color w:val="000000"/>
                <w:szCs w:val="24"/>
              </w:rPr>
              <w:t>D-20</w:t>
            </w:r>
            <w:r>
              <w:rPr>
                <w:rFonts w:ascii="Times New Roman" w:eastAsia="Times New Roman" w:hAnsi="Times New Roman" w:cs="Times New Roman"/>
                <w:color w:val="000000"/>
                <w:szCs w:val="24"/>
              </w:rPr>
              <w:t>21</w:t>
            </w:r>
            <w:r w:rsidRPr="00E70706">
              <w:rPr>
                <w:rFonts w:ascii="Times New Roman" w:eastAsia="Times New Roman" w:hAnsi="Times New Roman" w:cs="Times New Roman"/>
                <w:color w:val="000000"/>
                <w:szCs w:val="24"/>
              </w:rPr>
              <w:t>-14</w:t>
            </w:r>
            <w:r>
              <w:rPr>
                <w:rFonts w:ascii="Times New Roman" w:eastAsia="Times New Roman" w:hAnsi="Times New Roman" w:cs="Times New Roman"/>
                <w:color w:val="000000"/>
                <w:szCs w:val="24"/>
              </w:rPr>
              <w:t>8 (</w:t>
            </w:r>
            <w:r w:rsidRPr="00E70706">
              <w:rPr>
                <w:rFonts w:ascii="Times New Roman" w:eastAsia="Times New Roman" w:hAnsi="Times New Roman" w:cs="Times New Roman"/>
                <w:color w:val="000000"/>
                <w:szCs w:val="24"/>
              </w:rPr>
              <w:t>R-</w:t>
            </w:r>
            <w:r>
              <w:rPr>
                <w:rFonts w:ascii="Times New Roman" w:eastAsia="Times New Roman" w:hAnsi="Times New Roman" w:cs="Times New Roman"/>
                <w:color w:val="000000"/>
                <w:szCs w:val="24"/>
              </w:rPr>
              <w:t>4045-2018) au para</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64.</w:t>
            </w:r>
          </w:p>
        </w:tc>
        <w:tc>
          <w:tcPr>
            <w:tcW w:w="1866" w:type="dxa"/>
            <w:vAlign w:val="bottom"/>
          </w:tcPr>
          <w:p w14:paraId="1370B892" w14:textId="13A38188" w:rsidR="00B14551" w:rsidRPr="00726152" w:rsidRDefault="00043C12" w:rsidP="00043C12">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C-HIVE-0005</w:t>
            </w:r>
          </w:p>
        </w:tc>
      </w:tr>
    </w:tbl>
    <w:p w14:paraId="661FA3DC" w14:textId="11C389B1" w:rsidR="00B14551" w:rsidRDefault="00B14551" w:rsidP="00043C12">
      <w:pPr>
        <w:pStyle w:val="Bullet1"/>
      </w:pPr>
      <w:r>
        <w:t xml:space="preserve">La Régie indiquait que </w:t>
      </w:r>
      <w:r w:rsidRPr="00D71C57">
        <w:t xml:space="preserve">la totalité du </w:t>
      </w:r>
      <w:r>
        <w:t>Solde du Bloc réservé devait ê</w:t>
      </w:r>
      <w:r w:rsidRPr="00D71C57">
        <w:t xml:space="preserve">tre offerte dans le cadre du </w:t>
      </w:r>
      <w:r>
        <w:t>p</w:t>
      </w:r>
      <w:r w:rsidRPr="00D71C57">
        <w:t>rocessus d’attribution visant à l’écouler;</w:t>
      </w:r>
    </w:p>
    <w:tbl>
      <w:tblPr>
        <w:tblW w:w="8958" w:type="dxa"/>
        <w:tblInd w:w="648" w:type="dxa"/>
        <w:tblLook w:val="00A0" w:firstRow="1" w:lastRow="0" w:firstColumn="1" w:lastColumn="0" w:noHBand="0" w:noVBand="0"/>
      </w:tblPr>
      <w:tblGrid>
        <w:gridCol w:w="7092"/>
        <w:gridCol w:w="1866"/>
      </w:tblGrid>
      <w:tr w:rsidR="00B14551" w:rsidRPr="00726152" w14:paraId="5C3E980F" w14:textId="77777777" w:rsidTr="00043C12">
        <w:tc>
          <w:tcPr>
            <w:tcW w:w="7092" w:type="dxa"/>
          </w:tcPr>
          <w:p w14:paraId="66DE2D06" w14:textId="61AB67F5" w:rsidR="00B14551" w:rsidRPr="00726152" w:rsidRDefault="00B14551" w:rsidP="00CB5458">
            <w:pPr>
              <w:spacing w:before="120" w:after="0" w:line="240" w:lineRule="auto"/>
              <w:ind w:left="72" w:firstLine="0"/>
              <w:rPr>
                <w:rFonts w:ascii="Times New Roman" w:eastAsia="Times New Roman" w:hAnsi="Times New Roman" w:cs="Times New Roman"/>
                <w:color w:val="000000"/>
                <w:szCs w:val="24"/>
              </w:rPr>
            </w:pPr>
            <w:r w:rsidRPr="00E70706">
              <w:rPr>
                <w:rFonts w:ascii="Times New Roman" w:eastAsia="Times New Roman" w:hAnsi="Times New Roman" w:cs="Times New Roman"/>
                <w:color w:val="000000"/>
                <w:szCs w:val="24"/>
              </w:rPr>
              <w:t>D-20</w:t>
            </w:r>
            <w:r>
              <w:rPr>
                <w:rFonts w:ascii="Times New Roman" w:eastAsia="Times New Roman" w:hAnsi="Times New Roman" w:cs="Times New Roman"/>
                <w:color w:val="000000"/>
                <w:szCs w:val="24"/>
              </w:rPr>
              <w:t>21</w:t>
            </w:r>
            <w:r w:rsidRPr="00E70706">
              <w:rPr>
                <w:rFonts w:ascii="Times New Roman" w:eastAsia="Times New Roman" w:hAnsi="Times New Roman" w:cs="Times New Roman"/>
                <w:color w:val="000000"/>
                <w:szCs w:val="24"/>
              </w:rPr>
              <w:t>-14</w:t>
            </w:r>
            <w:r>
              <w:rPr>
                <w:rFonts w:ascii="Times New Roman" w:eastAsia="Times New Roman" w:hAnsi="Times New Roman" w:cs="Times New Roman"/>
                <w:color w:val="000000"/>
                <w:szCs w:val="24"/>
              </w:rPr>
              <w:t>8 (</w:t>
            </w:r>
            <w:r w:rsidRPr="00E70706">
              <w:rPr>
                <w:rFonts w:ascii="Times New Roman" w:eastAsia="Times New Roman" w:hAnsi="Times New Roman" w:cs="Times New Roman"/>
                <w:color w:val="000000"/>
                <w:szCs w:val="24"/>
              </w:rPr>
              <w:t>R-</w:t>
            </w:r>
            <w:r>
              <w:rPr>
                <w:rFonts w:ascii="Times New Roman" w:eastAsia="Times New Roman" w:hAnsi="Times New Roman" w:cs="Times New Roman"/>
                <w:color w:val="000000"/>
                <w:szCs w:val="24"/>
              </w:rPr>
              <w:t>4045-2018) au para</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66.</w:t>
            </w:r>
          </w:p>
        </w:tc>
        <w:tc>
          <w:tcPr>
            <w:tcW w:w="1866" w:type="dxa"/>
            <w:vAlign w:val="bottom"/>
          </w:tcPr>
          <w:p w14:paraId="747233EA" w14:textId="54C194D9" w:rsidR="00B14551" w:rsidRPr="00726152" w:rsidRDefault="00043C12" w:rsidP="00043C12">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C-HIVE-0005</w:t>
            </w:r>
          </w:p>
        </w:tc>
      </w:tr>
    </w:tbl>
    <w:p w14:paraId="4D24FEFF" w14:textId="133C4A13" w:rsidR="00B14551" w:rsidRDefault="00D8255A" w:rsidP="00F1699A">
      <w:pPr>
        <w:pStyle w:val="NumA1"/>
      </w:pPr>
      <w:r>
        <w:t>L</w:t>
      </w:r>
      <w:r w:rsidR="00B14551">
        <w:t>e Distributeur n’allègue aucun des cas d’ouverture de l’article</w:t>
      </w:r>
      <w:r w:rsidR="009847D1">
        <w:t> </w:t>
      </w:r>
      <w:r w:rsidR="00B14551">
        <w:t>37 ni n’explique en quoi des circonstances exceptionnelles justifient le délai dans lequel il entreprend sa demande de révision;</w:t>
      </w:r>
    </w:p>
    <w:p w14:paraId="5283AF14" w14:textId="6FE32A6C" w:rsidR="00B14551" w:rsidRDefault="00B14551" w:rsidP="00F1699A">
      <w:pPr>
        <w:pStyle w:val="NumA1"/>
      </w:pPr>
      <w:r>
        <w:t>D’ailleurs, la décision</w:t>
      </w:r>
      <w:r w:rsidR="009847D1">
        <w:t> </w:t>
      </w:r>
      <w:r>
        <w:t>D-2021-148 considérait déjà le bilan énergétique «</w:t>
      </w:r>
      <w:r w:rsidR="006F0762">
        <w:t> </w:t>
      </w:r>
      <w:r>
        <w:t>très serré</w:t>
      </w:r>
      <w:r w:rsidR="006F0762">
        <w:t> </w:t>
      </w:r>
      <w:r>
        <w:t>» du Distributeur à compter de 2025 et que l’allocation complète du Bloc réservé augmenterait les achats de court terme</w:t>
      </w:r>
      <w:r w:rsidR="006F0762">
        <w:t> </w:t>
      </w:r>
      <w:r w:rsidR="00F05C88">
        <w:t>:</w:t>
      </w:r>
    </w:p>
    <w:p w14:paraId="03EF7DAC" w14:textId="497AFEF2" w:rsidR="00B14551" w:rsidRDefault="00B14551" w:rsidP="00B14551">
      <w:pPr>
        <w:pStyle w:val="QuoteCitation"/>
      </w:pPr>
      <w:r w:rsidRPr="00B14551">
        <w:lastRenderedPageBreak/>
        <w:t>En énergie, l’attribution complète du Bloc dédié de 300</w:t>
      </w:r>
      <w:r w:rsidR="006F0762">
        <w:t> </w:t>
      </w:r>
      <w:r w:rsidRPr="00B14551">
        <w:t xml:space="preserve">MW augmenterait les achats de court terme et l’utilisation des approvisionnements existants pourrait devoir être modifiée. Toutefois, malgré un bilan d’énergie très serré à partir de 2025, et selon les prévisions actuelles, le Distributeur considère que cela n’entraînerait pas le devancement du besoin pour de nouveaux approvisionnements de long terme en énergie.  </w:t>
      </w:r>
    </w:p>
    <w:tbl>
      <w:tblPr>
        <w:tblW w:w="8958" w:type="dxa"/>
        <w:tblInd w:w="648" w:type="dxa"/>
        <w:tblLook w:val="00A0" w:firstRow="1" w:lastRow="0" w:firstColumn="1" w:lastColumn="0" w:noHBand="0" w:noVBand="0"/>
      </w:tblPr>
      <w:tblGrid>
        <w:gridCol w:w="7182"/>
        <w:gridCol w:w="1776"/>
      </w:tblGrid>
      <w:tr w:rsidR="00B14551" w:rsidRPr="00726152" w14:paraId="539F62DF" w14:textId="77777777" w:rsidTr="00A82A2F">
        <w:tc>
          <w:tcPr>
            <w:tcW w:w="7182" w:type="dxa"/>
          </w:tcPr>
          <w:p w14:paraId="20E071BA" w14:textId="38DD9754" w:rsidR="00B14551" w:rsidRPr="00726152" w:rsidRDefault="00B14551" w:rsidP="00CB5458">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R-4045-2018, phase 3, HQD-9 document</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6.</w:t>
            </w:r>
          </w:p>
        </w:tc>
        <w:tc>
          <w:tcPr>
            <w:tcW w:w="1776" w:type="dxa"/>
            <w:vAlign w:val="bottom"/>
          </w:tcPr>
          <w:p w14:paraId="5D77AFC8" w14:textId="67097DB8" w:rsidR="00B14551" w:rsidRPr="00726152" w:rsidRDefault="00A82A2F" w:rsidP="00A82A2F">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C-HIVE-0023</w:t>
            </w:r>
          </w:p>
        </w:tc>
      </w:tr>
    </w:tbl>
    <w:p w14:paraId="3F453F46" w14:textId="694FEB63" w:rsidR="00B14551" w:rsidRDefault="00D8255A" w:rsidP="00F1699A">
      <w:pPr>
        <w:pStyle w:val="NumA1"/>
      </w:pPr>
      <w:r>
        <w:t xml:space="preserve">Aussi, </w:t>
      </w:r>
      <w:r w:rsidR="00F05C88">
        <w:t>a</w:t>
      </w:r>
      <w:r w:rsidR="00B14551">
        <w:t>u moment de rendre sa décision</w:t>
      </w:r>
      <w:r w:rsidR="009847D1">
        <w:t> </w:t>
      </w:r>
      <w:r w:rsidR="00B14551">
        <w:t xml:space="preserve">D-2021-148, la Régie prenait acte du fait que le Distributeur confirmait pouvoir approvisionner le Solde du Bloc réservé; </w:t>
      </w:r>
    </w:p>
    <w:tbl>
      <w:tblPr>
        <w:tblW w:w="8958" w:type="dxa"/>
        <w:tblInd w:w="648" w:type="dxa"/>
        <w:tblLook w:val="00A0" w:firstRow="1" w:lastRow="0" w:firstColumn="1" w:lastColumn="0" w:noHBand="0" w:noVBand="0"/>
      </w:tblPr>
      <w:tblGrid>
        <w:gridCol w:w="7272"/>
        <w:gridCol w:w="1686"/>
      </w:tblGrid>
      <w:tr w:rsidR="00B14551" w:rsidRPr="00726152" w14:paraId="3F85C3D3" w14:textId="77777777" w:rsidTr="00043C12">
        <w:tc>
          <w:tcPr>
            <w:tcW w:w="7272" w:type="dxa"/>
          </w:tcPr>
          <w:p w14:paraId="5E994821" w14:textId="1ED0F1DE" w:rsidR="00B14551" w:rsidRPr="00726152" w:rsidRDefault="00B14551" w:rsidP="00CB5458">
            <w:pPr>
              <w:spacing w:before="120" w:after="0" w:line="240" w:lineRule="auto"/>
              <w:ind w:left="72" w:firstLine="0"/>
              <w:rPr>
                <w:rFonts w:ascii="Times New Roman" w:eastAsia="Times New Roman" w:hAnsi="Times New Roman" w:cs="Times New Roman"/>
                <w:color w:val="000000"/>
                <w:szCs w:val="24"/>
              </w:rPr>
            </w:pPr>
            <w:r w:rsidRPr="00E70706">
              <w:rPr>
                <w:rFonts w:ascii="Times New Roman" w:eastAsia="Times New Roman" w:hAnsi="Times New Roman" w:cs="Times New Roman"/>
                <w:color w:val="000000"/>
                <w:szCs w:val="24"/>
              </w:rPr>
              <w:t>D-20</w:t>
            </w:r>
            <w:r>
              <w:rPr>
                <w:rFonts w:ascii="Times New Roman" w:eastAsia="Times New Roman" w:hAnsi="Times New Roman" w:cs="Times New Roman"/>
                <w:color w:val="000000"/>
                <w:szCs w:val="24"/>
              </w:rPr>
              <w:t>21</w:t>
            </w:r>
            <w:r w:rsidRPr="00E70706">
              <w:rPr>
                <w:rFonts w:ascii="Times New Roman" w:eastAsia="Times New Roman" w:hAnsi="Times New Roman" w:cs="Times New Roman"/>
                <w:color w:val="000000"/>
                <w:szCs w:val="24"/>
              </w:rPr>
              <w:t>-14</w:t>
            </w:r>
            <w:r>
              <w:rPr>
                <w:rFonts w:ascii="Times New Roman" w:eastAsia="Times New Roman" w:hAnsi="Times New Roman" w:cs="Times New Roman"/>
                <w:color w:val="000000"/>
                <w:szCs w:val="24"/>
              </w:rPr>
              <w:t>8 (</w:t>
            </w:r>
            <w:r w:rsidRPr="00E70706">
              <w:rPr>
                <w:rFonts w:ascii="Times New Roman" w:eastAsia="Times New Roman" w:hAnsi="Times New Roman" w:cs="Times New Roman"/>
                <w:color w:val="000000"/>
                <w:szCs w:val="24"/>
              </w:rPr>
              <w:t>R-</w:t>
            </w:r>
            <w:r>
              <w:rPr>
                <w:rFonts w:ascii="Times New Roman" w:eastAsia="Times New Roman" w:hAnsi="Times New Roman" w:cs="Times New Roman"/>
                <w:color w:val="000000"/>
                <w:szCs w:val="24"/>
              </w:rPr>
              <w:t>4045-2018) au para</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67.</w:t>
            </w:r>
          </w:p>
        </w:tc>
        <w:tc>
          <w:tcPr>
            <w:tcW w:w="1686" w:type="dxa"/>
            <w:vAlign w:val="bottom"/>
          </w:tcPr>
          <w:p w14:paraId="397102D0" w14:textId="4D92588B" w:rsidR="00B14551" w:rsidRPr="00726152" w:rsidRDefault="00043C12" w:rsidP="00043C12">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C-HIVE-0005</w:t>
            </w:r>
          </w:p>
        </w:tc>
      </w:tr>
    </w:tbl>
    <w:p w14:paraId="31A7E8AF" w14:textId="5260A44D" w:rsidR="007D7789" w:rsidRDefault="007D7789" w:rsidP="00F1699A">
      <w:pPr>
        <w:pStyle w:val="NumA1"/>
      </w:pPr>
      <w:r w:rsidRPr="003A7A1B">
        <w:t>Aucun</w:t>
      </w:r>
      <w:r>
        <w:t xml:space="preserve"> fait nouveau n’est invoqué au soutien de la demande du Distributeur de sursoir à l’ordonnance de la Régie, au contraire, le Distributeur a réitéré à plusieurs reprises son engagement d’allouer le Solde du Bloc réservé malgré des bilans énergétiques «</w:t>
      </w:r>
      <w:r w:rsidR="006F0762">
        <w:t> </w:t>
      </w:r>
      <w:r>
        <w:t>très serrés</w:t>
      </w:r>
      <w:r w:rsidR="006F0762">
        <w:t> </w:t>
      </w:r>
      <w:r>
        <w:t xml:space="preserve">»; </w:t>
      </w:r>
    </w:p>
    <w:p w14:paraId="5499D671" w14:textId="7DE941B4" w:rsidR="004B78DD" w:rsidRPr="009B4317" w:rsidRDefault="004B78DD" w:rsidP="00F1699A">
      <w:pPr>
        <w:pStyle w:val="NumA1"/>
      </w:pPr>
      <w:r>
        <w:t>Nous soumettons également que le décret 6</w:t>
      </w:r>
      <w:r w:rsidRPr="009B4317">
        <w:t xml:space="preserve">46-2018 et </w:t>
      </w:r>
      <w:r>
        <w:t xml:space="preserve">le </w:t>
      </w:r>
      <w:r w:rsidR="00F05C88">
        <w:t>décret 1697-2022 (le «</w:t>
      </w:r>
      <w:r w:rsidR="006F0762">
        <w:t> </w:t>
      </w:r>
      <w:r w:rsidR="00F05C88" w:rsidRPr="009B4317">
        <w:rPr>
          <w:b/>
          <w:bCs/>
        </w:rPr>
        <w:t>Décret</w:t>
      </w:r>
      <w:r w:rsidR="006F0762">
        <w:t> </w:t>
      </w:r>
      <w:r w:rsidR="00F05C88">
        <w:t>»)</w:t>
      </w:r>
      <w:r>
        <w:t xml:space="preserve"> poursuivent </w:t>
      </w:r>
      <w:r w:rsidRPr="009B4317">
        <w:t>des objectifs similaires, à savoir de contrôler la demande provenant d’une catégorie de consommateurs spécifique afin de mitiger les conséquences alléguées sur la capacité du Distributeur à répondre à des demandes d’alimentation provenant de secteurs d’importance, stratégique ou prioritaire. Or, ce risque a été étudié en détail par la Régie dans le dossier</w:t>
      </w:r>
      <w:r w:rsidR="009847D1">
        <w:t> </w:t>
      </w:r>
      <w:r w:rsidRPr="009B4317">
        <w:t xml:space="preserve">R-4045-2018, au terme duquel le Bloc réservé a été adopté;  </w:t>
      </w:r>
    </w:p>
    <w:p w14:paraId="6F852664" w14:textId="1463AB3F" w:rsidR="00B14551" w:rsidRPr="009B4317" w:rsidRDefault="00B14551" w:rsidP="00F1699A">
      <w:pPr>
        <w:pStyle w:val="NumA1"/>
        <w:rPr>
          <w:i/>
          <w:iCs/>
        </w:rPr>
      </w:pPr>
      <w:r>
        <w:t>Dans tous les cas, la</w:t>
      </w:r>
      <w:r w:rsidRPr="001D6B14">
        <w:t xml:space="preserve"> preuve soumise au </w:t>
      </w:r>
      <w:r>
        <w:t>soutien de la Demande</w:t>
      </w:r>
      <w:r w:rsidRPr="001D6B14">
        <w:t>, ne vise en aucun cas l’examen de «</w:t>
      </w:r>
      <w:r w:rsidR="006F0762">
        <w:t> </w:t>
      </w:r>
      <w:r w:rsidRPr="00573D73">
        <w:rPr>
          <w:lang w:eastAsia="fr-CA"/>
        </w:rPr>
        <w:t>l’ensemble des enjeux touchant cette catégorie de clientèle</w:t>
      </w:r>
      <w:r w:rsidR="006F0762">
        <w:rPr>
          <w:lang w:eastAsia="fr-CA"/>
        </w:rPr>
        <w:t> </w:t>
      </w:r>
      <w:r w:rsidRPr="008C6102">
        <w:rPr>
          <w:lang w:eastAsia="fr-CA"/>
        </w:rPr>
        <w:t>»</w:t>
      </w:r>
      <w:r w:rsidRPr="000A04F0">
        <w:rPr>
          <w:lang w:eastAsia="fr-CA"/>
        </w:rPr>
        <w:t>, soi</w:t>
      </w:r>
      <w:r w:rsidRPr="00983CB9">
        <w:rPr>
          <w:lang w:eastAsia="fr-CA"/>
        </w:rPr>
        <w:t>t les</w:t>
      </w:r>
      <w:r w:rsidRPr="000610B9">
        <w:rPr>
          <w:lang w:eastAsia="fr-CA"/>
        </w:rPr>
        <w:t xml:space="preserve"> clients du </w:t>
      </w:r>
      <w:r w:rsidRPr="006841DD">
        <w:t>secteur</w:t>
      </w:r>
      <w:r w:rsidRPr="000610B9">
        <w:rPr>
          <w:lang w:eastAsia="fr-CA"/>
        </w:rPr>
        <w:t xml:space="preserve"> des chaînes de bloc</w:t>
      </w:r>
      <w:r>
        <w:rPr>
          <w:lang w:eastAsia="fr-CA"/>
        </w:rPr>
        <w:t>;</w:t>
      </w:r>
    </w:p>
    <w:p w14:paraId="201B0B8A" w14:textId="4186A70D" w:rsidR="009B4317" w:rsidRDefault="009B4317" w:rsidP="00F1699A">
      <w:pPr>
        <w:pStyle w:val="NumA1"/>
      </w:pPr>
      <w:r>
        <w:t>Conformément à l’article</w:t>
      </w:r>
      <w:r w:rsidR="009847D1">
        <w:t> </w:t>
      </w:r>
      <w:r>
        <w:t xml:space="preserve">37 de la LRE, la révision d’une décision rendue par la Régie ne peut être accordée, d’office ou sur demande, que lorsque les </w:t>
      </w:r>
      <w:r w:rsidRPr="00756A41">
        <w:t xml:space="preserve">motifs précis de réexamen </w:t>
      </w:r>
      <w:r>
        <w:t xml:space="preserve">sont rencontrés, et seulement après que les personnes concernées aient pu présenter leurs observations à cet égard; </w:t>
      </w:r>
      <w:r w:rsidR="00B14551">
        <w:t xml:space="preserve">le Distributeur fait défaut </w:t>
      </w:r>
      <w:r>
        <w:t>d’invoquer l’article</w:t>
      </w:r>
      <w:r w:rsidR="009847D1">
        <w:t> </w:t>
      </w:r>
      <w:r>
        <w:t xml:space="preserve">37 de la LRE et de rencontrer les critères d’une demande de révision; </w:t>
      </w:r>
    </w:p>
    <w:p w14:paraId="787C95AD" w14:textId="44E87D32" w:rsidR="009B4317" w:rsidRDefault="00B14551" w:rsidP="00F1699A">
      <w:pPr>
        <w:pStyle w:val="NumA1"/>
      </w:pPr>
      <w:r>
        <w:t>De manière accessoire, n</w:t>
      </w:r>
      <w:r w:rsidR="009B4317">
        <w:t xml:space="preserve">ous soumettons que le comportement du Distributeur dénote un certain manque d’égard à l’endroit des ordonnances de la Régie; </w:t>
      </w:r>
    </w:p>
    <w:p w14:paraId="2E67F6A0" w14:textId="31EDCE6C" w:rsidR="00B14551" w:rsidRDefault="00B14551" w:rsidP="00F1699A">
      <w:pPr>
        <w:pStyle w:val="NumA1"/>
        <w:rPr>
          <w:rFonts w:eastAsia="Calibri"/>
          <w:snapToGrid w:val="0"/>
        </w:rPr>
      </w:pPr>
      <w:r>
        <w:rPr>
          <w:rFonts w:eastAsia="Calibri"/>
          <w:snapToGrid w:val="0"/>
        </w:rPr>
        <w:t>Par sa Demande, le Distributeur indique utiliser la décision</w:t>
      </w:r>
      <w:r w:rsidR="009847D1">
        <w:rPr>
          <w:rFonts w:eastAsia="Calibri"/>
          <w:snapToGrid w:val="0"/>
        </w:rPr>
        <w:t> </w:t>
      </w:r>
      <w:r>
        <w:rPr>
          <w:rFonts w:eastAsia="Calibri"/>
          <w:snapToGrid w:val="0"/>
        </w:rPr>
        <w:t>D-2021-148 comme «</w:t>
      </w:r>
      <w:r w:rsidR="006F0762">
        <w:rPr>
          <w:rFonts w:eastAsia="Calibri"/>
          <w:snapToGrid w:val="0"/>
        </w:rPr>
        <w:t> </w:t>
      </w:r>
      <w:r>
        <w:rPr>
          <w:rFonts w:eastAsia="Calibri"/>
          <w:snapToGrid w:val="0"/>
        </w:rPr>
        <w:t>levier</w:t>
      </w:r>
      <w:r w:rsidR="006F0762">
        <w:rPr>
          <w:rFonts w:eastAsia="Calibri"/>
          <w:snapToGrid w:val="0"/>
        </w:rPr>
        <w:t> </w:t>
      </w:r>
      <w:r>
        <w:rPr>
          <w:rFonts w:eastAsia="Calibri"/>
          <w:snapToGrid w:val="0"/>
        </w:rPr>
        <w:t>»; le «</w:t>
      </w:r>
      <w:r w:rsidR="006F0762">
        <w:rPr>
          <w:rFonts w:eastAsia="Calibri"/>
          <w:snapToGrid w:val="0"/>
        </w:rPr>
        <w:t> </w:t>
      </w:r>
      <w:r>
        <w:rPr>
          <w:rFonts w:eastAsia="Calibri"/>
          <w:snapToGrid w:val="0"/>
        </w:rPr>
        <w:t>levier</w:t>
      </w:r>
      <w:r w:rsidR="006F0762">
        <w:rPr>
          <w:rFonts w:eastAsia="Calibri"/>
          <w:snapToGrid w:val="0"/>
        </w:rPr>
        <w:t> </w:t>
      </w:r>
      <w:r>
        <w:rPr>
          <w:rFonts w:eastAsia="Calibri"/>
          <w:snapToGrid w:val="0"/>
        </w:rPr>
        <w:t>» n’étant nul autre que la situation de fait résultant du défaut du Distributeur de se conformer aux ordonnances de la Régie contenues à la décision</w:t>
      </w:r>
      <w:r w:rsidR="009847D1">
        <w:rPr>
          <w:rFonts w:eastAsia="Calibri"/>
          <w:snapToGrid w:val="0"/>
        </w:rPr>
        <w:t> </w:t>
      </w:r>
      <w:r>
        <w:rPr>
          <w:rFonts w:eastAsia="Calibri"/>
          <w:snapToGrid w:val="0"/>
        </w:rPr>
        <w:t>D-2021-148</w:t>
      </w:r>
      <w:r w:rsidR="009847D1">
        <w:rPr>
          <w:rFonts w:eastAsia="Calibri"/>
          <w:snapToGrid w:val="0"/>
        </w:rPr>
        <w:t> </w:t>
      </w:r>
      <w:r>
        <w:rPr>
          <w:rFonts w:eastAsia="Calibri"/>
          <w:snapToGrid w:val="0"/>
        </w:rPr>
        <w:t xml:space="preserve">: </w:t>
      </w:r>
    </w:p>
    <w:p w14:paraId="656D32C9" w14:textId="71E0AE44" w:rsidR="00B14551" w:rsidRPr="005F7FC7" w:rsidRDefault="00B14551" w:rsidP="00B14551">
      <w:pPr>
        <w:pStyle w:val="QuoteCitation"/>
        <w:rPr>
          <w:rFonts w:eastAsia="Calibri"/>
          <w:snapToGrid w:val="0"/>
        </w:rPr>
      </w:pPr>
      <w:r w:rsidRPr="005F7FC7">
        <w:rPr>
          <w:rFonts w:eastAsia="Calibri"/>
          <w:snapToGrid w:val="0"/>
        </w:rPr>
        <w:t>Mme</w:t>
      </w:r>
      <w:r w:rsidR="009847D1">
        <w:rPr>
          <w:rFonts w:eastAsia="Calibri"/>
          <w:snapToGrid w:val="0"/>
        </w:rPr>
        <w:t> </w:t>
      </w:r>
      <w:r w:rsidRPr="005F7FC7">
        <w:rPr>
          <w:rFonts w:eastAsia="Calibri"/>
          <w:snapToGrid w:val="0"/>
        </w:rPr>
        <w:t>STÉPHANIE</w:t>
      </w:r>
      <w:r w:rsidR="009847D1">
        <w:rPr>
          <w:rFonts w:eastAsia="Calibri"/>
          <w:snapToGrid w:val="0"/>
        </w:rPr>
        <w:t> </w:t>
      </w:r>
      <w:r w:rsidRPr="005F7FC7">
        <w:rPr>
          <w:rFonts w:eastAsia="Calibri"/>
          <w:snapToGrid w:val="0"/>
        </w:rPr>
        <w:t>CARON</w:t>
      </w:r>
      <w:r w:rsidR="009847D1">
        <w:rPr>
          <w:rFonts w:eastAsia="Calibri"/>
          <w:snapToGrid w:val="0"/>
        </w:rPr>
        <w:t> </w:t>
      </w:r>
      <w:r w:rsidRPr="005F7FC7">
        <w:rPr>
          <w:rFonts w:eastAsia="Calibri"/>
          <w:snapToGrid w:val="0"/>
        </w:rPr>
        <w:t>:</w:t>
      </w:r>
    </w:p>
    <w:p w14:paraId="294240FB" w14:textId="31E63155" w:rsidR="00B14551" w:rsidRDefault="00B14551" w:rsidP="00B14551">
      <w:pPr>
        <w:pStyle w:val="QuoteCitation"/>
        <w:rPr>
          <w:rFonts w:eastAsia="Calibri"/>
          <w:snapToGrid w:val="0"/>
        </w:rPr>
      </w:pPr>
      <w:r w:rsidRPr="005F7FC7">
        <w:rPr>
          <w:rFonts w:eastAsia="Calibri"/>
          <w:snapToGrid w:val="0"/>
        </w:rPr>
        <w:t>2 R. Oui, alors on voulait simplement</w:t>
      </w:r>
      <w:r w:rsidR="009847D1">
        <w:rPr>
          <w:rFonts w:eastAsia="Calibri"/>
          <w:snapToGrid w:val="0"/>
        </w:rPr>
        <w:t>…</w:t>
      </w:r>
      <w:r w:rsidRPr="005F7FC7">
        <w:rPr>
          <w:rFonts w:eastAsia="Calibri"/>
          <w:snapToGrid w:val="0"/>
        </w:rPr>
        <w:t xml:space="preserve"> je voulais</w:t>
      </w:r>
      <w:r>
        <w:rPr>
          <w:rFonts w:eastAsia="Calibri"/>
          <w:snapToGrid w:val="0"/>
        </w:rPr>
        <w:t xml:space="preserve"> </w:t>
      </w:r>
      <w:r w:rsidRPr="005F7FC7">
        <w:rPr>
          <w:rFonts w:eastAsia="Calibri"/>
          <w:snapToGrid w:val="0"/>
        </w:rPr>
        <w:t>simplement compléter la réponse de ma collègue en</w:t>
      </w:r>
      <w:r>
        <w:rPr>
          <w:rFonts w:eastAsia="Calibri"/>
          <w:snapToGrid w:val="0"/>
        </w:rPr>
        <w:t xml:space="preserve"> </w:t>
      </w:r>
      <w:r w:rsidRPr="005F7FC7">
        <w:rPr>
          <w:rFonts w:eastAsia="Calibri"/>
          <w:snapToGrid w:val="0"/>
        </w:rPr>
        <w:t>indiquant que par «</w:t>
      </w:r>
      <w:r w:rsidR="006F0762">
        <w:rPr>
          <w:rFonts w:eastAsia="Calibri"/>
          <w:snapToGrid w:val="0"/>
        </w:rPr>
        <w:t> </w:t>
      </w:r>
      <w:r w:rsidRPr="005F7FC7">
        <w:rPr>
          <w:rFonts w:eastAsia="Calibri"/>
          <w:snapToGrid w:val="0"/>
        </w:rPr>
        <w:t>levier</w:t>
      </w:r>
      <w:r w:rsidR="006F0762">
        <w:rPr>
          <w:rFonts w:eastAsia="Calibri"/>
          <w:snapToGrid w:val="0"/>
        </w:rPr>
        <w:t> </w:t>
      </w:r>
      <w:r w:rsidRPr="005F7FC7">
        <w:rPr>
          <w:rFonts w:eastAsia="Calibri"/>
          <w:snapToGrid w:val="0"/>
        </w:rPr>
        <w:t xml:space="preserve">», </w:t>
      </w:r>
      <w:r w:rsidRPr="002D7ECE">
        <w:rPr>
          <w:rFonts w:eastAsia="Calibri"/>
          <w:b/>
          <w:bCs/>
          <w:snapToGrid w:val="0"/>
          <w:u w:val="single"/>
        </w:rPr>
        <w:t xml:space="preserve">on entend vraiment l’existence d’un bloc dédié </w:t>
      </w:r>
      <w:r w:rsidRPr="002D7ECE">
        <w:rPr>
          <w:rFonts w:eastAsia="Calibri"/>
          <w:b/>
          <w:bCs/>
          <w:snapToGrid w:val="0"/>
          <w:u w:val="single"/>
        </w:rPr>
        <w:lastRenderedPageBreak/>
        <w:t>non</w:t>
      </w:r>
      <w:r w:rsidR="006F0762">
        <w:rPr>
          <w:rFonts w:eastAsia="Calibri"/>
          <w:b/>
          <w:bCs/>
          <w:snapToGrid w:val="0"/>
          <w:u w:val="single"/>
        </w:rPr>
        <w:t xml:space="preserve"> </w:t>
      </w:r>
      <w:r w:rsidRPr="002D7ECE">
        <w:rPr>
          <w:rFonts w:eastAsia="Calibri"/>
          <w:b/>
          <w:bCs/>
          <w:snapToGrid w:val="0"/>
          <w:u w:val="single"/>
        </w:rPr>
        <w:t>encore alloué</w:t>
      </w:r>
      <w:r w:rsidRPr="005F7FC7">
        <w:rPr>
          <w:rFonts w:eastAsia="Calibri"/>
          <w:snapToGrid w:val="0"/>
        </w:rPr>
        <w:t>, comme il est fait référence dans le décret qu’a pris le gouvernement en novembre dernier.</w:t>
      </w:r>
      <w:r>
        <w:rPr>
          <w:rFonts w:eastAsia="Calibri"/>
          <w:snapToGrid w:val="0"/>
        </w:rPr>
        <w:t xml:space="preserve">  </w:t>
      </w:r>
    </w:p>
    <w:p w14:paraId="6DC3AF9A" w14:textId="77777777" w:rsidR="00B14551" w:rsidRDefault="00B14551" w:rsidP="00B14551">
      <w:pPr>
        <w:pStyle w:val="QuoteCitation"/>
        <w:jc w:val="right"/>
        <w:rPr>
          <w:rFonts w:eastAsia="Calibri"/>
          <w:snapToGrid w:val="0"/>
        </w:rPr>
      </w:pPr>
      <w:r>
        <w:rPr>
          <w:rFonts w:eastAsia="Calibri"/>
          <w:snapToGrid w:val="0"/>
        </w:rPr>
        <w:t>[nos soulignements]</w:t>
      </w:r>
    </w:p>
    <w:tbl>
      <w:tblPr>
        <w:tblW w:w="8958" w:type="dxa"/>
        <w:tblInd w:w="648" w:type="dxa"/>
        <w:tblLook w:val="00A0" w:firstRow="1" w:lastRow="0" w:firstColumn="1" w:lastColumn="0" w:noHBand="0" w:noVBand="0"/>
      </w:tblPr>
      <w:tblGrid>
        <w:gridCol w:w="7272"/>
        <w:gridCol w:w="1686"/>
      </w:tblGrid>
      <w:tr w:rsidR="00B14551" w:rsidRPr="00726152" w14:paraId="3D6E5A84" w14:textId="77777777" w:rsidTr="00A82A2F">
        <w:tc>
          <w:tcPr>
            <w:tcW w:w="7272" w:type="dxa"/>
          </w:tcPr>
          <w:p w14:paraId="07349FA9" w14:textId="0D940D58" w:rsidR="00B14551" w:rsidRPr="00726152" w:rsidRDefault="00B14551" w:rsidP="00CB5458">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47,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 à 7.</w:t>
            </w:r>
          </w:p>
        </w:tc>
        <w:tc>
          <w:tcPr>
            <w:tcW w:w="1686" w:type="dxa"/>
            <w:vAlign w:val="bottom"/>
          </w:tcPr>
          <w:p w14:paraId="08DDBB7D" w14:textId="0CC74A67" w:rsidR="00B14551" w:rsidRPr="00726152" w:rsidRDefault="00A82A2F" w:rsidP="00CB5458">
            <w:pPr>
              <w:spacing w:before="120" w:after="120" w:line="240" w:lineRule="auto"/>
              <w:ind w:left="0" w:firstLine="0"/>
              <w:jc w:val="center"/>
              <w:rPr>
                <w:rFonts w:ascii="Times New Roman" w:eastAsia="Times New Roman" w:hAnsi="Times New Roman" w:cs="Times New Roman"/>
                <w:b/>
                <w:color w:val="000000"/>
              </w:rPr>
            </w:pPr>
            <w:r w:rsidRPr="00A82A2F">
              <w:rPr>
                <w:rFonts w:ascii="Times New Roman" w:eastAsia="Times New Roman" w:hAnsi="Times New Roman" w:cs="Times New Roman"/>
                <w:b/>
                <w:bCs/>
                <w:color w:val="000000"/>
                <w:szCs w:val="24"/>
              </w:rPr>
              <w:t>A-0010</w:t>
            </w:r>
          </w:p>
        </w:tc>
      </w:tr>
    </w:tbl>
    <w:p w14:paraId="6991640C" w14:textId="7D0B9F80" w:rsidR="009B4317" w:rsidRPr="009B4317" w:rsidRDefault="00B14551" w:rsidP="00F1699A">
      <w:pPr>
        <w:pStyle w:val="NumA1"/>
      </w:pPr>
      <w:r>
        <w:t>L</w:t>
      </w:r>
      <w:r w:rsidR="009B4317" w:rsidRPr="009B4317">
        <w:t>e Distributeur a admis à l’audience ne pas avoir considéré</w:t>
      </w:r>
      <w:r w:rsidR="00657EFA">
        <w:t xml:space="preserve"> dans sa Demande</w:t>
      </w:r>
      <w:r w:rsidR="009B4317" w:rsidRPr="009B4317">
        <w:t xml:space="preserve"> </w:t>
      </w:r>
      <w:r w:rsidR="00657EFA">
        <w:t xml:space="preserve">une des ordonnances de la Régie rendue </w:t>
      </w:r>
      <w:r w:rsidR="009B4317" w:rsidRPr="009B4317">
        <w:t>dans la décision</w:t>
      </w:r>
      <w:r w:rsidR="009847D1">
        <w:t> </w:t>
      </w:r>
      <w:r w:rsidR="009B4317" w:rsidRPr="009B4317">
        <w:t>D-2021-148 à l’effet que les MW alloués dans le cadre de l’Appel de proposition devaient être réalloués</w:t>
      </w:r>
      <w:r w:rsidR="00657EFA">
        <w:t xml:space="preserve"> si un projet au Tarif CB était abandonné</w:t>
      </w:r>
      <w:r w:rsidR="009B4317">
        <w:t xml:space="preserve">; </w:t>
      </w:r>
    </w:p>
    <w:tbl>
      <w:tblPr>
        <w:tblW w:w="8958" w:type="dxa"/>
        <w:tblInd w:w="648" w:type="dxa"/>
        <w:tblLook w:val="00A0" w:firstRow="1" w:lastRow="0" w:firstColumn="1" w:lastColumn="0" w:noHBand="0" w:noVBand="0"/>
      </w:tblPr>
      <w:tblGrid>
        <w:gridCol w:w="7182"/>
        <w:gridCol w:w="1776"/>
      </w:tblGrid>
      <w:tr w:rsidR="009B4317" w:rsidRPr="00BD4B7C" w14:paraId="5442238C" w14:textId="77777777" w:rsidTr="00A82A2F">
        <w:tc>
          <w:tcPr>
            <w:tcW w:w="7182" w:type="dxa"/>
          </w:tcPr>
          <w:p w14:paraId="09B806CA" w14:textId="6945FCEA" w:rsidR="009B4317" w:rsidRPr="004B5207" w:rsidRDefault="009B4317" w:rsidP="00E731DA">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66,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7 à 25 et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67,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 à 8.</w:t>
            </w:r>
          </w:p>
        </w:tc>
        <w:tc>
          <w:tcPr>
            <w:tcW w:w="1776" w:type="dxa"/>
            <w:vAlign w:val="bottom"/>
          </w:tcPr>
          <w:p w14:paraId="73E93278" w14:textId="42EAFD02" w:rsidR="009B4317" w:rsidRPr="00A82A2F" w:rsidRDefault="00A82A2F" w:rsidP="00A82A2F">
            <w:pPr>
              <w:spacing w:before="120" w:after="120" w:line="240" w:lineRule="auto"/>
              <w:ind w:left="0" w:firstLine="0"/>
              <w:jc w:val="center"/>
              <w:rPr>
                <w:rFonts w:ascii="Times New Roman" w:eastAsia="Times New Roman" w:hAnsi="Times New Roman" w:cs="Times New Roman"/>
                <w:bCs/>
                <w:color w:val="000000"/>
              </w:rPr>
            </w:pPr>
            <w:r w:rsidRPr="00A82A2F">
              <w:rPr>
                <w:rFonts w:ascii="Times New Roman" w:eastAsia="Times New Roman" w:hAnsi="Times New Roman" w:cs="Times New Roman"/>
                <w:b/>
                <w:bCs/>
                <w:color w:val="000000"/>
                <w:szCs w:val="24"/>
              </w:rPr>
              <w:t>A-00</w:t>
            </w:r>
            <w:r>
              <w:rPr>
                <w:rFonts w:ascii="Times New Roman" w:eastAsia="Times New Roman" w:hAnsi="Times New Roman" w:cs="Times New Roman"/>
                <w:b/>
                <w:bCs/>
                <w:color w:val="000000"/>
                <w:szCs w:val="24"/>
              </w:rPr>
              <w:t>54</w:t>
            </w:r>
          </w:p>
        </w:tc>
      </w:tr>
    </w:tbl>
    <w:p w14:paraId="591E335D" w14:textId="255FFE6B" w:rsidR="009B4317" w:rsidRDefault="009B4317" w:rsidP="00F1699A">
      <w:pPr>
        <w:pStyle w:val="NumA1"/>
        <w:rPr>
          <w:rFonts w:eastAsia="Calibri"/>
        </w:rPr>
      </w:pPr>
      <w:r>
        <w:rPr>
          <w:rFonts w:eastAsia="Calibri"/>
        </w:rPr>
        <w:t>Il ressort également du témoignage du Distributeur que celui-ci n’a jamais considéré</w:t>
      </w:r>
      <w:r w:rsidR="00657EFA">
        <w:rPr>
          <w:rFonts w:eastAsia="Calibri"/>
        </w:rPr>
        <w:t>, depuis le 17</w:t>
      </w:r>
      <w:r w:rsidR="009847D1">
        <w:rPr>
          <w:rFonts w:eastAsia="Calibri"/>
        </w:rPr>
        <w:t> </w:t>
      </w:r>
      <w:r w:rsidR="00657EFA">
        <w:rPr>
          <w:rFonts w:eastAsia="Calibri"/>
        </w:rPr>
        <w:t>novembre</w:t>
      </w:r>
      <w:r w:rsidR="009847D1">
        <w:rPr>
          <w:rFonts w:eastAsia="Calibri"/>
        </w:rPr>
        <w:t> </w:t>
      </w:r>
      <w:r w:rsidR="00657EFA">
        <w:rPr>
          <w:rFonts w:eastAsia="Calibri"/>
        </w:rPr>
        <w:t>2021,</w:t>
      </w:r>
      <w:r>
        <w:rPr>
          <w:rFonts w:eastAsia="Calibri"/>
        </w:rPr>
        <w:t xml:space="preserve"> </w:t>
      </w:r>
      <w:r w:rsidR="00657EFA">
        <w:rPr>
          <w:rFonts w:eastAsia="Calibri"/>
        </w:rPr>
        <w:t>le</w:t>
      </w:r>
      <w:r>
        <w:rPr>
          <w:rFonts w:eastAsia="Calibri"/>
        </w:rPr>
        <w:t xml:space="preserve"> Solde du Bloc réservé dans ses</w:t>
      </w:r>
      <w:r w:rsidR="00657EFA">
        <w:rPr>
          <w:rFonts w:eastAsia="Calibri"/>
        </w:rPr>
        <w:t xml:space="preserve"> </w:t>
      </w:r>
      <w:r>
        <w:rPr>
          <w:rFonts w:eastAsia="Calibri"/>
        </w:rPr>
        <w:t>approvisionnement</w:t>
      </w:r>
      <w:r w:rsidR="00657EFA">
        <w:rPr>
          <w:rFonts w:eastAsia="Calibri"/>
        </w:rPr>
        <w:t>s</w:t>
      </w:r>
      <w:r>
        <w:rPr>
          <w:rFonts w:eastAsia="Calibri"/>
        </w:rPr>
        <w:t>. En effet, le Distributeur indiquait à l’audience que la quantité d’énergie réservée pour le Solde du Bloc réservé dans ses approvisionnements était de «</w:t>
      </w:r>
      <w:r w:rsidR="006F0762">
        <w:rPr>
          <w:rFonts w:eastAsia="Calibri"/>
        </w:rPr>
        <w:t> </w:t>
      </w:r>
      <w:r>
        <w:rPr>
          <w:rFonts w:eastAsia="Calibri"/>
        </w:rPr>
        <w:t>zéro</w:t>
      </w:r>
      <w:r w:rsidR="006F0762">
        <w:rPr>
          <w:rFonts w:eastAsia="Calibri"/>
        </w:rPr>
        <w:t> </w:t>
      </w:r>
      <w:r>
        <w:rPr>
          <w:rFonts w:eastAsia="Calibri"/>
        </w:rPr>
        <w:t xml:space="preserve">»; </w:t>
      </w:r>
    </w:p>
    <w:tbl>
      <w:tblPr>
        <w:tblW w:w="8958" w:type="dxa"/>
        <w:tblInd w:w="648" w:type="dxa"/>
        <w:tblLook w:val="00A0" w:firstRow="1" w:lastRow="0" w:firstColumn="1" w:lastColumn="0" w:noHBand="0" w:noVBand="0"/>
      </w:tblPr>
      <w:tblGrid>
        <w:gridCol w:w="7182"/>
        <w:gridCol w:w="1776"/>
      </w:tblGrid>
      <w:tr w:rsidR="00A82A2F" w:rsidRPr="00726152" w14:paraId="474690B3" w14:textId="77777777" w:rsidTr="00A82A2F">
        <w:tc>
          <w:tcPr>
            <w:tcW w:w="7182" w:type="dxa"/>
          </w:tcPr>
          <w:p w14:paraId="702E9739" w14:textId="0F97538F" w:rsidR="00A82A2F" w:rsidRPr="005A02EE" w:rsidRDefault="00A82A2F" w:rsidP="00E731DA">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109,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3 à 6.</w:t>
            </w:r>
          </w:p>
        </w:tc>
        <w:tc>
          <w:tcPr>
            <w:tcW w:w="1776" w:type="dxa"/>
            <w:vMerge w:val="restart"/>
            <w:vAlign w:val="center"/>
          </w:tcPr>
          <w:p w14:paraId="466C6409" w14:textId="2042FA75" w:rsidR="00A82A2F" w:rsidRDefault="00A82A2F" w:rsidP="00A82A2F">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A-0053</w:t>
            </w:r>
          </w:p>
        </w:tc>
      </w:tr>
      <w:tr w:rsidR="00A82A2F" w:rsidRPr="00726152" w14:paraId="2657D92E" w14:textId="77777777" w:rsidTr="00A82A2F">
        <w:tc>
          <w:tcPr>
            <w:tcW w:w="7182" w:type="dxa"/>
          </w:tcPr>
          <w:p w14:paraId="7929FE49" w14:textId="56E001F6" w:rsidR="00A82A2F" w:rsidRPr="005A02EE" w:rsidRDefault="00A82A2F" w:rsidP="00B14551">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113,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14 à 25 et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114,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 à 4.</w:t>
            </w:r>
          </w:p>
        </w:tc>
        <w:tc>
          <w:tcPr>
            <w:tcW w:w="1776" w:type="dxa"/>
            <w:vMerge/>
            <w:vAlign w:val="bottom"/>
          </w:tcPr>
          <w:p w14:paraId="5B0D3FDD" w14:textId="274590B7" w:rsidR="00A82A2F" w:rsidRDefault="00A82A2F" w:rsidP="00B14551">
            <w:pPr>
              <w:spacing w:before="120" w:after="120" w:line="240" w:lineRule="auto"/>
              <w:ind w:left="0" w:firstLine="0"/>
              <w:jc w:val="center"/>
              <w:rPr>
                <w:rFonts w:ascii="Times New Roman" w:eastAsia="Times New Roman" w:hAnsi="Times New Roman" w:cs="Times New Roman"/>
                <w:b/>
                <w:color w:val="000000"/>
              </w:rPr>
            </w:pPr>
          </w:p>
        </w:tc>
      </w:tr>
    </w:tbl>
    <w:p w14:paraId="3511F11D" w14:textId="52CA5D4C" w:rsidR="00B14551" w:rsidRDefault="00B14551" w:rsidP="00F1699A">
      <w:pPr>
        <w:pStyle w:val="NumA1"/>
      </w:pPr>
      <w:r>
        <w:t>Le Distributeur avoue même n’avoir considéré aucune autre option, aucun autre scénario ou hypothèse afin de sauvegarder les droits de ses clients et de conformer aux décisions de la Régie</w:t>
      </w:r>
      <w:r w:rsidR="009847D1">
        <w:t> </w:t>
      </w:r>
      <w:r>
        <w:t>:</w:t>
      </w:r>
    </w:p>
    <w:p w14:paraId="0C5BB4AA" w14:textId="34D97951" w:rsidR="00B14551" w:rsidRDefault="00B14551" w:rsidP="00B14551">
      <w:pPr>
        <w:pStyle w:val="ParaNum11"/>
        <w:numPr>
          <w:ilvl w:val="0"/>
          <w:numId w:val="0"/>
        </w:numPr>
        <w:ind w:left="1440" w:right="720"/>
        <w:rPr>
          <w:sz w:val="22"/>
        </w:rPr>
      </w:pPr>
      <w:r w:rsidRPr="00781DD9">
        <w:rPr>
          <w:sz w:val="22"/>
        </w:rPr>
        <w:t>«</w:t>
      </w:r>
      <w:r w:rsidR="006F0762">
        <w:rPr>
          <w:sz w:val="22"/>
        </w:rPr>
        <w:t> </w:t>
      </w:r>
      <w:r w:rsidRPr="00781DD9">
        <w:rPr>
          <w:sz w:val="22"/>
        </w:rPr>
        <w:t xml:space="preserve">[167] </w:t>
      </w:r>
      <w:r w:rsidRPr="00781DD9">
        <w:rPr>
          <w:sz w:val="22"/>
          <w:u w:val="single"/>
        </w:rPr>
        <w:t>Avez-vous réalisé des scénarios avec différentes réductions de quantités de mégawatts du bloc réservé</w:t>
      </w:r>
      <w:r w:rsidRPr="00781DD9">
        <w:rPr>
          <w:sz w:val="22"/>
        </w:rPr>
        <w:t>? Par exemple, une réduction à deux cents mégawatts (200</w:t>
      </w:r>
      <w:r w:rsidR="006F0762">
        <w:rPr>
          <w:sz w:val="22"/>
        </w:rPr>
        <w:t> </w:t>
      </w:r>
      <w:r w:rsidRPr="00781DD9">
        <w:rPr>
          <w:sz w:val="22"/>
        </w:rPr>
        <w:t>MW), à cent cinquante mégawatts (150</w:t>
      </w:r>
      <w:r w:rsidR="006F0762">
        <w:rPr>
          <w:sz w:val="22"/>
        </w:rPr>
        <w:t> </w:t>
      </w:r>
      <w:r w:rsidRPr="00781DD9">
        <w:rPr>
          <w:sz w:val="22"/>
        </w:rPr>
        <w:t>MW), à cent mégawatts (100</w:t>
      </w:r>
      <w:r w:rsidR="006F0762">
        <w:rPr>
          <w:sz w:val="22"/>
        </w:rPr>
        <w:t> </w:t>
      </w:r>
      <w:r w:rsidRPr="00781DD9">
        <w:rPr>
          <w:sz w:val="22"/>
        </w:rPr>
        <w:t xml:space="preserve">MW) afin, par exemple, de voir les impacts sur le bilan en puissance et en énergie. </w:t>
      </w:r>
    </w:p>
    <w:p w14:paraId="352E8A0B" w14:textId="7D384796" w:rsidR="00B14551" w:rsidRPr="00781DD9" w:rsidRDefault="00B14551" w:rsidP="00B14551">
      <w:pPr>
        <w:pStyle w:val="ParaNum11"/>
        <w:numPr>
          <w:ilvl w:val="0"/>
          <w:numId w:val="0"/>
        </w:numPr>
        <w:ind w:left="1440" w:right="720"/>
        <w:rPr>
          <w:sz w:val="22"/>
        </w:rPr>
      </w:pPr>
      <w:r w:rsidRPr="00781DD9">
        <w:rPr>
          <w:sz w:val="22"/>
        </w:rPr>
        <w:t>M.</w:t>
      </w:r>
      <w:r w:rsidR="009847D1">
        <w:rPr>
          <w:sz w:val="22"/>
        </w:rPr>
        <w:t> </w:t>
      </w:r>
      <w:r w:rsidRPr="00781DD9">
        <w:rPr>
          <w:sz w:val="22"/>
        </w:rPr>
        <w:t>MARC-ANDRÉ</w:t>
      </w:r>
      <w:r w:rsidR="009847D1">
        <w:rPr>
          <w:sz w:val="22"/>
        </w:rPr>
        <w:t> </w:t>
      </w:r>
      <w:r w:rsidRPr="00781DD9">
        <w:rPr>
          <w:sz w:val="22"/>
        </w:rPr>
        <w:t>LAVIGNE</w:t>
      </w:r>
      <w:r w:rsidR="009847D1">
        <w:rPr>
          <w:sz w:val="22"/>
        </w:rPr>
        <w:t> </w:t>
      </w:r>
      <w:r w:rsidRPr="00781DD9">
        <w:rPr>
          <w:sz w:val="22"/>
        </w:rPr>
        <w:t>: R.</w:t>
      </w:r>
      <w:r>
        <w:rPr>
          <w:sz w:val="22"/>
        </w:rPr>
        <w:t xml:space="preserve"> </w:t>
      </w:r>
      <w:r w:rsidRPr="00781DD9">
        <w:rPr>
          <w:sz w:val="22"/>
        </w:rPr>
        <w:t xml:space="preserve">Marc-André Lavigne. </w:t>
      </w:r>
      <w:r w:rsidRPr="00781DD9">
        <w:rPr>
          <w:sz w:val="22"/>
          <w:u w:val="single"/>
        </w:rPr>
        <w:t>La réponse à votre question est non</w:t>
      </w:r>
      <w:r w:rsidRPr="00781DD9">
        <w:rPr>
          <w:sz w:val="22"/>
        </w:rPr>
        <w:t>. Pour nous, tout volume en sus de zéro mégawatt (0</w:t>
      </w:r>
      <w:r w:rsidR="006F0762">
        <w:rPr>
          <w:sz w:val="22"/>
        </w:rPr>
        <w:t> </w:t>
      </w:r>
      <w:r w:rsidRPr="00781DD9">
        <w:rPr>
          <w:sz w:val="22"/>
        </w:rPr>
        <w:t>MW) va créer, va exacerber la pression sur les bilans.</w:t>
      </w:r>
    </w:p>
    <w:p w14:paraId="557288E2" w14:textId="77777777" w:rsidR="00B14551" w:rsidRPr="00781DD9" w:rsidRDefault="00B14551" w:rsidP="00B14551">
      <w:pPr>
        <w:pStyle w:val="ParaNum11"/>
        <w:numPr>
          <w:ilvl w:val="0"/>
          <w:numId w:val="0"/>
        </w:numPr>
        <w:ind w:left="1440" w:right="720"/>
        <w:rPr>
          <w:sz w:val="22"/>
        </w:rPr>
      </w:pPr>
      <w:r w:rsidRPr="00781DD9">
        <w:rPr>
          <w:sz w:val="22"/>
        </w:rPr>
        <w:t>[…]</w:t>
      </w:r>
    </w:p>
    <w:p w14:paraId="25FA2B7B" w14:textId="11D5AE95" w:rsidR="00B14551" w:rsidRDefault="00B14551" w:rsidP="00B14551">
      <w:pPr>
        <w:pStyle w:val="ParaNum11"/>
        <w:numPr>
          <w:ilvl w:val="0"/>
          <w:numId w:val="0"/>
        </w:numPr>
        <w:ind w:left="1440" w:right="720"/>
        <w:rPr>
          <w:sz w:val="22"/>
        </w:rPr>
      </w:pPr>
      <w:r w:rsidRPr="00781DD9">
        <w:rPr>
          <w:sz w:val="22"/>
        </w:rPr>
        <w:t>J'ai bien compris, zéro et cent pour cent (100</w:t>
      </w:r>
      <w:r w:rsidR="009847D1">
        <w:rPr>
          <w:sz w:val="22"/>
        </w:rPr>
        <w:t> </w:t>
      </w:r>
      <w:r w:rsidRPr="00781DD9">
        <w:rPr>
          <w:sz w:val="22"/>
        </w:rPr>
        <w:t>%)</w:t>
      </w:r>
      <w:r w:rsidR="006F0762">
        <w:rPr>
          <w:sz w:val="22"/>
        </w:rPr>
        <w:t>,</w:t>
      </w:r>
      <w:r w:rsidRPr="00781DD9">
        <w:rPr>
          <w:sz w:val="22"/>
        </w:rPr>
        <w:t xml:space="preserve"> mais est-ce que</w:t>
      </w:r>
      <w:r w:rsidR="009847D1">
        <w:rPr>
          <w:sz w:val="22"/>
        </w:rPr>
        <w:t>…</w:t>
      </w:r>
      <w:r w:rsidRPr="00781DD9">
        <w:rPr>
          <w:sz w:val="22"/>
        </w:rPr>
        <w:t xml:space="preserve"> la question était plutôt de savoir </w:t>
      </w:r>
      <w:r w:rsidRPr="00781DD9">
        <w:rPr>
          <w:sz w:val="22"/>
          <w:u w:val="single"/>
        </w:rPr>
        <w:t>si vous avez réalisé des scénarios qui se situaient entre les deux, donc, différentes hypothèses qui se situaient entre zéro et deux cent soixante-dix mégawatts (270</w:t>
      </w:r>
      <w:r w:rsidR="006F0762">
        <w:rPr>
          <w:sz w:val="22"/>
          <w:u w:val="single"/>
        </w:rPr>
        <w:t> </w:t>
      </w:r>
      <w:r w:rsidRPr="00781DD9">
        <w:rPr>
          <w:sz w:val="22"/>
          <w:u w:val="single"/>
        </w:rPr>
        <w:t>MW)</w:t>
      </w:r>
      <w:r w:rsidRPr="00781DD9">
        <w:rPr>
          <w:sz w:val="22"/>
        </w:rPr>
        <w:t xml:space="preserve">? </w:t>
      </w:r>
    </w:p>
    <w:p w14:paraId="0962DE4F" w14:textId="44D970F6" w:rsidR="00B14551" w:rsidRDefault="00B14551" w:rsidP="00B14551">
      <w:pPr>
        <w:pStyle w:val="ParaNum11"/>
        <w:numPr>
          <w:ilvl w:val="0"/>
          <w:numId w:val="0"/>
        </w:numPr>
        <w:ind w:left="1440" w:right="720"/>
        <w:rPr>
          <w:sz w:val="22"/>
        </w:rPr>
      </w:pPr>
      <w:r w:rsidRPr="00781DD9">
        <w:rPr>
          <w:sz w:val="22"/>
        </w:rPr>
        <w:t>R.</w:t>
      </w:r>
      <w:r>
        <w:rPr>
          <w:sz w:val="22"/>
        </w:rPr>
        <w:t xml:space="preserve"> </w:t>
      </w:r>
      <w:r w:rsidRPr="00781DD9">
        <w:rPr>
          <w:sz w:val="22"/>
        </w:rPr>
        <w:t xml:space="preserve">Et comme je viens de vous dire, </w:t>
      </w:r>
      <w:r w:rsidRPr="00781DD9">
        <w:rPr>
          <w:sz w:val="22"/>
          <w:u w:val="single"/>
        </w:rPr>
        <w:t>la réponse est non</w:t>
      </w:r>
      <w:r w:rsidRPr="00781DD9">
        <w:rPr>
          <w:sz w:val="22"/>
        </w:rPr>
        <w:t>.</w:t>
      </w:r>
      <w:r w:rsidR="006F0762">
        <w:rPr>
          <w:sz w:val="22"/>
        </w:rPr>
        <w:t> </w:t>
      </w:r>
      <w:r>
        <w:rPr>
          <w:sz w:val="22"/>
        </w:rPr>
        <w:t>»</w:t>
      </w:r>
    </w:p>
    <w:p w14:paraId="30F74143" w14:textId="77777777" w:rsidR="00B14551" w:rsidRDefault="00B14551" w:rsidP="00B14551">
      <w:pPr>
        <w:pStyle w:val="ParaNum11"/>
        <w:numPr>
          <w:ilvl w:val="0"/>
          <w:numId w:val="0"/>
        </w:numPr>
        <w:ind w:left="1440" w:right="720"/>
        <w:jc w:val="right"/>
        <w:rPr>
          <w:sz w:val="22"/>
        </w:rPr>
      </w:pPr>
      <w:r>
        <w:rPr>
          <w:sz w:val="22"/>
        </w:rPr>
        <w:lastRenderedPageBreak/>
        <w:t>[Nous soulignons]</w:t>
      </w:r>
    </w:p>
    <w:tbl>
      <w:tblPr>
        <w:tblW w:w="8958" w:type="dxa"/>
        <w:tblInd w:w="648" w:type="dxa"/>
        <w:tblLook w:val="00A0" w:firstRow="1" w:lastRow="0" w:firstColumn="1" w:lastColumn="0" w:noHBand="0" w:noVBand="0"/>
      </w:tblPr>
      <w:tblGrid>
        <w:gridCol w:w="7092"/>
        <w:gridCol w:w="1866"/>
      </w:tblGrid>
      <w:tr w:rsidR="00B14551" w:rsidRPr="00726152" w14:paraId="29B2C2B6" w14:textId="77777777" w:rsidTr="009847D1">
        <w:tc>
          <w:tcPr>
            <w:tcW w:w="7092" w:type="dxa"/>
          </w:tcPr>
          <w:p w14:paraId="188F6289" w14:textId="331E9632" w:rsidR="00B14551" w:rsidRPr="00726152" w:rsidRDefault="00B14551" w:rsidP="00CB5458">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du 12</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juin</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2023, aux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229-230,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21-24 et 2-8.</w:t>
            </w:r>
          </w:p>
        </w:tc>
        <w:tc>
          <w:tcPr>
            <w:tcW w:w="1866" w:type="dxa"/>
            <w:vAlign w:val="center"/>
          </w:tcPr>
          <w:p w14:paraId="4FC3E847" w14:textId="77777777" w:rsidR="00B14551" w:rsidRPr="00726152" w:rsidRDefault="00B14551" w:rsidP="009847D1">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A-0051</w:t>
            </w:r>
          </w:p>
        </w:tc>
      </w:tr>
    </w:tbl>
    <w:p w14:paraId="0DA8377A" w14:textId="3AB05D79" w:rsidR="009B4317" w:rsidRDefault="009B4317" w:rsidP="00F1699A">
      <w:pPr>
        <w:pStyle w:val="NumA1"/>
      </w:pPr>
      <w:r>
        <w:t>L</w:t>
      </w:r>
      <w:r w:rsidRPr="009D14DF">
        <w:t xml:space="preserve">’approbation du plan d’approvisionnement recherchée par le Distributeur ne </w:t>
      </w:r>
      <w:r>
        <w:t>devrait pas</w:t>
      </w:r>
      <w:r w:rsidRPr="009D14DF">
        <w:t xml:space="preserve"> permettre </w:t>
      </w:r>
      <w:r>
        <w:t xml:space="preserve">d’annuler et de réécrire </w:t>
      </w:r>
      <w:r w:rsidRPr="009D14DF">
        <w:t>une décision d</w:t>
      </w:r>
      <w:r w:rsidRPr="000958E6">
        <w:t>e la Régie</w:t>
      </w:r>
      <w:r>
        <w:t xml:space="preserve"> valablement rendue. </w:t>
      </w:r>
      <w:r w:rsidRPr="006841DD">
        <w:t>Une</w:t>
      </w:r>
      <w:r>
        <w:t xml:space="preserve"> telle position est manifestement contraire au cadre </w:t>
      </w:r>
      <w:r w:rsidR="009025F6">
        <w:t>réglementaire</w:t>
      </w:r>
      <w:r>
        <w:t xml:space="preserve"> et heurte la stabilité juridique des décisions rendues par la Régie;</w:t>
      </w:r>
    </w:p>
    <w:p w14:paraId="0B4C3A28" w14:textId="206035DE" w:rsidR="007D7789" w:rsidRPr="00BD4B7C" w:rsidRDefault="009B4317" w:rsidP="00F1699A">
      <w:pPr>
        <w:pStyle w:val="NumA1"/>
      </w:pPr>
      <w:r>
        <w:t>HIVE</w:t>
      </w:r>
      <w:r w:rsidR="007D7789" w:rsidRPr="003A7A1B">
        <w:t xml:space="preserve"> soumet respectueusement que </w:t>
      </w:r>
      <w:r>
        <w:t>le Distributeur n’est pas autorisé, par sa Demande, à demander la révision des ordonnances rendues dans la décision</w:t>
      </w:r>
      <w:r w:rsidR="009847D1">
        <w:t> </w:t>
      </w:r>
      <w:r>
        <w:t xml:space="preserve">D-2021-148; </w:t>
      </w:r>
    </w:p>
    <w:p w14:paraId="3ED75150" w14:textId="322C5859" w:rsidR="007D7789" w:rsidRDefault="007D7789" w:rsidP="007D7789">
      <w:pPr>
        <w:pStyle w:val="NumA3"/>
      </w:pPr>
      <w:r w:rsidRPr="007D7789">
        <w:t>Illégalité</w:t>
      </w:r>
      <w:r>
        <w:t xml:space="preserve"> de la demande du Distributeur </w:t>
      </w:r>
    </w:p>
    <w:p w14:paraId="12547556" w14:textId="04D40615" w:rsidR="009B4317" w:rsidRDefault="009B4317" w:rsidP="00F1699A">
      <w:pPr>
        <w:pStyle w:val="NumA1"/>
      </w:pPr>
      <w:r>
        <w:t xml:space="preserve">La Demande s’inscrit dans le processus d’approbation du plan </w:t>
      </w:r>
      <w:r w:rsidRPr="009B4317">
        <w:t>d’approvisionnement</w:t>
      </w:r>
      <w:r w:rsidR="009847D1">
        <w:t> </w:t>
      </w:r>
      <w:r>
        <w:t>2023-</w:t>
      </w:r>
      <w:r w:rsidRPr="006841DD">
        <w:t>2032</w:t>
      </w:r>
      <w:r>
        <w:t xml:space="preserve"> et est en conséquence soumise en vertu de l’article</w:t>
      </w:r>
      <w:r w:rsidR="009847D1">
        <w:t> </w:t>
      </w:r>
      <w:r>
        <w:t>72 de la LR</w:t>
      </w:r>
      <w:r w:rsidR="00F05C88">
        <w:t>E</w:t>
      </w:r>
      <w:r>
        <w:t>. Toutefois, le Distributeur a déposé la Demande également en vertu des articles 31</w:t>
      </w:r>
      <w:r w:rsidR="006F0762">
        <w:t> </w:t>
      </w:r>
      <w:r>
        <w:t>al. 1 (1</w:t>
      </w:r>
      <w:r w:rsidR="006F0762">
        <w:t> </w:t>
      </w:r>
      <w:r w:rsidRPr="009B4317">
        <w:rPr>
          <w:vertAlign w:val="superscript"/>
        </w:rPr>
        <w:t>o</w:t>
      </w:r>
      <w:r>
        <w:t>) et (5</w:t>
      </w:r>
      <w:r w:rsidR="006F0762">
        <w:t> </w:t>
      </w:r>
      <w:r w:rsidRPr="009B4317">
        <w:rPr>
          <w:vertAlign w:val="superscript"/>
        </w:rPr>
        <w:t>o</w:t>
      </w:r>
      <w:r>
        <w:t>) et 34 LR</w:t>
      </w:r>
      <w:r w:rsidR="004B78DD">
        <w:t>E</w:t>
      </w:r>
      <w:r>
        <w:t>;</w:t>
      </w:r>
    </w:p>
    <w:p w14:paraId="4D26177E" w14:textId="11F3D5D7" w:rsidR="009B4317" w:rsidRDefault="009B4317" w:rsidP="00F1699A">
      <w:pPr>
        <w:pStyle w:val="NumA1"/>
      </w:pPr>
      <w:r>
        <w:t>L’article</w:t>
      </w:r>
      <w:r w:rsidR="009847D1">
        <w:t> </w:t>
      </w:r>
      <w:r>
        <w:t>72 de la LR</w:t>
      </w:r>
      <w:r w:rsidR="004B78DD">
        <w:t>E</w:t>
      </w:r>
      <w:r>
        <w:t xml:space="preserve"> prévoit ce qui suit</w:t>
      </w:r>
      <w:r w:rsidR="009847D1">
        <w:t> </w:t>
      </w:r>
      <w:r>
        <w:t>:</w:t>
      </w:r>
    </w:p>
    <w:p w14:paraId="49601FE7" w14:textId="04F63F93" w:rsidR="009B4317" w:rsidRPr="00871889" w:rsidRDefault="009B4317" w:rsidP="009B4317">
      <w:pPr>
        <w:pStyle w:val="QuoteCitation"/>
      </w:pPr>
      <w:r w:rsidRPr="00871889">
        <w:t>«</w:t>
      </w:r>
      <w:r w:rsidR="006F0762">
        <w:t> </w:t>
      </w:r>
      <w:r w:rsidRPr="00871889">
        <w:t xml:space="preserve">À l’exception des réseaux privés d’électricité, </w:t>
      </w:r>
      <w:r w:rsidRPr="00871889">
        <w:rPr>
          <w:u w:val="single"/>
        </w:rPr>
        <w:t>tout titulaire d’un droit exclusif de distribution d’électricité</w:t>
      </w:r>
      <w:r w:rsidRPr="00871889">
        <w:t xml:space="preserve"> ou de gaz naturel </w:t>
      </w:r>
      <w:r w:rsidRPr="00871889">
        <w:rPr>
          <w:u w:val="single"/>
        </w:rPr>
        <w:t>doit préparer et soumettre à l’approbation de la Régie</w:t>
      </w:r>
      <w:r w:rsidRPr="00871889">
        <w:t xml:space="preserve">, suivant la forme, la teneur et la périodicité fixées par règlement de celle-ci, </w:t>
      </w:r>
      <w:r w:rsidRPr="00871889">
        <w:rPr>
          <w:u w:val="single"/>
        </w:rPr>
        <w:t>un plan d’approvisionnement décrivant les caractéristiques des contrats qu’il entend conclure pour satisfaire les besoins des marchés québécois après application des mesures d’efficacité énergétique</w:t>
      </w:r>
      <w:r w:rsidRPr="00871889">
        <w:t>. Le plan doit tenir compte</w:t>
      </w:r>
      <w:r w:rsidR="009847D1">
        <w:t> </w:t>
      </w:r>
      <w:r w:rsidRPr="00871889">
        <w:t>:</w:t>
      </w:r>
    </w:p>
    <w:p w14:paraId="07B4C6AD" w14:textId="77777777" w:rsidR="009B4317" w:rsidRPr="00871889" w:rsidRDefault="009B4317" w:rsidP="009B4317">
      <w:pPr>
        <w:pStyle w:val="QuoteCitation"/>
      </w:pPr>
      <w:r w:rsidRPr="00871889">
        <w:t>[…]</w:t>
      </w:r>
    </w:p>
    <w:p w14:paraId="3D368196" w14:textId="51A16E24" w:rsidR="009B4317" w:rsidRDefault="009B4317" w:rsidP="009B4317">
      <w:pPr>
        <w:pStyle w:val="QuoteCitation"/>
      </w:pPr>
      <w:r w:rsidRPr="00871889">
        <w:rPr>
          <w:u w:val="single"/>
        </w:rPr>
        <w:t>Pour l’approbation des plans, la Régie tient compte des préoccupations économiques, sociales et environnementales que peut lui indiquer le gouvernement par décret</w:t>
      </w:r>
      <w:r w:rsidRPr="00871889">
        <w:t>.</w:t>
      </w:r>
      <w:r w:rsidR="006F0762">
        <w:t> </w:t>
      </w:r>
      <w:r w:rsidRPr="00871889">
        <w:t>»</w:t>
      </w:r>
    </w:p>
    <w:p w14:paraId="6F162DCF" w14:textId="77777777" w:rsidR="009B4317" w:rsidRPr="00871889" w:rsidRDefault="009B4317" w:rsidP="009B4317">
      <w:pPr>
        <w:pStyle w:val="QuoteCitation"/>
      </w:pPr>
      <w:r>
        <w:t>[Nous soulignons]</w:t>
      </w:r>
    </w:p>
    <w:p w14:paraId="40E841A1" w14:textId="29D28708" w:rsidR="009B4317" w:rsidRDefault="009B4317" w:rsidP="00F1699A">
      <w:pPr>
        <w:pStyle w:val="NumA1"/>
      </w:pPr>
      <w:r>
        <w:t>Le 2</w:t>
      </w:r>
      <w:r w:rsidR="009847D1">
        <w:t> </w:t>
      </w:r>
      <w:r>
        <w:t>novembre</w:t>
      </w:r>
      <w:r w:rsidR="009847D1">
        <w:t> </w:t>
      </w:r>
      <w:r>
        <w:t>2022, soit le lendemain du dépôt de la Demande, le</w:t>
      </w:r>
      <w:r w:rsidR="00F05C88">
        <w:t xml:space="preserve"> Décret a été publié à la Gazette officielle du Québec</w:t>
      </w:r>
      <w:r>
        <w:t xml:space="preserve">. Il s’agit du décret concernant </w:t>
      </w:r>
      <w:r w:rsidRPr="00036085">
        <w:t>les préoccupations économiques, sociales et environnementales indiquées à la Régie à l’égard du Plan d’approvisionnement</w:t>
      </w:r>
      <w:r w:rsidR="009847D1">
        <w:t> </w:t>
      </w:r>
      <w:r w:rsidRPr="00036085">
        <w:t>2023</w:t>
      </w:r>
      <w:r>
        <w:t>-</w:t>
      </w:r>
      <w:r w:rsidRPr="00036085">
        <w:t>2032 d’Hydro-Québec</w:t>
      </w:r>
      <w:r>
        <w:t>. Les quelques passages suivants du Décret sont importants</w:t>
      </w:r>
      <w:r w:rsidR="009847D1">
        <w:t> </w:t>
      </w:r>
      <w:r>
        <w:t>:</w:t>
      </w:r>
    </w:p>
    <w:p w14:paraId="292A98D4" w14:textId="00894F90" w:rsidR="009B4317" w:rsidRPr="00ED7FA2" w:rsidRDefault="009B4317" w:rsidP="009B4317">
      <w:pPr>
        <w:pStyle w:val="QuoteCitation"/>
      </w:pPr>
      <w:r w:rsidRPr="00ED7FA2">
        <w:t>«</w:t>
      </w:r>
      <w:r w:rsidR="006F0762">
        <w:t> </w:t>
      </w:r>
      <w:r w:rsidRPr="00ED7FA2">
        <w:t>Attendu que, dans son Plan stratégique</w:t>
      </w:r>
      <w:r w:rsidR="009847D1">
        <w:t> </w:t>
      </w:r>
      <w:r w:rsidRPr="00ED7FA2">
        <w:t xml:space="preserve">2022-2026, Hydro-Québec indique qu’en raison de la hausse prévue de la demande d’électricité et du resserrement des bilans d’énergie et de puissance, </w:t>
      </w:r>
      <w:r w:rsidRPr="00ED7FA2">
        <w:rPr>
          <w:u w:val="single"/>
        </w:rPr>
        <w:t>elle devra maintenant privilégier les usages qui génèreront le plus de valeur pour le Québec</w:t>
      </w:r>
      <w:r w:rsidRPr="00ED7FA2">
        <w:t>.</w:t>
      </w:r>
    </w:p>
    <w:p w14:paraId="6235C099" w14:textId="77777777" w:rsidR="009B4317" w:rsidRPr="00ED7FA2" w:rsidRDefault="009B4317" w:rsidP="009B4317">
      <w:pPr>
        <w:pStyle w:val="QuoteCitation"/>
      </w:pPr>
      <w:r w:rsidRPr="00ED7FA2">
        <w:lastRenderedPageBreak/>
        <w:t>[…]</w:t>
      </w:r>
    </w:p>
    <w:p w14:paraId="432AA7A4" w14:textId="77777777" w:rsidR="009B4317" w:rsidRPr="00ED7FA2" w:rsidRDefault="009B4317" w:rsidP="009B4317">
      <w:pPr>
        <w:pStyle w:val="QuoteCitation"/>
      </w:pPr>
      <w:r w:rsidRPr="00ED7FA2">
        <w:t xml:space="preserve">Attendu </w:t>
      </w:r>
      <w:r w:rsidRPr="00ED7FA2">
        <w:rPr>
          <w:u w:val="single"/>
        </w:rPr>
        <w:t>qu’il existe actuellement un bloc dédié qui n’a pas encore été entièrement alloué</w:t>
      </w:r>
      <w:r w:rsidRPr="00ED7FA2">
        <w:t>;</w:t>
      </w:r>
    </w:p>
    <w:p w14:paraId="566E144C" w14:textId="77777777" w:rsidR="009B4317" w:rsidRPr="00ED7FA2" w:rsidRDefault="009B4317" w:rsidP="009B4317">
      <w:pPr>
        <w:pStyle w:val="QuoteCitation"/>
      </w:pPr>
      <w:r w:rsidRPr="00ED7FA2">
        <w:t>[…]</w:t>
      </w:r>
    </w:p>
    <w:p w14:paraId="580D79A8" w14:textId="45E09E50" w:rsidR="009B4317" w:rsidRDefault="009B4317" w:rsidP="009B4317">
      <w:pPr>
        <w:pStyle w:val="QuoteCitation"/>
      </w:pPr>
      <w:r w:rsidRPr="00ED7FA2">
        <w:t xml:space="preserve">3. Il y aurait lieu de considérer que </w:t>
      </w:r>
      <w:r w:rsidRPr="00ED7FA2">
        <w:rPr>
          <w:u w:val="single"/>
        </w:rPr>
        <w:t>l’allocation d’un bloc dédié à un secteur spécifique, pour des demandes de branchement qui ne sont pas prioritaires et stratégiques, constitue un risque à la capacité du distributeur d’électricité de répondre adéquatement aux demandes de branchement prioritaires et stratégiques qui lui sont faites</w:t>
      </w:r>
      <w:r w:rsidRPr="00ED7FA2">
        <w:t>, particulièrement dans le contexte où ces demandes et les besoins qui y sont liés sont largement supérieurs aux capacités d’Hydro-Québec d’y répondre dans un horizon moyen terme;</w:t>
      </w:r>
    </w:p>
    <w:p w14:paraId="1800F7E7" w14:textId="77777777" w:rsidR="009B4317" w:rsidRDefault="009B4317" w:rsidP="009B4317">
      <w:pPr>
        <w:pStyle w:val="QuoteCitation"/>
      </w:pPr>
      <w:r>
        <w:t>[Nous soulignons]</w:t>
      </w:r>
    </w:p>
    <w:p w14:paraId="78331289" w14:textId="52B71C70" w:rsidR="009B4317" w:rsidRDefault="009B4317" w:rsidP="00F1699A">
      <w:pPr>
        <w:pStyle w:val="NumA1"/>
      </w:pPr>
      <w:r>
        <w:t>Les articles 31</w:t>
      </w:r>
      <w:r w:rsidR="006F0762">
        <w:t> </w:t>
      </w:r>
      <w:r>
        <w:t>al. 1 (1</w:t>
      </w:r>
      <w:r w:rsidR="006F0762">
        <w:t> </w:t>
      </w:r>
      <w:r w:rsidRPr="009B4317">
        <w:rPr>
          <w:vertAlign w:val="superscript"/>
        </w:rPr>
        <w:t>o</w:t>
      </w:r>
      <w:r>
        <w:t>) et (5</w:t>
      </w:r>
      <w:r w:rsidR="006F0762">
        <w:t> </w:t>
      </w:r>
      <w:r w:rsidRPr="009B4317">
        <w:rPr>
          <w:vertAlign w:val="superscript"/>
        </w:rPr>
        <w:t>o</w:t>
      </w:r>
      <w:r>
        <w:t>) de la LR</w:t>
      </w:r>
      <w:r w:rsidR="00F05C88">
        <w:t>E</w:t>
      </w:r>
      <w:r>
        <w:t>, quant à eux, prévoient ce qui suit</w:t>
      </w:r>
      <w:r w:rsidR="009847D1">
        <w:t> </w:t>
      </w:r>
      <w:r>
        <w:t>:</w:t>
      </w:r>
    </w:p>
    <w:p w14:paraId="5A5B05C2" w14:textId="03DA840C" w:rsidR="009B4317" w:rsidRPr="00DB509C" w:rsidRDefault="009847D1" w:rsidP="009B4317">
      <w:pPr>
        <w:pStyle w:val="QuoteCitation"/>
      </w:pPr>
      <w:r>
        <w:t>“</w:t>
      </w:r>
      <w:r w:rsidR="009B4317" w:rsidRPr="00DB509C">
        <w:t>La Régie a compétence exclusive pour</w:t>
      </w:r>
      <w:r>
        <w:t> </w:t>
      </w:r>
      <w:r w:rsidR="009B4317" w:rsidRPr="00DB509C">
        <w:t>:</w:t>
      </w:r>
    </w:p>
    <w:p w14:paraId="70F8C435" w14:textId="55264392" w:rsidR="009B4317" w:rsidRPr="00DB509C" w:rsidRDefault="009B4317" w:rsidP="009B4317">
      <w:pPr>
        <w:pStyle w:val="QuoteCitation"/>
      </w:pPr>
      <w:r w:rsidRPr="00DB509C">
        <w:t>1° fixer ou modifier les tarifs et les conditions auxquels l’électricité est transportée par le transporteur d’électricité ou distribuée par le distributeur d’électricité ou ceux auxquels le gaz naturel est fourni, transporté ou livré par un distributeur de gaz naturel ou emmagasiné;</w:t>
      </w:r>
    </w:p>
    <w:p w14:paraId="128C1234" w14:textId="77777777" w:rsidR="009B4317" w:rsidRPr="00DB509C" w:rsidRDefault="009B4317" w:rsidP="009B4317">
      <w:pPr>
        <w:pStyle w:val="QuoteCitation"/>
      </w:pPr>
      <w:r w:rsidRPr="00DB509C">
        <w:t>[…]</w:t>
      </w:r>
    </w:p>
    <w:p w14:paraId="22A30C91" w14:textId="37FB1015" w:rsidR="009B4317" w:rsidRDefault="009B4317" w:rsidP="009B4317">
      <w:pPr>
        <w:pStyle w:val="QuoteCitation"/>
      </w:pPr>
      <w:r w:rsidRPr="00DB509C">
        <w:t>5° décider de toute autre demande soumise en vertu de la présente loi.</w:t>
      </w:r>
      <w:r w:rsidR="009847D1">
        <w:t>”</w:t>
      </w:r>
    </w:p>
    <w:p w14:paraId="6425C893" w14:textId="77777777" w:rsidR="009B4317" w:rsidRDefault="009B4317" w:rsidP="009B4317">
      <w:pPr>
        <w:pStyle w:val="QuoteCitation"/>
      </w:pPr>
      <w:r>
        <w:t>[Nous soulignons]</w:t>
      </w:r>
    </w:p>
    <w:p w14:paraId="188CAE8F" w14:textId="5D45A545" w:rsidR="009B4317" w:rsidRDefault="009B4317" w:rsidP="00F1699A">
      <w:pPr>
        <w:pStyle w:val="NumA1"/>
      </w:pPr>
      <w:r>
        <w:t xml:space="preserve">La </w:t>
      </w:r>
      <w:r w:rsidRPr="009B4317">
        <w:t>Régie</w:t>
      </w:r>
      <w:r>
        <w:t xml:space="preserve"> a donc devant elle une demande d’approbation d’un plan d’approvisionnement déposée conformément à l’article</w:t>
      </w:r>
      <w:r w:rsidR="009847D1">
        <w:t> </w:t>
      </w:r>
      <w:r>
        <w:t>72 LR</w:t>
      </w:r>
      <w:r w:rsidR="00F05C88">
        <w:t>E</w:t>
      </w:r>
      <w:r>
        <w:t>, dans laquelle le Distributeur a décidé d’ajouter une demande de modification de Conditions de service en vertu de l’article</w:t>
      </w:r>
      <w:r w:rsidR="009847D1">
        <w:t> </w:t>
      </w:r>
      <w:r>
        <w:t>31, alinéa</w:t>
      </w:r>
      <w:r w:rsidR="009847D1">
        <w:t> </w:t>
      </w:r>
      <w:r>
        <w:t>1, paragraphe</w:t>
      </w:r>
      <w:r w:rsidR="004B78DD">
        <w:t> </w:t>
      </w:r>
      <w:r>
        <w:t>1, le tout afin de répondre à des préoccupations gouvernementales formulées dans le Décret;</w:t>
      </w:r>
    </w:p>
    <w:p w14:paraId="681160CA" w14:textId="699BE994" w:rsidR="009B4317" w:rsidRDefault="009B4317" w:rsidP="00F1699A">
      <w:pPr>
        <w:pStyle w:val="NumA1"/>
      </w:pPr>
      <w:r>
        <w:t xml:space="preserve">En ce </w:t>
      </w:r>
      <w:r w:rsidRPr="009B4317">
        <w:t>qui</w:t>
      </w:r>
      <w:r>
        <w:t xml:space="preserve"> concerne le Solde du Bloc réservé, les conclusions suivantes de la Demande doivent être soulignées</w:t>
      </w:r>
      <w:r w:rsidR="009847D1">
        <w:t> </w:t>
      </w:r>
      <w:r>
        <w:t xml:space="preserve">: </w:t>
      </w:r>
    </w:p>
    <w:p w14:paraId="7DBB121A" w14:textId="46654A6C" w:rsidR="009B4317" w:rsidRPr="009B4317" w:rsidRDefault="009B4317" w:rsidP="009B4317">
      <w:pPr>
        <w:pStyle w:val="QuoteCitation"/>
      </w:pPr>
      <w:r w:rsidRPr="009B4317">
        <w:t>«</w:t>
      </w:r>
      <w:r w:rsidR="006F0762">
        <w:t> </w:t>
      </w:r>
      <w:r w:rsidRPr="009B4317">
        <w:t xml:space="preserve">DÉTERMINER la quantité associée au Bloc réservé prévu pour l’alimentation des Clients CB;  </w:t>
      </w:r>
    </w:p>
    <w:p w14:paraId="0CB25ECB" w14:textId="2DD193AA" w:rsidR="009B4317" w:rsidRPr="009B4317" w:rsidRDefault="009B4317" w:rsidP="009B4317">
      <w:pPr>
        <w:pStyle w:val="QuoteCitation"/>
      </w:pPr>
      <w:r w:rsidRPr="009B4317">
        <w:t>APPROUVER le texte des Conditions de service, déposé à la pièce</w:t>
      </w:r>
      <w:r w:rsidR="009847D1">
        <w:t> </w:t>
      </w:r>
      <w:r w:rsidRPr="009B4317">
        <w:t>HQD-2, document</w:t>
      </w:r>
      <w:r w:rsidR="009847D1">
        <w:t> </w:t>
      </w:r>
      <w:r w:rsidRPr="009B4317">
        <w:t xml:space="preserve">3, dont la quantité associée au Bloc réservé pour l’alimentation des Clients CB qui sera à être déterminée au terme de l’étude complète du dossier;  </w:t>
      </w:r>
    </w:p>
    <w:p w14:paraId="31EB423A" w14:textId="071F596C" w:rsidR="009B4317" w:rsidRPr="009B4317" w:rsidRDefault="009B4317" w:rsidP="009B4317">
      <w:pPr>
        <w:pStyle w:val="QuoteCitation"/>
      </w:pPr>
      <w:r w:rsidRPr="009B4317">
        <w:t>FIXER la date d’entrée en vigueur du texte des Conditions de service à la date de la décision au fond;</w:t>
      </w:r>
      <w:r w:rsidR="006F0762">
        <w:t> </w:t>
      </w:r>
      <w:r w:rsidRPr="009B4317">
        <w:t>»</w:t>
      </w:r>
    </w:p>
    <w:p w14:paraId="501D9DFC" w14:textId="5DA0CD58" w:rsidR="009B4317" w:rsidRDefault="009B4317" w:rsidP="00F1699A">
      <w:pPr>
        <w:pStyle w:val="NumA1"/>
      </w:pPr>
      <w:r>
        <w:lastRenderedPageBreak/>
        <w:t xml:space="preserve">L’analyse d’une demande d’approbation du plan d’approvisionnement du Distributeur vise généralement à remettre en question </w:t>
      </w:r>
      <w:r w:rsidRPr="009B4317">
        <w:t>les prémisses analysées pour établir la situation énergétique</w:t>
      </w:r>
      <w:r>
        <w:t xml:space="preserve">, les capacités </w:t>
      </w:r>
      <w:r w:rsidRPr="009B4317">
        <w:t xml:space="preserve">d’approvisionnement </w:t>
      </w:r>
      <w:r>
        <w:t xml:space="preserve">du Distributeur et </w:t>
      </w:r>
      <w:r w:rsidRPr="009B4317">
        <w:t>les impacts</w:t>
      </w:r>
      <w:r>
        <w:t xml:space="preserve"> de ses prévisions sur</w:t>
      </w:r>
      <w:r w:rsidRPr="009B4317">
        <w:t xml:space="preserve"> la demande et sur les coûts nécessaire</w:t>
      </w:r>
      <w:r w:rsidR="009847D1">
        <w:t>s</w:t>
      </w:r>
      <w:r w:rsidRPr="009B4317">
        <w:t xml:space="preserve"> pour répondre à la demande</w:t>
      </w:r>
      <w:r>
        <w:t>;</w:t>
      </w:r>
      <w:r w:rsidRPr="009B4317">
        <w:t xml:space="preserve"> </w:t>
      </w:r>
    </w:p>
    <w:tbl>
      <w:tblPr>
        <w:tblW w:w="8958" w:type="dxa"/>
        <w:tblInd w:w="648" w:type="dxa"/>
        <w:tblLook w:val="00A0" w:firstRow="1" w:lastRow="0" w:firstColumn="1" w:lastColumn="0" w:noHBand="0" w:noVBand="0"/>
      </w:tblPr>
      <w:tblGrid>
        <w:gridCol w:w="7650"/>
        <w:gridCol w:w="1308"/>
      </w:tblGrid>
      <w:tr w:rsidR="00A82A2F" w:rsidRPr="00726152" w14:paraId="5B19DDA8" w14:textId="77777777" w:rsidTr="00A82A2F">
        <w:tc>
          <w:tcPr>
            <w:tcW w:w="7650" w:type="dxa"/>
          </w:tcPr>
          <w:p w14:paraId="1B42B6CC" w14:textId="778077A0" w:rsidR="00A82A2F" w:rsidRPr="00726152" w:rsidRDefault="00A82A2F" w:rsidP="00E731DA">
            <w:pPr>
              <w:spacing w:before="120" w:after="0" w:line="240" w:lineRule="auto"/>
              <w:ind w:left="72" w:firstLine="0"/>
              <w:rPr>
                <w:rFonts w:ascii="Times New Roman" w:eastAsia="Times New Roman" w:hAnsi="Times New Roman" w:cs="Times New Roman"/>
                <w:color w:val="000000"/>
                <w:szCs w:val="24"/>
              </w:rPr>
            </w:pPr>
            <w:r w:rsidRPr="009B4317">
              <w:rPr>
                <w:i/>
                <w:iCs/>
              </w:rPr>
              <w:t>Hydro-Québec et Association coopérative d’économie familiale de l’Outaouais (ACEFO)</w:t>
            </w:r>
            <w:r w:rsidRPr="009B4317">
              <w:t>, 2011 CanLII</w:t>
            </w:r>
            <w:r w:rsidR="009847D1">
              <w:t> </w:t>
            </w:r>
            <w:r w:rsidRPr="009B4317">
              <w:t>100208 (QC RDE)</w:t>
            </w:r>
          </w:p>
        </w:tc>
        <w:tc>
          <w:tcPr>
            <w:tcW w:w="1308" w:type="dxa"/>
            <w:vAlign w:val="center"/>
          </w:tcPr>
          <w:p w14:paraId="696B7950" w14:textId="47025550" w:rsidR="00A82A2F" w:rsidRPr="00726152" w:rsidRDefault="00A82A2F" w:rsidP="00A82A2F">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Onglet</w:t>
            </w:r>
            <w:r w:rsidR="009847D1">
              <w:rPr>
                <w:rFonts w:ascii="Times New Roman" w:eastAsia="Times New Roman" w:hAnsi="Times New Roman" w:cs="Times New Roman"/>
                <w:b/>
                <w:color w:val="000000"/>
              </w:rPr>
              <w:t> </w:t>
            </w:r>
            <w:r w:rsidR="00A87F7D">
              <w:rPr>
                <w:rFonts w:ascii="Times New Roman" w:eastAsia="Times New Roman" w:hAnsi="Times New Roman" w:cs="Times New Roman"/>
                <w:b/>
                <w:color w:val="000000"/>
              </w:rPr>
              <w:t>2</w:t>
            </w:r>
          </w:p>
        </w:tc>
      </w:tr>
      <w:tr w:rsidR="00F05C88" w:rsidRPr="00726152" w14:paraId="7C41D347" w14:textId="77777777" w:rsidTr="00A82A2F">
        <w:tc>
          <w:tcPr>
            <w:tcW w:w="7650" w:type="dxa"/>
          </w:tcPr>
          <w:p w14:paraId="4E8F3F62" w14:textId="0EC55186" w:rsidR="00F05C88" w:rsidRPr="00A82A2F" w:rsidRDefault="00F05C88" w:rsidP="00E731DA">
            <w:pPr>
              <w:spacing w:before="120" w:after="0" w:line="240" w:lineRule="auto"/>
              <w:ind w:left="72" w:firstLine="0"/>
              <w:rPr>
                <w:i/>
                <w:iCs/>
              </w:rPr>
            </w:pPr>
            <w:r w:rsidRPr="00F05C88">
              <w:rPr>
                <w:i/>
                <w:iCs/>
              </w:rPr>
              <w:t>Hydro-Québec et Association coopérative d’économie familiale de l’Outaouais (ACEFO)</w:t>
            </w:r>
            <w:r w:rsidRPr="00F05C88">
              <w:t>, 2015 CanLII</w:t>
            </w:r>
            <w:r w:rsidR="006F0762">
              <w:t> </w:t>
            </w:r>
            <w:r w:rsidRPr="00F05C88">
              <w:t>9568 (QC RDE)</w:t>
            </w:r>
          </w:p>
        </w:tc>
        <w:tc>
          <w:tcPr>
            <w:tcW w:w="1308" w:type="dxa"/>
            <w:vAlign w:val="center"/>
          </w:tcPr>
          <w:p w14:paraId="687F71E9" w14:textId="03299C27" w:rsidR="00F05C88" w:rsidRDefault="00A87F7D" w:rsidP="00A82A2F">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Onglet 3</w:t>
            </w:r>
          </w:p>
        </w:tc>
      </w:tr>
      <w:tr w:rsidR="00F05C88" w:rsidRPr="00726152" w14:paraId="0570431D" w14:textId="77777777" w:rsidTr="00A82A2F">
        <w:tc>
          <w:tcPr>
            <w:tcW w:w="7650" w:type="dxa"/>
          </w:tcPr>
          <w:p w14:paraId="70BF81DF" w14:textId="0B562F53" w:rsidR="00F05C88" w:rsidRPr="00F05C88" w:rsidRDefault="00F05C88" w:rsidP="00E731DA">
            <w:pPr>
              <w:spacing w:before="120" w:after="0" w:line="240" w:lineRule="auto"/>
              <w:ind w:left="72" w:firstLine="0"/>
              <w:rPr>
                <w:i/>
                <w:iCs/>
              </w:rPr>
            </w:pPr>
            <w:r w:rsidRPr="00F05C88">
              <w:rPr>
                <w:i/>
                <w:iCs/>
              </w:rPr>
              <w:t>Hydro-Québec et Association coopérative d'économie familiale de Québec (ACEFQ)</w:t>
            </w:r>
            <w:r w:rsidRPr="00F05C88">
              <w:t>, 2017 CanLII</w:t>
            </w:r>
            <w:r w:rsidR="006F0762">
              <w:t> </w:t>
            </w:r>
            <w:r w:rsidRPr="00F05C88">
              <w:t>89911 (QC RDE)</w:t>
            </w:r>
          </w:p>
        </w:tc>
        <w:tc>
          <w:tcPr>
            <w:tcW w:w="1308" w:type="dxa"/>
            <w:vAlign w:val="center"/>
          </w:tcPr>
          <w:p w14:paraId="7DE6419E" w14:textId="77B6801C" w:rsidR="00F05C88" w:rsidRPr="00F05C88" w:rsidRDefault="00A87F7D" w:rsidP="00A82A2F">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Onglet 4</w:t>
            </w:r>
          </w:p>
        </w:tc>
      </w:tr>
    </w:tbl>
    <w:p w14:paraId="1CB519BE" w14:textId="2C4FB298" w:rsidR="009B4317" w:rsidRDefault="009B4317" w:rsidP="00F1699A">
      <w:pPr>
        <w:pStyle w:val="NumA1"/>
      </w:pPr>
      <w:r>
        <w:t>Historiquement, les demandes du Distributeur dans le cadre d’une demande d’approbation d’un plan d’approvisionnement n’ont visé qu’à obtenir l’approbation de leur plan d’approvisionnement</w:t>
      </w:r>
      <w:r w:rsidR="00F05C88">
        <w:t>. Aucune de ces demandes ne visaient à modifier les Conditions de service</w:t>
      </w:r>
      <w:r>
        <w:t xml:space="preserve">; </w:t>
      </w:r>
    </w:p>
    <w:tbl>
      <w:tblPr>
        <w:tblW w:w="8958" w:type="dxa"/>
        <w:tblInd w:w="648" w:type="dxa"/>
        <w:tblLook w:val="00A0" w:firstRow="1" w:lastRow="0" w:firstColumn="1" w:lastColumn="0" w:noHBand="0" w:noVBand="0"/>
      </w:tblPr>
      <w:tblGrid>
        <w:gridCol w:w="7650"/>
        <w:gridCol w:w="1308"/>
      </w:tblGrid>
      <w:tr w:rsidR="009B4317" w:rsidRPr="00726152" w14:paraId="38FD4722" w14:textId="77777777" w:rsidTr="00E731DA">
        <w:tc>
          <w:tcPr>
            <w:tcW w:w="7650" w:type="dxa"/>
          </w:tcPr>
          <w:p w14:paraId="6AA94EAF" w14:textId="77777777" w:rsidR="009B4317" w:rsidRPr="00726152" w:rsidRDefault="009B4317" w:rsidP="00E731DA">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R-3986-2016, B-0004 </w:t>
            </w:r>
          </w:p>
        </w:tc>
        <w:tc>
          <w:tcPr>
            <w:tcW w:w="1308" w:type="dxa"/>
            <w:vAlign w:val="bottom"/>
          </w:tcPr>
          <w:p w14:paraId="7C3C8668" w14:textId="363539C8" w:rsidR="009B4317" w:rsidRPr="00726152" w:rsidRDefault="009B4317" w:rsidP="00E731DA">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Onglet</w:t>
            </w:r>
            <w:r w:rsidR="009847D1">
              <w:rPr>
                <w:rFonts w:ascii="Times New Roman" w:eastAsia="Times New Roman" w:hAnsi="Times New Roman" w:cs="Times New Roman"/>
                <w:b/>
                <w:color w:val="000000"/>
              </w:rPr>
              <w:t> </w:t>
            </w:r>
            <w:r w:rsidR="00A87F7D">
              <w:rPr>
                <w:rFonts w:ascii="Times New Roman" w:eastAsia="Times New Roman" w:hAnsi="Times New Roman" w:cs="Times New Roman"/>
                <w:b/>
                <w:color w:val="000000"/>
              </w:rPr>
              <w:t>5</w:t>
            </w:r>
          </w:p>
        </w:tc>
      </w:tr>
      <w:tr w:rsidR="009B4317" w:rsidRPr="00726152" w14:paraId="21BC01EE" w14:textId="77777777" w:rsidTr="00E731DA">
        <w:tc>
          <w:tcPr>
            <w:tcW w:w="7650" w:type="dxa"/>
          </w:tcPr>
          <w:p w14:paraId="679EA6DC" w14:textId="77777777" w:rsidR="009B4317" w:rsidRDefault="009B4317" w:rsidP="00E731DA">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R-3864-2013, B-0002</w:t>
            </w:r>
          </w:p>
        </w:tc>
        <w:tc>
          <w:tcPr>
            <w:tcW w:w="1308" w:type="dxa"/>
            <w:vAlign w:val="bottom"/>
          </w:tcPr>
          <w:p w14:paraId="4C743903" w14:textId="46168CE5" w:rsidR="009B4317" w:rsidRPr="009B4317" w:rsidRDefault="009B4317" w:rsidP="00E731DA">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Onglet</w:t>
            </w:r>
            <w:r w:rsidR="009847D1">
              <w:rPr>
                <w:rFonts w:ascii="Times New Roman" w:eastAsia="Times New Roman" w:hAnsi="Times New Roman" w:cs="Times New Roman"/>
                <w:b/>
                <w:color w:val="000000"/>
              </w:rPr>
              <w:t> </w:t>
            </w:r>
            <w:r w:rsidR="00A87F7D">
              <w:rPr>
                <w:rFonts w:ascii="Times New Roman" w:eastAsia="Times New Roman" w:hAnsi="Times New Roman" w:cs="Times New Roman"/>
                <w:b/>
                <w:color w:val="000000"/>
              </w:rPr>
              <w:t>6</w:t>
            </w:r>
          </w:p>
        </w:tc>
      </w:tr>
      <w:tr w:rsidR="009B4317" w:rsidRPr="00726152" w14:paraId="1F853540" w14:textId="77777777" w:rsidTr="00E731DA">
        <w:tc>
          <w:tcPr>
            <w:tcW w:w="7650" w:type="dxa"/>
          </w:tcPr>
          <w:p w14:paraId="44A2D922" w14:textId="77777777" w:rsidR="009B4317" w:rsidRDefault="009B4317" w:rsidP="00E731DA">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R-3748-2010, B-0003</w:t>
            </w:r>
          </w:p>
        </w:tc>
        <w:tc>
          <w:tcPr>
            <w:tcW w:w="1308" w:type="dxa"/>
            <w:vAlign w:val="bottom"/>
          </w:tcPr>
          <w:p w14:paraId="3670C6BE" w14:textId="1EE45596" w:rsidR="009B4317" w:rsidRDefault="009B4317" w:rsidP="00E731DA">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Onglet</w:t>
            </w:r>
            <w:r w:rsidR="009847D1">
              <w:rPr>
                <w:rFonts w:ascii="Times New Roman" w:eastAsia="Times New Roman" w:hAnsi="Times New Roman" w:cs="Times New Roman"/>
                <w:b/>
                <w:color w:val="000000"/>
              </w:rPr>
              <w:t> </w:t>
            </w:r>
            <w:r w:rsidR="00A87F7D">
              <w:rPr>
                <w:rFonts w:ascii="Times New Roman" w:eastAsia="Times New Roman" w:hAnsi="Times New Roman" w:cs="Times New Roman"/>
                <w:b/>
                <w:color w:val="000000"/>
              </w:rPr>
              <w:t>7</w:t>
            </w:r>
          </w:p>
        </w:tc>
      </w:tr>
    </w:tbl>
    <w:p w14:paraId="5458A400" w14:textId="4A10AA1A" w:rsidR="009B4317" w:rsidRDefault="009B4317" w:rsidP="00F1699A">
      <w:pPr>
        <w:pStyle w:val="NumA1"/>
      </w:pPr>
      <w:r>
        <w:t>D’ailleurs, les témoins du Distributeur notent qu’ils n’ont pas souvenir qu’une demande d</w:t>
      </w:r>
      <w:r w:rsidR="004B78DD">
        <w:t>’approbation de</w:t>
      </w:r>
      <w:r>
        <w:t xml:space="preserve"> plan d’approvisionnement ait déjà visé la modification des Conditions de service; </w:t>
      </w:r>
    </w:p>
    <w:tbl>
      <w:tblPr>
        <w:tblW w:w="8958" w:type="dxa"/>
        <w:tblInd w:w="648" w:type="dxa"/>
        <w:tblLook w:val="00A0" w:firstRow="1" w:lastRow="0" w:firstColumn="1" w:lastColumn="0" w:noHBand="0" w:noVBand="0"/>
      </w:tblPr>
      <w:tblGrid>
        <w:gridCol w:w="7272"/>
        <w:gridCol w:w="1686"/>
      </w:tblGrid>
      <w:tr w:rsidR="009B4317" w:rsidRPr="00726152" w14:paraId="37F4C7EE" w14:textId="77777777" w:rsidTr="009847D1">
        <w:tc>
          <w:tcPr>
            <w:tcW w:w="7272" w:type="dxa"/>
          </w:tcPr>
          <w:p w14:paraId="67988657" w14:textId="6852A705" w:rsidR="009B4317" w:rsidRPr="00726152" w:rsidRDefault="009B4317" w:rsidP="00E731DA">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du 13</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juin</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2023,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104,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18 à 25 et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105,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 xml:space="preserve">1 à 2. </w:t>
            </w:r>
          </w:p>
        </w:tc>
        <w:tc>
          <w:tcPr>
            <w:tcW w:w="1686" w:type="dxa"/>
            <w:vAlign w:val="center"/>
          </w:tcPr>
          <w:p w14:paraId="6166987C" w14:textId="759120CA" w:rsidR="009B4317" w:rsidRPr="00726152" w:rsidRDefault="009B4317" w:rsidP="009847D1">
            <w:pPr>
              <w:spacing w:before="120" w:after="120" w:line="240" w:lineRule="auto"/>
              <w:ind w:left="0" w:firstLine="0"/>
              <w:jc w:val="center"/>
              <w:rPr>
                <w:rFonts w:ascii="Times New Roman" w:eastAsia="Times New Roman" w:hAnsi="Times New Roman" w:cs="Times New Roman"/>
                <w:b/>
                <w:color w:val="000000"/>
              </w:rPr>
            </w:pPr>
            <w:r w:rsidRPr="009B4317">
              <w:rPr>
                <w:rFonts w:ascii="Times New Roman" w:eastAsia="Times New Roman" w:hAnsi="Times New Roman" w:cs="Times New Roman"/>
                <w:b/>
                <w:color w:val="000000"/>
              </w:rPr>
              <w:t>A-0051</w:t>
            </w:r>
          </w:p>
        </w:tc>
      </w:tr>
    </w:tbl>
    <w:p w14:paraId="4DCA95E3" w14:textId="55BF59A3" w:rsidR="009B4317" w:rsidRDefault="009B4317" w:rsidP="00F1699A">
      <w:pPr>
        <w:pStyle w:val="NumA1"/>
      </w:pPr>
      <w:r>
        <w:t>Le Distributeur indiquait au surplus qu’un dossier de plan d’approvisionnement n’était pas le bon forum pour évaluer la demande cryptographique, notamment parce que le Distributeur souhait analyser «</w:t>
      </w:r>
      <w:r w:rsidR="006F0762">
        <w:t> </w:t>
      </w:r>
      <w:r>
        <w:t>l’ensemble des enjeux touchant cette catégorie de clientèle</w:t>
      </w:r>
      <w:r w:rsidR="006F0762">
        <w:t> </w:t>
      </w:r>
      <w:r>
        <w:t>»</w:t>
      </w:r>
    </w:p>
    <w:tbl>
      <w:tblPr>
        <w:tblW w:w="8958" w:type="dxa"/>
        <w:tblInd w:w="648" w:type="dxa"/>
        <w:tblLook w:val="00A0" w:firstRow="1" w:lastRow="0" w:firstColumn="1" w:lastColumn="0" w:noHBand="0" w:noVBand="0"/>
      </w:tblPr>
      <w:tblGrid>
        <w:gridCol w:w="7182"/>
        <w:gridCol w:w="1776"/>
      </w:tblGrid>
      <w:tr w:rsidR="009B4317" w:rsidRPr="00726152" w14:paraId="23138C68" w14:textId="77777777" w:rsidTr="009847D1">
        <w:tc>
          <w:tcPr>
            <w:tcW w:w="7182" w:type="dxa"/>
          </w:tcPr>
          <w:p w14:paraId="417DBC7C" w14:textId="657F08DD" w:rsidR="009B4317" w:rsidRPr="00726152" w:rsidRDefault="00383312" w:rsidP="00E731DA">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Pièce</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B-0325 du dossier</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R-4045-2018, Phase</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3</w:t>
            </w:r>
            <w:r w:rsidR="009B4317">
              <w:rPr>
                <w:rFonts w:ascii="Times New Roman" w:eastAsia="Times New Roman" w:hAnsi="Times New Roman" w:cs="Times New Roman"/>
                <w:color w:val="000000"/>
                <w:szCs w:val="24"/>
              </w:rPr>
              <w:t>, aux para</w:t>
            </w:r>
            <w:r w:rsidR="009847D1">
              <w:rPr>
                <w:rFonts w:ascii="Times New Roman" w:eastAsia="Times New Roman" w:hAnsi="Times New Roman" w:cs="Times New Roman"/>
                <w:color w:val="000000"/>
                <w:szCs w:val="24"/>
              </w:rPr>
              <w:t>s </w:t>
            </w:r>
            <w:r w:rsidR="009B4317">
              <w:rPr>
                <w:rFonts w:ascii="Times New Roman" w:eastAsia="Times New Roman" w:hAnsi="Times New Roman" w:cs="Times New Roman"/>
                <w:color w:val="000000"/>
                <w:szCs w:val="24"/>
              </w:rPr>
              <w:t xml:space="preserve">29, 69, 70 et 71. </w:t>
            </w:r>
          </w:p>
        </w:tc>
        <w:tc>
          <w:tcPr>
            <w:tcW w:w="1776" w:type="dxa"/>
            <w:vAlign w:val="center"/>
          </w:tcPr>
          <w:p w14:paraId="0FB4B86B" w14:textId="640B0CB6" w:rsidR="009B4317" w:rsidRPr="00726152" w:rsidRDefault="009B4317" w:rsidP="009847D1">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C-HIVE-0022</w:t>
            </w:r>
          </w:p>
        </w:tc>
      </w:tr>
    </w:tbl>
    <w:p w14:paraId="021A3788" w14:textId="7EE6EF7D" w:rsidR="009B4317" w:rsidRDefault="009B4317" w:rsidP="00F1699A">
      <w:pPr>
        <w:pStyle w:val="NumA1"/>
      </w:pPr>
      <w:r>
        <w:t>HIVE soumet que la Demande ne peut être valablement analys</w:t>
      </w:r>
      <w:r w:rsidR="004B78DD">
        <w:t>ée</w:t>
      </w:r>
      <w:r>
        <w:t xml:space="preserve"> dans le cadre d’un dossier d’approvisionnement; </w:t>
      </w:r>
    </w:p>
    <w:p w14:paraId="5C7E2A42" w14:textId="77777777" w:rsidR="009B4317" w:rsidRDefault="009B4317" w:rsidP="00F1699A">
      <w:pPr>
        <w:pStyle w:val="NumA1"/>
      </w:pPr>
      <w:r>
        <w:t xml:space="preserve">Au surplus, HIVE soumet que le Distributeur tente de faire indirectement ce qu’il ne peut faire directement; </w:t>
      </w:r>
    </w:p>
    <w:p w14:paraId="2958728E" w14:textId="26A002EB" w:rsidR="009B4317" w:rsidRDefault="009B4317" w:rsidP="00F1699A">
      <w:pPr>
        <w:pStyle w:val="NumA1"/>
      </w:pPr>
      <w:r>
        <w:t xml:space="preserve">En effet, le </w:t>
      </w:r>
      <w:r w:rsidRPr="009B4317">
        <w:t>Distributeur</w:t>
      </w:r>
      <w:r>
        <w:t xml:space="preserve"> se garde bien de demander à la Régie de modifier les tarifs d’électricité, étant donné que le cadre réglementaire ne lui permet pas de le faire, le tout compte tenu des articles</w:t>
      </w:r>
      <w:r w:rsidR="009847D1">
        <w:t> </w:t>
      </w:r>
      <w:r>
        <w:t>48 et suivants de la LR</w:t>
      </w:r>
      <w:r w:rsidR="00F05C88">
        <w:t>E</w:t>
      </w:r>
      <w:r>
        <w:t>, lesquels prévoient ce qui suit</w:t>
      </w:r>
      <w:r w:rsidR="009847D1">
        <w:t> </w:t>
      </w:r>
      <w:r>
        <w:t>:</w:t>
      </w:r>
    </w:p>
    <w:p w14:paraId="412F7000" w14:textId="626CF931" w:rsidR="009B4317" w:rsidRPr="00E841A4" w:rsidRDefault="009847D1" w:rsidP="009B4317">
      <w:pPr>
        <w:pStyle w:val="QuoteCitation"/>
      </w:pPr>
      <w:r>
        <w:lastRenderedPageBreak/>
        <w:t>“</w:t>
      </w:r>
      <w:r w:rsidR="009B4317" w:rsidRPr="00E841A4">
        <w:t>48. Sur demande d’une personne intéressée ou de sa propre initiative, la Régie fixe ou modifie les tarifs et les conditions auxquels l’électricité est transportée par le transporteur d’électricité ou ceux auxquels le gaz naturel est fourni, transporté ou livré par un distributeur de gaz naturel ou emmagasiné de même que les conditions auxquelles l’électricité est distribuée par le distributeur d’électricité.</w:t>
      </w:r>
    </w:p>
    <w:p w14:paraId="53E8959A" w14:textId="5EE673C9" w:rsidR="009B4317" w:rsidRPr="00E841A4" w:rsidRDefault="009B4317" w:rsidP="009B4317">
      <w:pPr>
        <w:pStyle w:val="QuoteCitation"/>
      </w:pPr>
      <w:r w:rsidRPr="00C16727">
        <w:rPr>
          <w:u w:val="single"/>
        </w:rPr>
        <w:t>La Régie fixe ou modifie les tarifs auxquels l’électricité est distribuée par le distributeur d’électricité dans les cas prévus à l’un ou l’autre des articles</w:t>
      </w:r>
      <w:r w:rsidR="009847D1">
        <w:rPr>
          <w:u w:val="single"/>
        </w:rPr>
        <w:t> </w:t>
      </w:r>
      <w:r w:rsidRPr="00C16727">
        <w:rPr>
          <w:u w:val="single"/>
        </w:rPr>
        <w:t>48.2 à 48</w:t>
      </w:r>
      <w:r w:rsidR="006F0762">
        <w:rPr>
          <w:u w:val="single"/>
        </w:rPr>
        <w:t>,</w:t>
      </w:r>
      <w:r w:rsidRPr="00C16727">
        <w:rPr>
          <w:u w:val="single"/>
        </w:rPr>
        <w:t>4</w:t>
      </w:r>
      <w:r w:rsidRPr="00E841A4">
        <w:t>. À cette fin, elle peut demander au distributeur d’électricité tout document ou renseignement pertinent.</w:t>
      </w:r>
    </w:p>
    <w:p w14:paraId="1CC01A7A" w14:textId="77777777" w:rsidR="009B4317" w:rsidRPr="00E841A4" w:rsidRDefault="009B4317" w:rsidP="009B4317">
      <w:pPr>
        <w:pStyle w:val="QuoteCitation"/>
      </w:pPr>
      <w:r w:rsidRPr="00E841A4">
        <w:t>[…]</w:t>
      </w:r>
    </w:p>
    <w:p w14:paraId="10C47285" w14:textId="7BEB47F7" w:rsidR="009B4317" w:rsidRPr="00E841A4" w:rsidRDefault="009B4317" w:rsidP="009B4317">
      <w:pPr>
        <w:pStyle w:val="QuoteCitation"/>
      </w:pPr>
      <w:r w:rsidRPr="00E841A4">
        <w:t xml:space="preserve">48.2 </w:t>
      </w:r>
      <w:r w:rsidRPr="00C16727">
        <w:rPr>
          <w:u w:val="single"/>
        </w:rPr>
        <w:t>Le distributeur d’électricité demande à la Régie de fixer des tarifs ou de modifier les tarifs prévus à l’annexe I de la Loi sur Hydro-Québec (chapitre</w:t>
      </w:r>
      <w:r w:rsidR="009847D1">
        <w:rPr>
          <w:u w:val="single"/>
        </w:rPr>
        <w:t> </w:t>
      </w:r>
      <w:r w:rsidRPr="00C16727">
        <w:rPr>
          <w:u w:val="single"/>
        </w:rPr>
        <w:t>H-5) au 1</w:t>
      </w:r>
      <w:r w:rsidRPr="000102AD">
        <w:rPr>
          <w:u w:val="single"/>
          <w:vertAlign w:val="superscript"/>
        </w:rPr>
        <w:t>er</w:t>
      </w:r>
      <w:r w:rsidR="009847D1">
        <w:rPr>
          <w:u w:val="single"/>
        </w:rPr>
        <w:t> </w:t>
      </w:r>
      <w:r w:rsidRPr="00C16727">
        <w:rPr>
          <w:u w:val="single"/>
        </w:rPr>
        <w:t>avril</w:t>
      </w:r>
      <w:r w:rsidR="009847D1">
        <w:rPr>
          <w:u w:val="single"/>
        </w:rPr>
        <w:t> </w:t>
      </w:r>
      <w:r w:rsidRPr="00C16727">
        <w:rPr>
          <w:u w:val="single"/>
        </w:rPr>
        <w:t>2025 et par la suite tous les cinq ans</w:t>
      </w:r>
      <w:r w:rsidRPr="00E841A4">
        <w:t>.</w:t>
      </w:r>
    </w:p>
    <w:p w14:paraId="5B6A14A2" w14:textId="7571A45E" w:rsidR="009B4317" w:rsidRPr="00E841A4" w:rsidRDefault="009B4317" w:rsidP="009B4317">
      <w:pPr>
        <w:pStyle w:val="QuoteCitation"/>
      </w:pPr>
      <w:r w:rsidRPr="00E841A4">
        <w:t>48.3 Malgré l’article</w:t>
      </w:r>
      <w:r w:rsidR="009847D1">
        <w:t> </w:t>
      </w:r>
      <w:r w:rsidRPr="00E841A4">
        <w:t xml:space="preserve">48.2, </w:t>
      </w:r>
      <w:r w:rsidRPr="00C16727">
        <w:rPr>
          <w:u w:val="single"/>
        </w:rPr>
        <w:t>le distributeur d’électricité peut demander à la Régie, avant l’échéance qui y est prévue, de modifier un tarif</w:t>
      </w:r>
      <w:r w:rsidRPr="00E841A4">
        <w:t xml:space="preserve"> prévu à l’annexe I de la Loi sur Hydro-Québec (chapitre</w:t>
      </w:r>
      <w:r w:rsidR="009847D1">
        <w:t> </w:t>
      </w:r>
      <w:r w:rsidRPr="00E841A4">
        <w:t xml:space="preserve">H-5), </w:t>
      </w:r>
      <w:r w:rsidRPr="00C16727">
        <w:rPr>
          <w:u w:val="single"/>
        </w:rPr>
        <w:t>lorsque les conditions suivantes sont réunies</w:t>
      </w:r>
      <w:r w:rsidR="009847D1">
        <w:rPr>
          <w:u w:val="single"/>
        </w:rPr>
        <w:t> </w:t>
      </w:r>
      <w:r w:rsidRPr="00E841A4">
        <w:t>:</w:t>
      </w:r>
    </w:p>
    <w:p w14:paraId="0FA66D29" w14:textId="35A4B984" w:rsidR="009B4317" w:rsidRPr="00E841A4" w:rsidRDefault="009B4317" w:rsidP="009B4317">
      <w:pPr>
        <w:pStyle w:val="QuoteCitation"/>
      </w:pPr>
      <w:r w:rsidRPr="00E841A4">
        <w:t xml:space="preserve">1° le </w:t>
      </w:r>
      <w:r w:rsidRPr="00C16727">
        <w:rPr>
          <w:u w:val="single"/>
        </w:rPr>
        <w:t>distributeur d’électricité a présenté un rapport au gouvernement</w:t>
      </w:r>
      <w:r w:rsidRPr="00E841A4">
        <w:t xml:space="preserve"> lui démontrant qu’en raison de circonstances particulières il ne sera plus en mesure de respecter son obligation prévue à l’article</w:t>
      </w:r>
      <w:r w:rsidR="009847D1">
        <w:t> </w:t>
      </w:r>
      <w:r w:rsidRPr="00E841A4">
        <w:t>24 de la Loi sur Hydro-Québec;</w:t>
      </w:r>
    </w:p>
    <w:p w14:paraId="7EB67D5B" w14:textId="0B6DC629" w:rsidR="009B4317" w:rsidRDefault="009B4317" w:rsidP="009B4317">
      <w:pPr>
        <w:pStyle w:val="QuoteCitation"/>
      </w:pPr>
      <w:r w:rsidRPr="00E841A4">
        <w:t xml:space="preserve">2° </w:t>
      </w:r>
      <w:r w:rsidRPr="00C16727">
        <w:rPr>
          <w:u w:val="single"/>
        </w:rPr>
        <w:t>le gouvernement, après analyse du rapport, prend un décret</w:t>
      </w:r>
      <w:r w:rsidRPr="00E841A4">
        <w:t xml:space="preserve"> indiquant à la Régie ses préoccupations économiques, sociales et environnementales à l’égard de la demande du distributeur.</w:t>
      </w:r>
    </w:p>
    <w:p w14:paraId="39F4067E" w14:textId="77777777" w:rsidR="009B4317" w:rsidRDefault="009B4317" w:rsidP="009B4317">
      <w:pPr>
        <w:pStyle w:val="QuoteCitation"/>
      </w:pPr>
      <w:r>
        <w:t>[Nous soulignons]</w:t>
      </w:r>
    </w:p>
    <w:p w14:paraId="61A9E21E" w14:textId="403B7B8B" w:rsidR="009B4317" w:rsidRDefault="009B4317" w:rsidP="00F1699A">
      <w:pPr>
        <w:pStyle w:val="NumA1"/>
      </w:pPr>
      <w:r>
        <w:t xml:space="preserve">La </w:t>
      </w:r>
      <w:r w:rsidRPr="009B4317">
        <w:t>Demande</w:t>
      </w:r>
      <w:r>
        <w:t xml:space="preserve"> n’est pas présentée dans le cadre d’un processus de modification tarifaire selon l’article</w:t>
      </w:r>
      <w:r w:rsidR="009847D1">
        <w:t> </w:t>
      </w:r>
      <w:r>
        <w:t>48.2 de la LR</w:t>
      </w:r>
      <w:r w:rsidR="004B78DD">
        <w:t>E</w:t>
      </w:r>
      <w:r>
        <w:t xml:space="preserve"> et le Distributeur n’a pas formulé une telle demande. Le Décret ne répond pas non plus à un rapport présenté par le Distributeur au sens de l’article</w:t>
      </w:r>
      <w:r w:rsidR="009847D1">
        <w:t> </w:t>
      </w:r>
      <w:r>
        <w:t xml:space="preserve">48.3, de sorte que la Régie ne peut prendre une décision ayant pour effet de modifier les tarifs </w:t>
      </w:r>
      <w:r w:rsidRPr="009B4317">
        <w:rPr>
          <w:szCs w:val="24"/>
        </w:rPr>
        <w:t>auxquels l’électricité est distribuée par le Distributeur</w:t>
      </w:r>
      <w:r>
        <w:t xml:space="preserve">; </w:t>
      </w:r>
    </w:p>
    <w:p w14:paraId="4D548AA4" w14:textId="720A2A70" w:rsidR="009B4317" w:rsidRDefault="009B4317" w:rsidP="00F1699A">
      <w:pPr>
        <w:pStyle w:val="NumA1"/>
      </w:pPr>
      <w:r>
        <w:t>Or, c’est précisément ce que demande le Distributeur à la Régie dans le présent dossier à l’égard du Bloc réservé. En effet, l’article</w:t>
      </w:r>
      <w:r w:rsidR="009847D1">
        <w:t> </w:t>
      </w:r>
      <w:r>
        <w:t xml:space="preserve">7.2 des Tarifs du Distributeur prévoit certaines définitions qui permettent d’encadrer l’application du Tarif CB. Une de ces définitions est celle de </w:t>
      </w:r>
      <w:r w:rsidR="009847D1">
        <w:t>“</w:t>
      </w:r>
      <w:r>
        <w:t>puissance autorisée</w:t>
      </w:r>
      <w:r w:rsidR="009847D1">
        <w:t>” </w:t>
      </w:r>
      <w:r>
        <w:t>:</w:t>
      </w:r>
    </w:p>
    <w:p w14:paraId="3F578514" w14:textId="1AF38D73" w:rsidR="009B4317" w:rsidRPr="00C748DF" w:rsidRDefault="009847D1" w:rsidP="009B4317">
      <w:pPr>
        <w:pStyle w:val="QuoteCitation"/>
      </w:pPr>
      <w:r>
        <w:rPr>
          <w:u w:val="single"/>
        </w:rPr>
        <w:t>“</w:t>
      </w:r>
      <w:r w:rsidR="009B4317" w:rsidRPr="009B4317">
        <w:rPr>
          <w:u w:val="single"/>
        </w:rPr>
        <w:t>puissance autorisée</w:t>
      </w:r>
      <w:r>
        <w:rPr>
          <w:u w:val="single"/>
        </w:rPr>
        <w:t>” </w:t>
      </w:r>
      <w:r w:rsidR="009B4317" w:rsidRPr="009B4317">
        <w:rPr>
          <w:u w:val="single"/>
        </w:rPr>
        <w:t>: une valeur, exprimée en kilowatts, qui correspond à l’une des valeurs suivantes</w:t>
      </w:r>
      <w:r>
        <w:t> </w:t>
      </w:r>
      <w:r w:rsidR="009B4317" w:rsidRPr="00C748DF">
        <w:t xml:space="preserve">: </w:t>
      </w:r>
    </w:p>
    <w:p w14:paraId="1B991F64" w14:textId="11E495C6" w:rsidR="009B4317" w:rsidRPr="00C748DF" w:rsidRDefault="009B4317" w:rsidP="009B4317">
      <w:pPr>
        <w:pStyle w:val="QuoteCitation"/>
      </w:pPr>
      <w:r w:rsidRPr="00C748DF">
        <w:t>a) la puissance maximale appelée enregistrée entre le début de la période de consommation comprenant le 1er</w:t>
      </w:r>
      <w:r w:rsidR="009847D1">
        <w:t> </w:t>
      </w:r>
      <w:r w:rsidRPr="00C748DF">
        <w:t>janvier</w:t>
      </w:r>
      <w:r w:rsidR="009847D1">
        <w:t> </w:t>
      </w:r>
      <w:r w:rsidRPr="00C748DF">
        <w:t>2018 et la fin de la période de consommation comprenant le 7</w:t>
      </w:r>
      <w:r w:rsidR="009847D1">
        <w:t> </w:t>
      </w:r>
      <w:r w:rsidRPr="00C748DF">
        <w:t>juin</w:t>
      </w:r>
      <w:r w:rsidR="009847D1">
        <w:t> </w:t>
      </w:r>
      <w:r w:rsidRPr="00C748DF">
        <w:t xml:space="preserve">2018, ou </w:t>
      </w:r>
    </w:p>
    <w:p w14:paraId="5C5611F9" w14:textId="3E70B7CE" w:rsidR="009B4317" w:rsidRPr="00C748DF" w:rsidRDefault="009B4317" w:rsidP="009B4317">
      <w:pPr>
        <w:pStyle w:val="QuoteCitation"/>
      </w:pPr>
      <w:r w:rsidRPr="00C748DF">
        <w:lastRenderedPageBreak/>
        <w:t>b) la puissance disponible pour un usage cryptographique appliqué aux chaînes de blocs au point de raccordement confirmé par écrit au client par Hydro‑Québec et accepté par écrit par le client avant le 7</w:t>
      </w:r>
      <w:r w:rsidR="009847D1">
        <w:t> </w:t>
      </w:r>
      <w:r w:rsidRPr="00C748DF">
        <w:t>juin</w:t>
      </w:r>
      <w:r w:rsidR="009847D1">
        <w:t> </w:t>
      </w:r>
      <w:r w:rsidRPr="00C748DF">
        <w:t xml:space="preserve">2018, ou </w:t>
      </w:r>
    </w:p>
    <w:p w14:paraId="6CFC64B5" w14:textId="77777777" w:rsidR="009B4317" w:rsidRPr="00C748DF" w:rsidRDefault="009B4317" w:rsidP="009B4317">
      <w:pPr>
        <w:pStyle w:val="QuoteCitation"/>
      </w:pPr>
      <w:r w:rsidRPr="00C748DF">
        <w:t xml:space="preserve">c) la puissance installée faisant l’objet d’une entente de raccordement conclue avec Hydro‑Québec par un client retenu au terme d’un appel de propositions, ou </w:t>
      </w:r>
    </w:p>
    <w:p w14:paraId="29B05922" w14:textId="4E570DBA" w:rsidR="009B4317" w:rsidRDefault="009B4317" w:rsidP="009B4317">
      <w:pPr>
        <w:pStyle w:val="QuoteCitation"/>
      </w:pPr>
      <w:r w:rsidRPr="009B4317">
        <w:rPr>
          <w:u w:val="single"/>
        </w:rPr>
        <w:t>d) la puissance installée faisant l’objet d’une attribution définitive dans le cadre du processus d’attribution du solde du bloc réservé, conformément aux Conditions de service d’Hydro‑Québec.</w:t>
      </w:r>
      <w:r w:rsidR="009847D1">
        <w:t>”</w:t>
      </w:r>
    </w:p>
    <w:p w14:paraId="14C06766" w14:textId="4FF16E7C" w:rsidR="009B4317" w:rsidRPr="00E13B70" w:rsidRDefault="009B4317" w:rsidP="009B4317">
      <w:pPr>
        <w:pStyle w:val="QuoteCitation"/>
      </w:pPr>
      <w:r>
        <w:t>[Nous soulignons]</w:t>
      </w:r>
    </w:p>
    <w:p w14:paraId="6D583E0C" w14:textId="0C818A92" w:rsidR="009B4317" w:rsidRPr="009B4317" w:rsidRDefault="009B4317" w:rsidP="00F1699A">
      <w:pPr>
        <w:pStyle w:val="NumA1"/>
        <w:rPr>
          <w:rFonts w:eastAsia="Calibri"/>
          <w:snapToGrid w:val="0"/>
        </w:rPr>
      </w:pPr>
      <w:r w:rsidRPr="009B4317">
        <w:rPr>
          <w:rFonts w:eastAsia="Calibri"/>
          <w:snapToGrid w:val="0"/>
        </w:rPr>
        <w:t xml:space="preserve">En </w:t>
      </w:r>
      <w:r w:rsidRPr="009B4317">
        <w:rPr>
          <w:rFonts w:eastAsia="Calibri"/>
        </w:rPr>
        <w:t>demandant</w:t>
      </w:r>
      <w:r w:rsidRPr="009B4317">
        <w:rPr>
          <w:rFonts w:eastAsia="Calibri"/>
          <w:snapToGrid w:val="0"/>
        </w:rPr>
        <w:t xml:space="preserve"> la suppression du Bloc réservé, et accessoirement du Solde du Bloc réservé, la Demande a pour effet de modifier le paragraphe d), lequel inclut une référence au bloc réservé. La définition de «</w:t>
      </w:r>
      <w:r w:rsidR="006F0762">
        <w:rPr>
          <w:rFonts w:eastAsia="Calibri"/>
          <w:snapToGrid w:val="0"/>
        </w:rPr>
        <w:t> </w:t>
      </w:r>
      <w:r w:rsidRPr="009B4317">
        <w:rPr>
          <w:rFonts w:eastAsia="Calibri"/>
          <w:snapToGrid w:val="0"/>
        </w:rPr>
        <w:t>puissance autorisée</w:t>
      </w:r>
      <w:r w:rsidR="006F0762">
        <w:rPr>
          <w:rFonts w:eastAsia="Calibri"/>
          <w:snapToGrid w:val="0"/>
        </w:rPr>
        <w:t> </w:t>
      </w:r>
      <w:r w:rsidRPr="009B4317">
        <w:rPr>
          <w:rFonts w:eastAsia="Calibri"/>
          <w:snapToGrid w:val="0"/>
        </w:rPr>
        <w:t>» prévue aux Tarifs du Distributeur ne peut être modifiée dans le cadre d’une demande d’approbation d’un plan d’approvisionnement. Lors de l’audience du 12</w:t>
      </w:r>
      <w:r w:rsidR="009847D1">
        <w:rPr>
          <w:rFonts w:eastAsia="Calibri"/>
          <w:snapToGrid w:val="0"/>
        </w:rPr>
        <w:t> </w:t>
      </w:r>
      <w:r w:rsidRPr="009B4317">
        <w:rPr>
          <w:rFonts w:eastAsia="Calibri"/>
          <w:snapToGrid w:val="0"/>
        </w:rPr>
        <w:t>juin</w:t>
      </w:r>
      <w:r w:rsidR="009847D1">
        <w:rPr>
          <w:rFonts w:eastAsia="Calibri"/>
          <w:snapToGrid w:val="0"/>
        </w:rPr>
        <w:t> </w:t>
      </w:r>
      <w:r w:rsidRPr="009B4317">
        <w:rPr>
          <w:rFonts w:eastAsia="Calibri"/>
          <w:snapToGrid w:val="0"/>
        </w:rPr>
        <w:t xml:space="preserve">2023, </w:t>
      </w:r>
      <w:r w:rsidR="00F05C88">
        <w:rPr>
          <w:rFonts w:eastAsia="Calibri"/>
          <w:snapToGrid w:val="0"/>
        </w:rPr>
        <w:t>Bitfarms a</w:t>
      </w:r>
      <w:r w:rsidRPr="009B4317">
        <w:rPr>
          <w:rFonts w:eastAsia="Calibri"/>
          <w:snapToGrid w:val="0"/>
        </w:rPr>
        <w:t xml:space="preserve"> questionné le Distributeur à ce sujet</w:t>
      </w:r>
      <w:r w:rsidR="009847D1">
        <w:rPr>
          <w:rFonts w:eastAsia="Calibri"/>
          <w:snapToGrid w:val="0"/>
        </w:rPr>
        <w:t> </w:t>
      </w:r>
      <w:r w:rsidRPr="009B4317">
        <w:rPr>
          <w:rFonts w:eastAsia="Calibri"/>
          <w:snapToGrid w:val="0"/>
        </w:rPr>
        <w:t>:</w:t>
      </w:r>
    </w:p>
    <w:p w14:paraId="6D51443F" w14:textId="59F5FBED" w:rsidR="009B4317" w:rsidRDefault="009847D1" w:rsidP="009B4317">
      <w:pPr>
        <w:pStyle w:val="QuoteCitation"/>
      </w:pPr>
      <w:r>
        <w:t>“</w:t>
      </w:r>
      <w:r w:rsidR="009B4317" w:rsidRPr="00E13B70">
        <w:t xml:space="preserve">Non, </w:t>
      </w:r>
      <w:r w:rsidR="009B4317" w:rsidRPr="001B38AF">
        <w:rPr>
          <w:u w:val="single"/>
        </w:rPr>
        <w:t>nous ne proposons pas de modifications au tarif parce que le cadre réglementaire ne nous le permet pas</w:t>
      </w:r>
      <w:r w:rsidR="009B4317" w:rsidRPr="00E13B70">
        <w:t>. On ne peut pas modifier les tarifs existants avant l’exercice de recalibrage de deux mille vingt-cinq (2025).</w:t>
      </w:r>
      <w:r>
        <w:t>”</w:t>
      </w:r>
    </w:p>
    <w:tbl>
      <w:tblPr>
        <w:tblW w:w="8958" w:type="dxa"/>
        <w:tblInd w:w="648" w:type="dxa"/>
        <w:tblLook w:val="00A0" w:firstRow="1" w:lastRow="0" w:firstColumn="1" w:lastColumn="0" w:noHBand="0" w:noVBand="0"/>
      </w:tblPr>
      <w:tblGrid>
        <w:gridCol w:w="7272"/>
        <w:gridCol w:w="1686"/>
      </w:tblGrid>
      <w:tr w:rsidR="009B4317" w:rsidRPr="00726152" w14:paraId="5807618E" w14:textId="77777777" w:rsidTr="009847D1">
        <w:tc>
          <w:tcPr>
            <w:tcW w:w="7272" w:type="dxa"/>
          </w:tcPr>
          <w:p w14:paraId="61B428AF" w14:textId="7C0ED4F6" w:rsidR="009B4317" w:rsidRPr="00726152" w:rsidRDefault="009B4317" w:rsidP="00E731DA">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du 12</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juin</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2023,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266,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19 à 23; voir également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270,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3 à 7.</w:t>
            </w:r>
          </w:p>
        </w:tc>
        <w:tc>
          <w:tcPr>
            <w:tcW w:w="1686" w:type="dxa"/>
            <w:vAlign w:val="center"/>
          </w:tcPr>
          <w:p w14:paraId="5789AEE5" w14:textId="4C5F136E" w:rsidR="009B4317" w:rsidRPr="00726152" w:rsidRDefault="009B4317" w:rsidP="009847D1">
            <w:pPr>
              <w:spacing w:before="120" w:after="120" w:line="240" w:lineRule="auto"/>
              <w:ind w:left="0" w:firstLine="0"/>
              <w:jc w:val="center"/>
              <w:rPr>
                <w:rFonts w:ascii="Times New Roman" w:eastAsia="Times New Roman" w:hAnsi="Times New Roman" w:cs="Times New Roman"/>
                <w:b/>
                <w:color w:val="000000"/>
              </w:rPr>
            </w:pPr>
            <w:r w:rsidRPr="009B4317">
              <w:rPr>
                <w:rFonts w:ascii="Times New Roman" w:eastAsia="Times New Roman" w:hAnsi="Times New Roman" w:cs="Times New Roman"/>
                <w:b/>
                <w:color w:val="000000"/>
              </w:rPr>
              <w:t>A-0051</w:t>
            </w:r>
          </w:p>
        </w:tc>
      </w:tr>
    </w:tbl>
    <w:p w14:paraId="2E3660AD" w14:textId="515359E6" w:rsidR="009B4317" w:rsidRDefault="009847D1" w:rsidP="009B4317">
      <w:pPr>
        <w:pStyle w:val="QuoteCitation"/>
      </w:pPr>
      <w:r>
        <w:t>“</w:t>
      </w:r>
      <w:r w:rsidR="009B4317" w:rsidRPr="00E13B70">
        <w:t xml:space="preserve">Bien, le paragraphe d) fait référence aux Conditions de service. Donc, dans la mesure où les Conditions de service sont ajustées de façon à refléter notre demande de retrait du bloc dédié, il ne verrait pas d’application. </w:t>
      </w:r>
      <w:r w:rsidR="009B4317" w:rsidRPr="00871889">
        <w:rPr>
          <w:u w:val="single"/>
        </w:rPr>
        <w:t>C’est sûr que dans un monde idéal, on pourrait trouver une façon de</w:t>
      </w:r>
      <w:r>
        <w:rPr>
          <w:u w:val="single"/>
        </w:rPr>
        <w:t>…</w:t>
      </w:r>
      <w:r w:rsidR="009B4317" w:rsidRPr="00871889">
        <w:rPr>
          <w:u w:val="single"/>
        </w:rPr>
        <w:t xml:space="preserve"> d’ajuster ce paragraphe</w:t>
      </w:r>
      <w:r w:rsidR="009B4317" w:rsidRPr="00E13B70">
        <w:t>, mais compte tenu du cadre que je dirais</w:t>
      </w:r>
      <w:r>
        <w:t>…</w:t>
      </w:r>
      <w:r w:rsidR="009B4317" w:rsidRPr="00E13B70">
        <w:t xml:space="preserve"> du cadre actuel pour la modification des tarifs existants, il faut se</w:t>
      </w:r>
      <w:r>
        <w:t>…</w:t>
      </w:r>
      <w:r w:rsidR="009B4317" w:rsidRPr="00E13B70">
        <w:t xml:space="preserve"> il faut lire ce paragraphe en conjonction avec les modifications qui sont proposées pour les Conditions de service.</w:t>
      </w:r>
      <w:r>
        <w:t>”</w:t>
      </w:r>
    </w:p>
    <w:p w14:paraId="77278963" w14:textId="58354F6A" w:rsidR="009B4317" w:rsidRPr="00871889" w:rsidRDefault="009B4317" w:rsidP="009B4317">
      <w:pPr>
        <w:pStyle w:val="QuoteCitation"/>
        <w:rPr>
          <w:lang w:eastAsia="fr-CA"/>
        </w:rPr>
      </w:pPr>
      <w:r w:rsidRPr="00871889">
        <w:rPr>
          <w:lang w:eastAsia="fr-CA"/>
        </w:rPr>
        <w:t>[234] Donc, la position du Distributeur aujourd’hui c’est que malgré la référence au bloc réservé au paragraphe d) de l’article</w:t>
      </w:r>
      <w:r w:rsidR="009847D1">
        <w:rPr>
          <w:lang w:eastAsia="fr-CA"/>
        </w:rPr>
        <w:t> </w:t>
      </w:r>
      <w:r w:rsidRPr="00871889">
        <w:rPr>
          <w:lang w:eastAsia="fr-CA"/>
        </w:rPr>
        <w:t xml:space="preserve">7.2, vous ne demandez pas, il n’est pas nécessaire de demander de modifications tarifaires? </w:t>
      </w:r>
    </w:p>
    <w:p w14:paraId="42CE922D" w14:textId="77777777" w:rsidR="009B4317" w:rsidRDefault="009B4317" w:rsidP="009B4317">
      <w:pPr>
        <w:pStyle w:val="QuoteCitation"/>
      </w:pPr>
      <w:r w:rsidRPr="00871889">
        <w:rPr>
          <w:lang w:eastAsia="fr-CA"/>
        </w:rPr>
        <w:t xml:space="preserve">R. </w:t>
      </w:r>
      <w:r w:rsidRPr="00871889">
        <w:rPr>
          <w:u w:val="single"/>
          <w:lang w:eastAsia="fr-CA"/>
        </w:rPr>
        <w:t>On ne dit pas que ce n’est pas nécessaire, je dis que ce n’est pas possible pour l’heure</w:t>
      </w:r>
      <w:r w:rsidRPr="00871889">
        <w:rPr>
          <w:lang w:eastAsia="fr-CA"/>
        </w:rPr>
        <w:t>, mais ce sera quelque chose qui sera fait dès qu’il nous sera possible.</w:t>
      </w:r>
    </w:p>
    <w:tbl>
      <w:tblPr>
        <w:tblW w:w="8958" w:type="dxa"/>
        <w:tblInd w:w="648" w:type="dxa"/>
        <w:tblLook w:val="00A0" w:firstRow="1" w:lastRow="0" w:firstColumn="1" w:lastColumn="0" w:noHBand="0" w:noVBand="0"/>
      </w:tblPr>
      <w:tblGrid>
        <w:gridCol w:w="7272"/>
        <w:gridCol w:w="1686"/>
      </w:tblGrid>
      <w:tr w:rsidR="009B4317" w:rsidRPr="00726152" w14:paraId="5861ACFF" w14:textId="77777777" w:rsidTr="009847D1">
        <w:tc>
          <w:tcPr>
            <w:tcW w:w="7272" w:type="dxa"/>
          </w:tcPr>
          <w:p w14:paraId="09CAA1E4" w14:textId="69BD89C8" w:rsidR="009B4317" w:rsidRPr="00726152" w:rsidRDefault="009B4317" w:rsidP="00E731DA">
            <w:pPr>
              <w:spacing w:before="120" w:after="0" w:line="240" w:lineRule="auto"/>
              <w:ind w:left="72" w:firstLine="0"/>
              <w:rPr>
                <w:rFonts w:ascii="Times New Roman" w:eastAsia="Times New Roman" w:hAnsi="Times New Roman" w:cs="Times New Roman"/>
                <w:color w:val="000000"/>
                <w:szCs w:val="24"/>
              </w:rPr>
            </w:pPr>
            <w:r w:rsidRPr="009243DB">
              <w:rPr>
                <w:rFonts w:eastAsia="Times New Roman"/>
              </w:rPr>
              <w:t>Notes sténographiques du 12</w:t>
            </w:r>
            <w:r w:rsidR="009847D1">
              <w:rPr>
                <w:rFonts w:eastAsia="Times New Roman"/>
              </w:rPr>
              <w:t> </w:t>
            </w:r>
            <w:r w:rsidRPr="009243DB">
              <w:rPr>
                <w:rFonts w:eastAsia="Times New Roman"/>
              </w:rPr>
              <w:t>juin</w:t>
            </w:r>
            <w:r w:rsidR="009847D1">
              <w:rPr>
                <w:rFonts w:eastAsia="Times New Roman"/>
              </w:rPr>
              <w:t> </w:t>
            </w:r>
            <w:r w:rsidRPr="009243DB">
              <w:rPr>
                <w:rFonts w:eastAsia="Times New Roman"/>
              </w:rPr>
              <w:t>2023, à la p.</w:t>
            </w:r>
            <w:r w:rsidR="009847D1">
              <w:rPr>
                <w:rFonts w:eastAsia="Times New Roman"/>
              </w:rPr>
              <w:t> </w:t>
            </w:r>
            <w:r w:rsidRPr="009243DB">
              <w:rPr>
                <w:rFonts w:eastAsia="Times New Roman"/>
              </w:rPr>
              <w:t>269, lignes</w:t>
            </w:r>
            <w:r w:rsidR="009847D1">
              <w:rPr>
                <w:rFonts w:eastAsia="Times New Roman"/>
              </w:rPr>
              <w:t> </w:t>
            </w:r>
            <w:r w:rsidRPr="009243DB">
              <w:rPr>
                <w:rFonts w:eastAsia="Times New Roman"/>
              </w:rPr>
              <w:t>5 à 16.</w:t>
            </w:r>
            <w:r>
              <w:rPr>
                <w:rFonts w:ascii="Times New Roman" w:eastAsia="Times New Roman" w:hAnsi="Times New Roman" w:cs="Times New Roman"/>
                <w:color w:val="000000"/>
                <w:szCs w:val="24"/>
              </w:rPr>
              <w:t xml:space="preserve"> </w:t>
            </w:r>
          </w:p>
        </w:tc>
        <w:tc>
          <w:tcPr>
            <w:tcW w:w="1686" w:type="dxa"/>
            <w:vAlign w:val="center"/>
          </w:tcPr>
          <w:p w14:paraId="3DB15DA1" w14:textId="0E788580" w:rsidR="009B4317" w:rsidRPr="00726152" w:rsidRDefault="004B78DD" w:rsidP="009847D1">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A-0051</w:t>
            </w:r>
          </w:p>
        </w:tc>
      </w:tr>
    </w:tbl>
    <w:p w14:paraId="3636A5BA" w14:textId="2F8EA6F2" w:rsidR="009B4317" w:rsidRPr="009B4317" w:rsidRDefault="009B4317" w:rsidP="00F1699A">
      <w:pPr>
        <w:pStyle w:val="NumA1"/>
        <w:rPr>
          <w:rFonts w:eastAsia="Calibri"/>
          <w:snapToGrid w:val="0"/>
        </w:rPr>
      </w:pPr>
      <w:r>
        <w:rPr>
          <w:lang w:eastAsia="fr-CA"/>
        </w:rPr>
        <w:t xml:space="preserve">Le </w:t>
      </w:r>
      <w:r w:rsidRPr="009B4317">
        <w:t>Distributeur</w:t>
      </w:r>
      <w:r>
        <w:rPr>
          <w:lang w:eastAsia="fr-CA"/>
        </w:rPr>
        <w:t xml:space="preserve"> reconnaît clairement ici qu’il serait nécessaire de modifier les Tarifs du Distributeur compte tenu de la demande qu’il formule quant au Bloc réservé, mais reconnaît du même coup que le cadre réglementaire actuel ne lui permet pas de le faire. </w:t>
      </w:r>
      <w:r w:rsidRPr="009243DB">
        <w:rPr>
          <w:lang w:eastAsia="fr-CA"/>
        </w:rPr>
        <w:t xml:space="preserve">Le </w:t>
      </w:r>
      <w:r w:rsidRPr="009243DB">
        <w:rPr>
          <w:lang w:eastAsia="fr-CA"/>
        </w:rPr>
        <w:lastRenderedPageBreak/>
        <w:t xml:space="preserve">Distributeur cherche alors ouvertement de faire indirectement ce </w:t>
      </w:r>
      <w:r>
        <w:rPr>
          <w:lang w:eastAsia="fr-CA"/>
        </w:rPr>
        <w:t>que la LR</w:t>
      </w:r>
      <w:r w:rsidR="004B78DD">
        <w:rPr>
          <w:lang w:eastAsia="fr-CA"/>
        </w:rPr>
        <w:t>E</w:t>
      </w:r>
      <w:r>
        <w:rPr>
          <w:lang w:eastAsia="fr-CA"/>
        </w:rPr>
        <w:t xml:space="preserve"> ne lui permet pas</w:t>
      </w:r>
      <w:r w:rsidRPr="009243DB">
        <w:rPr>
          <w:lang w:eastAsia="fr-CA"/>
        </w:rPr>
        <w:t xml:space="preserve"> de faire directement;</w:t>
      </w:r>
    </w:p>
    <w:p w14:paraId="6980AA68" w14:textId="66CF5F37" w:rsidR="009B4317" w:rsidRPr="009B4317" w:rsidRDefault="009B4317" w:rsidP="00F1699A">
      <w:pPr>
        <w:pStyle w:val="NumA1"/>
        <w:rPr>
          <w:rFonts w:eastAsia="Calibri"/>
          <w:snapToGrid w:val="0"/>
        </w:rPr>
      </w:pPr>
      <w:r w:rsidRPr="009B4317">
        <w:rPr>
          <w:rFonts w:eastAsia="Calibri"/>
          <w:snapToGrid w:val="0"/>
        </w:rPr>
        <w:t xml:space="preserve">De </w:t>
      </w:r>
      <w:r w:rsidRPr="009B4317">
        <w:rPr>
          <w:rFonts w:eastAsia="Calibri"/>
        </w:rPr>
        <w:t>telles</w:t>
      </w:r>
      <w:r w:rsidRPr="009B4317">
        <w:rPr>
          <w:rFonts w:eastAsia="Calibri"/>
          <w:snapToGrid w:val="0"/>
        </w:rPr>
        <w:t xml:space="preserve"> conclusions sont distinctes de celles visant l’approbation d’un plan </w:t>
      </w:r>
      <w:r w:rsidRPr="006841DD">
        <w:t>d’approvisionnement</w:t>
      </w:r>
      <w:r w:rsidRPr="009B4317">
        <w:rPr>
          <w:rFonts w:eastAsia="Calibri"/>
          <w:snapToGrid w:val="0"/>
        </w:rPr>
        <w:t xml:space="preserve"> et </w:t>
      </w:r>
      <w:r w:rsidRPr="004B5207">
        <w:rPr>
          <w:lang w:eastAsia="fr-CA"/>
        </w:rPr>
        <w:t xml:space="preserve">concernent essentiellement des encadrements au niveau des </w:t>
      </w:r>
      <w:r>
        <w:rPr>
          <w:lang w:eastAsia="fr-CA"/>
        </w:rPr>
        <w:t>T</w:t>
      </w:r>
      <w:r w:rsidRPr="004B5207">
        <w:rPr>
          <w:lang w:eastAsia="fr-CA"/>
        </w:rPr>
        <w:t xml:space="preserve">arifs et des </w:t>
      </w:r>
      <w:r>
        <w:rPr>
          <w:lang w:eastAsia="fr-CA"/>
        </w:rPr>
        <w:t>C</w:t>
      </w:r>
      <w:r w:rsidRPr="004B5207">
        <w:rPr>
          <w:lang w:eastAsia="fr-CA"/>
        </w:rPr>
        <w:t>onditions de service</w:t>
      </w:r>
      <w:r>
        <w:rPr>
          <w:lang w:eastAsia="fr-CA"/>
        </w:rPr>
        <w:t xml:space="preserve"> qui devraient être discuté</w:t>
      </w:r>
      <w:r w:rsidR="009847D1">
        <w:rPr>
          <w:lang w:eastAsia="fr-CA"/>
        </w:rPr>
        <w:t>e</w:t>
      </w:r>
      <w:r>
        <w:rPr>
          <w:lang w:eastAsia="fr-CA"/>
        </w:rPr>
        <w:t>s et tranché</w:t>
      </w:r>
      <w:r w:rsidR="009847D1">
        <w:rPr>
          <w:lang w:eastAsia="fr-CA"/>
        </w:rPr>
        <w:t>e</w:t>
      </w:r>
      <w:r>
        <w:rPr>
          <w:lang w:eastAsia="fr-CA"/>
        </w:rPr>
        <w:t>s dans le cadre d’un dossier tarifaire;</w:t>
      </w:r>
    </w:p>
    <w:p w14:paraId="08164FD2" w14:textId="6CCE1912" w:rsidR="009B4317" w:rsidRPr="009B4317" w:rsidRDefault="009B4317" w:rsidP="00F1699A">
      <w:pPr>
        <w:pStyle w:val="NumA1"/>
        <w:rPr>
          <w:rFonts w:eastAsia="Calibri"/>
          <w:snapToGrid w:val="0"/>
        </w:rPr>
      </w:pPr>
      <w:r>
        <w:rPr>
          <w:lang w:eastAsia="fr-CA"/>
        </w:rPr>
        <w:t xml:space="preserve">Le </w:t>
      </w:r>
      <w:r w:rsidRPr="009B4317">
        <w:t>Distributeur</w:t>
      </w:r>
      <w:r>
        <w:rPr>
          <w:lang w:eastAsia="fr-CA"/>
        </w:rPr>
        <w:t xml:space="preserve"> s’est d’ailleurs prononcé du même avis le 31</w:t>
      </w:r>
      <w:r w:rsidR="009847D1">
        <w:rPr>
          <w:lang w:eastAsia="fr-CA"/>
        </w:rPr>
        <w:t> </w:t>
      </w:r>
      <w:r>
        <w:rPr>
          <w:lang w:eastAsia="fr-CA"/>
        </w:rPr>
        <w:t>août</w:t>
      </w:r>
      <w:r w:rsidR="009847D1">
        <w:rPr>
          <w:lang w:eastAsia="fr-CA"/>
        </w:rPr>
        <w:t> </w:t>
      </w:r>
      <w:r>
        <w:rPr>
          <w:lang w:eastAsia="fr-CA"/>
        </w:rPr>
        <w:t xml:space="preserve">2021, en argumentant </w:t>
      </w:r>
      <w:r w:rsidRPr="006841DD">
        <w:t>quant</w:t>
      </w:r>
      <w:r>
        <w:rPr>
          <w:lang w:eastAsia="fr-CA"/>
        </w:rPr>
        <w:t xml:space="preserve"> à l’encadrement du </w:t>
      </w:r>
      <w:r w:rsidRPr="006F7A58">
        <w:t>suivi du volume du Bloc réservé</w:t>
      </w:r>
      <w:r w:rsidR="009847D1">
        <w:t> </w:t>
      </w:r>
      <w:r>
        <w:t>:</w:t>
      </w:r>
    </w:p>
    <w:p w14:paraId="4B5D97A7" w14:textId="6D2E5994" w:rsidR="009B4317" w:rsidRPr="009B4317" w:rsidRDefault="009B4317" w:rsidP="009B4317">
      <w:pPr>
        <w:pStyle w:val="QuoteCitation"/>
      </w:pPr>
      <w:r w:rsidRPr="009B4317">
        <w:t>«</w:t>
      </w:r>
      <w:r w:rsidR="006F0762">
        <w:t> </w:t>
      </w:r>
      <w:r w:rsidRPr="009B4317">
        <w:t>[70] Le Distributeur est également d’avis qu’il n’est pas opportun de traiter de ce suivi lors d’un plan d’approvisionnement, puisque l’objet du suivi doit être analysé via un ensemble de questions, et non pas uniquement du point de vue des approvisionnements en électricité. De plus, les suites que pourrait donner la Régie à un tel suivi concernent essentiellement des encadrements au niveau des tarifs et des conditions de service et, de l’avis du Distributeur, s’inscrivent de ce fait dans un dossier de nature tarifaire.</w:t>
      </w:r>
      <w:r w:rsidR="006F0762">
        <w:t> </w:t>
      </w:r>
      <w:r w:rsidRPr="009B4317">
        <w:t xml:space="preserve">» </w:t>
      </w:r>
    </w:p>
    <w:tbl>
      <w:tblPr>
        <w:tblW w:w="8958" w:type="dxa"/>
        <w:tblInd w:w="648" w:type="dxa"/>
        <w:tblLook w:val="00A0" w:firstRow="1" w:lastRow="0" w:firstColumn="1" w:lastColumn="0" w:noHBand="0" w:noVBand="0"/>
      </w:tblPr>
      <w:tblGrid>
        <w:gridCol w:w="7092"/>
        <w:gridCol w:w="1866"/>
      </w:tblGrid>
      <w:tr w:rsidR="009B4317" w:rsidRPr="00726152" w14:paraId="3865FC80" w14:textId="77777777" w:rsidTr="00383312">
        <w:tc>
          <w:tcPr>
            <w:tcW w:w="7092" w:type="dxa"/>
          </w:tcPr>
          <w:p w14:paraId="608FAD6B" w14:textId="3A542BBA" w:rsidR="009B4317" w:rsidRPr="00726152" w:rsidRDefault="00383312" w:rsidP="00E731DA">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Pièce</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B-0325 du dossier</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R-4045-2018, Phase</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3</w:t>
            </w:r>
            <w:r w:rsidR="009B4317">
              <w:rPr>
                <w:rFonts w:ascii="Times New Roman" w:eastAsia="Times New Roman" w:hAnsi="Times New Roman" w:cs="Times New Roman"/>
                <w:color w:val="000000"/>
                <w:szCs w:val="24"/>
              </w:rPr>
              <w:t>, au para</w:t>
            </w:r>
            <w:r w:rsidR="009847D1">
              <w:rPr>
                <w:rFonts w:ascii="Times New Roman" w:eastAsia="Times New Roman" w:hAnsi="Times New Roman" w:cs="Times New Roman"/>
                <w:color w:val="000000"/>
                <w:szCs w:val="24"/>
              </w:rPr>
              <w:t> </w:t>
            </w:r>
            <w:r w:rsidR="009B4317">
              <w:rPr>
                <w:rFonts w:ascii="Times New Roman" w:eastAsia="Times New Roman" w:hAnsi="Times New Roman" w:cs="Times New Roman"/>
                <w:color w:val="000000"/>
                <w:szCs w:val="24"/>
              </w:rPr>
              <w:t>70.</w:t>
            </w:r>
          </w:p>
        </w:tc>
        <w:tc>
          <w:tcPr>
            <w:tcW w:w="1866" w:type="dxa"/>
            <w:vAlign w:val="bottom"/>
          </w:tcPr>
          <w:p w14:paraId="02FCD437" w14:textId="70877D06" w:rsidR="009B4317" w:rsidRPr="00726152" w:rsidRDefault="00383312" w:rsidP="00383312">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C-HIVE-0022</w:t>
            </w:r>
          </w:p>
        </w:tc>
      </w:tr>
    </w:tbl>
    <w:p w14:paraId="3B948F06" w14:textId="7F67AE99" w:rsidR="009B4317" w:rsidRPr="009B4317" w:rsidRDefault="009B4317" w:rsidP="00F1699A">
      <w:pPr>
        <w:pStyle w:val="NumA1"/>
        <w:rPr>
          <w:rFonts w:eastAsia="Calibri"/>
          <w:lang w:eastAsia="fr-CA"/>
        </w:rPr>
      </w:pPr>
      <w:r w:rsidRPr="002D7ECE">
        <w:rPr>
          <w:lang w:eastAsia="fr-CA"/>
        </w:rPr>
        <w:t xml:space="preserve">La Régie a </w:t>
      </w:r>
      <w:r w:rsidRPr="009B4317">
        <w:t>donné</w:t>
      </w:r>
      <w:r w:rsidRPr="002D7ECE">
        <w:rPr>
          <w:lang w:eastAsia="fr-CA"/>
        </w:rPr>
        <w:t xml:space="preserve"> raison au Distributeur à cet égard</w:t>
      </w:r>
      <w:r w:rsidR="009847D1">
        <w:rPr>
          <w:lang w:eastAsia="fr-CA"/>
        </w:rPr>
        <w:t> </w:t>
      </w:r>
      <w:r w:rsidRPr="002D7ECE">
        <w:rPr>
          <w:lang w:eastAsia="fr-CA"/>
        </w:rPr>
        <w:t xml:space="preserve">: </w:t>
      </w:r>
    </w:p>
    <w:p w14:paraId="4D3F9F76" w14:textId="03DAC2A5" w:rsidR="009B4317" w:rsidRPr="009B4317" w:rsidRDefault="009B4317" w:rsidP="009B4317">
      <w:pPr>
        <w:pStyle w:val="QuoteCitation"/>
      </w:pPr>
      <w:r w:rsidRPr="009B4317">
        <w:t>«</w:t>
      </w:r>
      <w:r w:rsidR="006F0762">
        <w:t> </w:t>
      </w:r>
      <w:r w:rsidRPr="009B4317">
        <w:t>[151]     La Régie est d’avis qu’un dépôt dans le cadre du prochain dossier tarifaire est la meilleure option.</w:t>
      </w:r>
    </w:p>
    <w:p w14:paraId="1CD55A3F" w14:textId="4D63D415" w:rsidR="009B4317" w:rsidRPr="009B4317" w:rsidRDefault="009B4317" w:rsidP="009B4317">
      <w:pPr>
        <w:pStyle w:val="QuoteCitation"/>
      </w:pPr>
      <w:r w:rsidRPr="009B4317">
        <w:t xml:space="preserve">[152]     De plus, la </w:t>
      </w:r>
      <w:r w:rsidRPr="009B4317">
        <w:rPr>
          <w:u w:val="single"/>
        </w:rPr>
        <w:t>Régie partage l’avis du Distributeur selon lequel les suites que pourrait donner la Régie à un tel suivi porte essentiellement sur des encadrements des Tarifs et des Conditions de service qui s’inscrivent davantage dans un dossier de nature tarifaire</w:t>
      </w:r>
      <w:r w:rsidRPr="009B4317">
        <w:t>.</w:t>
      </w:r>
      <w:r w:rsidR="006F0762">
        <w:t> </w:t>
      </w:r>
      <w:r w:rsidRPr="009B4317">
        <w:t>»</w:t>
      </w:r>
    </w:p>
    <w:p w14:paraId="3FF3D756" w14:textId="77777777" w:rsidR="009B4317" w:rsidRPr="009B4317" w:rsidRDefault="009B4317" w:rsidP="009B4317">
      <w:pPr>
        <w:pStyle w:val="QuoteCitation"/>
      </w:pPr>
      <w:r w:rsidRPr="009B4317">
        <w:t>[Nous soulignons]</w:t>
      </w:r>
    </w:p>
    <w:tbl>
      <w:tblPr>
        <w:tblW w:w="8958" w:type="dxa"/>
        <w:tblInd w:w="648" w:type="dxa"/>
        <w:tblLook w:val="00A0" w:firstRow="1" w:lastRow="0" w:firstColumn="1" w:lastColumn="0" w:noHBand="0" w:noVBand="0"/>
      </w:tblPr>
      <w:tblGrid>
        <w:gridCol w:w="7272"/>
        <w:gridCol w:w="1686"/>
      </w:tblGrid>
      <w:tr w:rsidR="009B4317" w:rsidRPr="00726152" w14:paraId="4AF0260D" w14:textId="77777777" w:rsidTr="009847D1">
        <w:tc>
          <w:tcPr>
            <w:tcW w:w="7272" w:type="dxa"/>
          </w:tcPr>
          <w:p w14:paraId="0898DDC8" w14:textId="6224475D" w:rsidR="009B4317" w:rsidRPr="00726152" w:rsidRDefault="009B4317" w:rsidP="00E731DA">
            <w:pPr>
              <w:spacing w:before="120" w:after="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Décision</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D-2021-148, rendue dans le dossier</w:t>
            </w:r>
            <w:r w:rsidR="009847D1">
              <w:rPr>
                <w:rFonts w:ascii="Times New Roman" w:eastAsia="Times New Roman" w:hAnsi="Times New Roman" w:cs="Times New Roman"/>
                <w:color w:val="000000"/>
                <w:szCs w:val="24"/>
              </w:rPr>
              <w:t> </w:t>
            </w:r>
            <w:r w:rsidRPr="00E70706">
              <w:rPr>
                <w:rFonts w:ascii="Times New Roman" w:eastAsia="Times New Roman" w:hAnsi="Times New Roman" w:cs="Times New Roman"/>
                <w:color w:val="000000"/>
                <w:szCs w:val="24"/>
              </w:rPr>
              <w:t>R-4045-201</w:t>
            </w:r>
            <w:r>
              <w:rPr>
                <w:rFonts w:ascii="Times New Roman" w:eastAsia="Times New Roman" w:hAnsi="Times New Roman" w:cs="Times New Roman"/>
                <w:color w:val="000000"/>
                <w:szCs w:val="24"/>
              </w:rPr>
              <w:t>8, aux para</w:t>
            </w:r>
            <w:r w:rsidR="009847D1">
              <w:rPr>
                <w:rFonts w:ascii="Times New Roman" w:eastAsia="Times New Roman" w:hAnsi="Times New Roman" w:cs="Times New Roman"/>
                <w:color w:val="000000"/>
                <w:szCs w:val="24"/>
              </w:rPr>
              <w:t>s </w:t>
            </w:r>
            <w:r>
              <w:rPr>
                <w:rFonts w:ascii="Times New Roman" w:eastAsia="Times New Roman" w:hAnsi="Times New Roman" w:cs="Times New Roman"/>
                <w:color w:val="000000"/>
                <w:szCs w:val="24"/>
              </w:rPr>
              <w:t xml:space="preserve">151 et 152. </w:t>
            </w:r>
          </w:p>
        </w:tc>
        <w:tc>
          <w:tcPr>
            <w:tcW w:w="1686" w:type="dxa"/>
            <w:vAlign w:val="center"/>
          </w:tcPr>
          <w:p w14:paraId="6B80E578" w14:textId="243D3145" w:rsidR="009B4317" w:rsidRPr="00726152" w:rsidRDefault="00383312" w:rsidP="009847D1">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C-HIVE-0021</w:t>
            </w:r>
          </w:p>
        </w:tc>
      </w:tr>
    </w:tbl>
    <w:p w14:paraId="0BDF588B" w14:textId="0F43FE47" w:rsidR="009B4317" w:rsidRDefault="009B4317" w:rsidP="00F1699A">
      <w:pPr>
        <w:pStyle w:val="NumA1"/>
      </w:pPr>
      <w:r>
        <w:rPr>
          <w:lang w:eastAsia="fr-CA"/>
        </w:rPr>
        <w:t xml:space="preserve">La </w:t>
      </w:r>
      <w:r w:rsidRPr="009B4317">
        <w:t>Demande</w:t>
      </w:r>
      <w:r>
        <w:rPr>
          <w:lang w:eastAsia="fr-CA"/>
        </w:rPr>
        <w:t xml:space="preserve"> telle que formulée par le Distributeur à l’égard du sort à accorder au Bloc réservé est donc en contravention avec l’article</w:t>
      </w:r>
      <w:r w:rsidR="009847D1">
        <w:rPr>
          <w:lang w:eastAsia="fr-CA"/>
        </w:rPr>
        <w:t> </w:t>
      </w:r>
      <w:r>
        <w:rPr>
          <w:lang w:eastAsia="fr-CA"/>
        </w:rPr>
        <w:t>48.2 de la LR</w:t>
      </w:r>
      <w:r w:rsidR="00F05C88">
        <w:rPr>
          <w:lang w:eastAsia="fr-CA"/>
        </w:rPr>
        <w:t>E</w:t>
      </w:r>
      <w:r>
        <w:rPr>
          <w:lang w:eastAsia="fr-CA"/>
        </w:rPr>
        <w:t xml:space="preserve">, </w:t>
      </w:r>
      <w:r w:rsidR="009847D1">
        <w:rPr>
          <w:lang w:eastAsia="fr-CA"/>
        </w:rPr>
        <w:t>étant donné</w:t>
      </w:r>
      <w:r>
        <w:rPr>
          <w:lang w:eastAsia="fr-CA"/>
        </w:rPr>
        <w:t xml:space="preserve"> qu’elle relève d’une demande de modification tarifaire. Cette seule base est suffisante pour rejeter une telle demande</w:t>
      </w:r>
      <w:r w:rsidRPr="009243DB">
        <w:rPr>
          <w:lang w:eastAsia="fr-CA"/>
        </w:rPr>
        <w:t>;</w:t>
      </w:r>
    </w:p>
    <w:p w14:paraId="2AB00113" w14:textId="38D200FA" w:rsidR="007D7789" w:rsidRDefault="007D7789" w:rsidP="007D7789">
      <w:pPr>
        <w:pStyle w:val="NumA3"/>
      </w:pPr>
      <w:r w:rsidRPr="007D7789">
        <w:t>Les préoccupations économiques, sociales et environnementales ne justifient pas de réviser à la baisse ou supprimer la quantité associée au Bloc réservé</w:t>
      </w:r>
    </w:p>
    <w:p w14:paraId="7667E7CD" w14:textId="1B14C4C8" w:rsidR="00657EFA" w:rsidRDefault="00657EFA" w:rsidP="00F1699A">
      <w:pPr>
        <w:pStyle w:val="NumA1"/>
      </w:pPr>
      <w:r>
        <w:t xml:space="preserve">HIVE soumet que le cadre </w:t>
      </w:r>
      <w:r w:rsidR="009025F6">
        <w:t>réglementaire</w:t>
      </w:r>
      <w:r>
        <w:t xml:space="preserve"> actuel s’appliquant au Bloc réservé et la sanction de la </w:t>
      </w:r>
      <w:r w:rsidR="004B78DD">
        <w:t>Loi</w:t>
      </w:r>
      <w:r w:rsidR="009847D1">
        <w:t> </w:t>
      </w:r>
      <w:r w:rsidR="004B78DD">
        <w:t>2</w:t>
      </w:r>
      <w:r>
        <w:t xml:space="preserve"> répondent aux préoccupations exprimées dans le Décret; </w:t>
      </w:r>
    </w:p>
    <w:p w14:paraId="78E6EF78" w14:textId="73BB6053" w:rsidR="009B4317" w:rsidRPr="009B4317" w:rsidRDefault="00657EFA" w:rsidP="00F1699A">
      <w:pPr>
        <w:pStyle w:val="NumA1"/>
      </w:pPr>
      <w:r>
        <w:lastRenderedPageBreak/>
        <w:t>HIVE soumet au surplus que les prévision</w:t>
      </w:r>
      <w:r w:rsidR="004B78DD">
        <w:t>s</w:t>
      </w:r>
      <w:r>
        <w:t xml:space="preserve"> du Distributeur quant </w:t>
      </w:r>
      <w:r w:rsidR="009B4317" w:rsidRPr="009B4317">
        <w:t>à l’impact de la consommation d’électricité par le secteur des cryptomonnaies sur les quantités disponibles sont erronées</w:t>
      </w:r>
      <w:r>
        <w:t xml:space="preserve"> et qu’elles sont surestimées comparativement à d’autres catégories d’usage énergivores</w:t>
      </w:r>
      <w:r w:rsidR="004B78DD">
        <w:t xml:space="preserve">, ces dernières demeurant </w:t>
      </w:r>
      <w:r>
        <w:t xml:space="preserve">au plan d’approvisionnement du Distributeur; </w:t>
      </w:r>
    </w:p>
    <w:tbl>
      <w:tblPr>
        <w:tblW w:w="8958" w:type="dxa"/>
        <w:tblInd w:w="648" w:type="dxa"/>
        <w:tblLook w:val="00A0" w:firstRow="1" w:lastRow="0" w:firstColumn="1" w:lastColumn="0" w:noHBand="0" w:noVBand="0"/>
      </w:tblPr>
      <w:tblGrid>
        <w:gridCol w:w="6912"/>
        <w:gridCol w:w="2046"/>
      </w:tblGrid>
      <w:tr w:rsidR="009B4317" w:rsidRPr="009B4317" w14:paraId="63D952BD" w14:textId="77777777" w:rsidTr="00383312">
        <w:tc>
          <w:tcPr>
            <w:tcW w:w="6912" w:type="dxa"/>
          </w:tcPr>
          <w:p w14:paraId="4E7DBD30" w14:textId="57CBE5CF" w:rsidR="009B4317" w:rsidRPr="009B4317" w:rsidRDefault="009B4317" w:rsidP="009B4317">
            <w:pPr>
              <w:spacing w:before="120" w:after="120" w:line="240" w:lineRule="auto"/>
              <w:ind w:left="72" w:firstLine="0"/>
              <w:rPr>
                <w:rFonts w:ascii="Times New Roman" w:eastAsia="Times New Roman" w:hAnsi="Times New Roman" w:cs="Times New Roman"/>
                <w:color w:val="000000"/>
                <w:szCs w:val="24"/>
              </w:rPr>
            </w:pPr>
            <w:r w:rsidRPr="009B4317">
              <w:rPr>
                <w:rFonts w:ascii="Times New Roman" w:eastAsia="Times New Roman" w:hAnsi="Times New Roman" w:cs="Times New Roman"/>
                <w:color w:val="000000"/>
                <w:szCs w:val="24"/>
              </w:rPr>
              <w:t>Preuve de Bitfarms</w:t>
            </w:r>
          </w:p>
        </w:tc>
        <w:tc>
          <w:tcPr>
            <w:tcW w:w="2046" w:type="dxa"/>
            <w:vAlign w:val="bottom"/>
          </w:tcPr>
          <w:p w14:paraId="48CFB82C" w14:textId="0D276022" w:rsidR="009B4317" w:rsidRPr="009B4317" w:rsidRDefault="009B4317" w:rsidP="009B4317">
            <w:pPr>
              <w:spacing w:before="120" w:after="120" w:line="240" w:lineRule="auto"/>
              <w:ind w:left="0" w:firstLine="0"/>
              <w:jc w:val="center"/>
              <w:rPr>
                <w:rFonts w:ascii="Times New Roman" w:eastAsia="Times New Roman" w:hAnsi="Times New Roman" w:cs="Times New Roman"/>
                <w:b/>
                <w:bCs/>
                <w:color w:val="000000"/>
              </w:rPr>
            </w:pPr>
            <w:r w:rsidRPr="009B4317">
              <w:rPr>
                <w:rFonts w:ascii="Times New Roman" w:eastAsia="Times New Roman" w:hAnsi="Times New Roman" w:cs="Times New Roman"/>
                <w:b/>
                <w:bCs/>
                <w:color w:val="000000"/>
                <w:szCs w:val="24"/>
              </w:rPr>
              <w:t>C-Bitfarms-0068</w:t>
            </w:r>
          </w:p>
        </w:tc>
      </w:tr>
      <w:tr w:rsidR="009B4317" w:rsidRPr="009B4317" w14:paraId="507ACCDA" w14:textId="77777777" w:rsidTr="009847D1">
        <w:tc>
          <w:tcPr>
            <w:tcW w:w="6912" w:type="dxa"/>
          </w:tcPr>
          <w:p w14:paraId="234805F0" w14:textId="2424BE21" w:rsidR="009B4317" w:rsidRPr="009B4317" w:rsidRDefault="009B4317" w:rsidP="009B4317">
            <w:pPr>
              <w:spacing w:before="120" w:after="120" w:line="240" w:lineRule="auto"/>
              <w:ind w:left="72" w:firstLine="0"/>
              <w:rPr>
                <w:rFonts w:ascii="Times New Roman" w:eastAsia="Times New Roman" w:hAnsi="Times New Roman" w:cs="Times New Roman"/>
                <w:color w:val="000000"/>
                <w:szCs w:val="24"/>
              </w:rPr>
            </w:pPr>
            <w:r w:rsidRPr="009B4317">
              <w:rPr>
                <w:rFonts w:ascii="Times New Roman" w:eastAsia="Times New Roman" w:hAnsi="Times New Roman" w:cs="Times New Roman"/>
                <w:color w:val="000000"/>
                <w:szCs w:val="24"/>
              </w:rPr>
              <w:t>Réponse de Bitfarms à la demande de renseignements no</w:t>
            </w:r>
            <w:r w:rsidR="009847D1">
              <w:rPr>
                <w:rFonts w:ascii="Times New Roman" w:eastAsia="Times New Roman" w:hAnsi="Times New Roman" w:cs="Times New Roman"/>
                <w:color w:val="000000"/>
                <w:szCs w:val="24"/>
              </w:rPr>
              <w:t> </w:t>
            </w:r>
            <w:r w:rsidRPr="009B4317">
              <w:rPr>
                <w:rFonts w:ascii="Times New Roman" w:eastAsia="Times New Roman" w:hAnsi="Times New Roman" w:cs="Times New Roman"/>
                <w:color w:val="000000"/>
                <w:szCs w:val="24"/>
              </w:rPr>
              <w:t>1 de la Régie (sous pli confidentiel)</w:t>
            </w:r>
          </w:p>
        </w:tc>
        <w:tc>
          <w:tcPr>
            <w:tcW w:w="2046" w:type="dxa"/>
            <w:vAlign w:val="center"/>
          </w:tcPr>
          <w:p w14:paraId="1D188388" w14:textId="77777777" w:rsidR="009B4317" w:rsidRPr="009B4317" w:rsidRDefault="009B4317" w:rsidP="009847D1">
            <w:pPr>
              <w:spacing w:before="120" w:after="120" w:line="240" w:lineRule="auto"/>
              <w:ind w:left="0" w:firstLine="0"/>
              <w:jc w:val="center"/>
              <w:rPr>
                <w:rFonts w:ascii="Times New Roman" w:eastAsia="Times New Roman" w:hAnsi="Times New Roman" w:cs="Times New Roman"/>
                <w:b/>
                <w:color w:val="000000"/>
              </w:rPr>
            </w:pPr>
            <w:r w:rsidRPr="009B4317">
              <w:rPr>
                <w:rFonts w:ascii="Times New Roman" w:eastAsia="Times New Roman" w:hAnsi="Times New Roman" w:cs="Times New Roman"/>
                <w:b/>
                <w:bCs/>
                <w:color w:val="000000"/>
                <w:szCs w:val="24"/>
              </w:rPr>
              <w:t>C-Bitfarms-0073</w:t>
            </w:r>
          </w:p>
        </w:tc>
      </w:tr>
      <w:tr w:rsidR="009B4317" w:rsidRPr="009B4317" w14:paraId="2D4B003C" w14:textId="77777777" w:rsidTr="00383312">
        <w:tc>
          <w:tcPr>
            <w:tcW w:w="6912" w:type="dxa"/>
          </w:tcPr>
          <w:p w14:paraId="121195E0" w14:textId="7A33F882" w:rsidR="009B4317" w:rsidRPr="009B4317" w:rsidRDefault="009B4317" w:rsidP="009B4317">
            <w:pPr>
              <w:spacing w:before="120" w:after="120" w:line="240" w:lineRule="auto"/>
              <w:ind w:left="72" w:firstLine="0"/>
              <w:rPr>
                <w:rFonts w:ascii="Times New Roman" w:eastAsia="Times New Roman" w:hAnsi="Times New Roman" w:cs="Times New Roman"/>
                <w:color w:val="000000"/>
                <w:szCs w:val="24"/>
              </w:rPr>
            </w:pPr>
            <w:r w:rsidRPr="009B4317">
              <w:rPr>
                <w:rFonts w:ascii="Times New Roman" w:eastAsia="Times New Roman" w:hAnsi="Times New Roman" w:cs="Times New Roman"/>
                <w:color w:val="000000"/>
                <w:szCs w:val="24"/>
              </w:rPr>
              <w:t>Présentation de Bitfarms – Audience du 15</w:t>
            </w:r>
            <w:r w:rsidR="009847D1">
              <w:rPr>
                <w:rFonts w:ascii="Times New Roman" w:eastAsia="Times New Roman" w:hAnsi="Times New Roman" w:cs="Times New Roman"/>
                <w:color w:val="000000"/>
                <w:szCs w:val="24"/>
              </w:rPr>
              <w:t> </w:t>
            </w:r>
            <w:r w:rsidRPr="009B4317">
              <w:rPr>
                <w:rFonts w:ascii="Times New Roman" w:eastAsia="Times New Roman" w:hAnsi="Times New Roman" w:cs="Times New Roman"/>
                <w:color w:val="000000"/>
                <w:szCs w:val="24"/>
              </w:rPr>
              <w:t>juin</w:t>
            </w:r>
            <w:r w:rsidR="009847D1">
              <w:rPr>
                <w:rFonts w:ascii="Times New Roman" w:eastAsia="Times New Roman" w:hAnsi="Times New Roman" w:cs="Times New Roman"/>
                <w:color w:val="000000"/>
                <w:szCs w:val="24"/>
              </w:rPr>
              <w:t> </w:t>
            </w:r>
            <w:r w:rsidRPr="009B4317">
              <w:rPr>
                <w:rFonts w:ascii="Times New Roman" w:eastAsia="Times New Roman" w:hAnsi="Times New Roman" w:cs="Times New Roman"/>
                <w:color w:val="000000"/>
                <w:szCs w:val="24"/>
              </w:rPr>
              <w:t>2023</w:t>
            </w:r>
          </w:p>
        </w:tc>
        <w:tc>
          <w:tcPr>
            <w:tcW w:w="2046" w:type="dxa"/>
            <w:vAlign w:val="bottom"/>
          </w:tcPr>
          <w:p w14:paraId="47AF5B36" w14:textId="77777777" w:rsidR="009B4317" w:rsidRPr="009B4317" w:rsidRDefault="009B4317" w:rsidP="009B4317">
            <w:pPr>
              <w:spacing w:before="120" w:after="120" w:line="240" w:lineRule="auto"/>
              <w:ind w:left="0" w:firstLine="0"/>
              <w:jc w:val="center"/>
              <w:rPr>
                <w:rFonts w:ascii="Times New Roman" w:eastAsia="Times New Roman" w:hAnsi="Times New Roman" w:cs="Times New Roman"/>
                <w:b/>
                <w:color w:val="000000"/>
              </w:rPr>
            </w:pPr>
            <w:r w:rsidRPr="009B4317">
              <w:rPr>
                <w:rFonts w:ascii="Times New Roman" w:eastAsia="Times New Roman" w:hAnsi="Times New Roman" w:cs="Times New Roman"/>
                <w:b/>
                <w:bCs/>
                <w:color w:val="000000"/>
                <w:szCs w:val="24"/>
              </w:rPr>
              <w:t>C-Bitfarms-0080</w:t>
            </w:r>
          </w:p>
        </w:tc>
      </w:tr>
      <w:tr w:rsidR="009B4317" w:rsidRPr="009B4317" w14:paraId="2389B547" w14:textId="77777777" w:rsidTr="00383312">
        <w:tc>
          <w:tcPr>
            <w:tcW w:w="6912" w:type="dxa"/>
          </w:tcPr>
          <w:p w14:paraId="3154BA91" w14:textId="1F5E3844" w:rsidR="009B4317" w:rsidRPr="009B4317" w:rsidRDefault="009B4317" w:rsidP="009B4317">
            <w:pPr>
              <w:spacing w:before="120" w:after="120" w:line="240" w:lineRule="auto"/>
              <w:ind w:left="72" w:firstLine="0"/>
              <w:rPr>
                <w:rFonts w:ascii="Times New Roman" w:eastAsia="Times New Roman" w:hAnsi="Times New Roman" w:cs="Times New Roman"/>
                <w:color w:val="000000"/>
                <w:szCs w:val="24"/>
              </w:rPr>
            </w:pPr>
            <w:r w:rsidRPr="009B4317">
              <w:rPr>
                <w:rFonts w:ascii="Times New Roman" w:eastAsia="Times New Roman" w:hAnsi="Times New Roman" w:cs="Times New Roman"/>
                <w:color w:val="000000"/>
                <w:szCs w:val="24"/>
              </w:rPr>
              <w:t>Notes sténographiques du 12</w:t>
            </w:r>
            <w:r w:rsidR="009847D1">
              <w:rPr>
                <w:rFonts w:ascii="Times New Roman" w:eastAsia="Times New Roman" w:hAnsi="Times New Roman" w:cs="Times New Roman"/>
                <w:color w:val="000000"/>
                <w:szCs w:val="24"/>
              </w:rPr>
              <w:t> </w:t>
            </w:r>
            <w:r w:rsidRPr="009B4317">
              <w:rPr>
                <w:rFonts w:ascii="Times New Roman" w:eastAsia="Times New Roman" w:hAnsi="Times New Roman" w:cs="Times New Roman"/>
                <w:color w:val="000000"/>
                <w:szCs w:val="24"/>
              </w:rPr>
              <w:t>juin</w:t>
            </w:r>
            <w:r w:rsidR="009847D1">
              <w:rPr>
                <w:rFonts w:ascii="Times New Roman" w:eastAsia="Times New Roman" w:hAnsi="Times New Roman" w:cs="Times New Roman"/>
                <w:color w:val="000000"/>
                <w:szCs w:val="24"/>
              </w:rPr>
              <w:t> </w:t>
            </w:r>
            <w:r w:rsidRPr="009B4317">
              <w:rPr>
                <w:rFonts w:ascii="Times New Roman" w:eastAsia="Times New Roman" w:hAnsi="Times New Roman" w:cs="Times New Roman"/>
                <w:color w:val="000000"/>
                <w:szCs w:val="24"/>
              </w:rPr>
              <w:t>2023, de la p.</w:t>
            </w:r>
            <w:r w:rsidR="009847D1">
              <w:rPr>
                <w:rFonts w:ascii="Times New Roman" w:eastAsia="Times New Roman" w:hAnsi="Times New Roman" w:cs="Times New Roman"/>
                <w:color w:val="000000"/>
                <w:szCs w:val="24"/>
              </w:rPr>
              <w:t> </w:t>
            </w:r>
            <w:r w:rsidRPr="009B4317">
              <w:rPr>
                <w:rFonts w:ascii="Times New Roman" w:eastAsia="Times New Roman" w:hAnsi="Times New Roman" w:cs="Times New Roman"/>
                <w:color w:val="000000"/>
                <w:szCs w:val="24"/>
              </w:rPr>
              <w:t>211 à la p.</w:t>
            </w:r>
            <w:r w:rsidR="009847D1">
              <w:rPr>
                <w:rFonts w:ascii="Times New Roman" w:eastAsia="Times New Roman" w:hAnsi="Times New Roman" w:cs="Times New Roman"/>
                <w:color w:val="000000"/>
                <w:szCs w:val="24"/>
              </w:rPr>
              <w:t> </w:t>
            </w:r>
            <w:r w:rsidRPr="009B4317">
              <w:rPr>
                <w:rFonts w:ascii="Times New Roman" w:eastAsia="Times New Roman" w:hAnsi="Times New Roman" w:cs="Times New Roman"/>
                <w:color w:val="000000"/>
                <w:szCs w:val="24"/>
              </w:rPr>
              <w:t>278.</w:t>
            </w:r>
          </w:p>
        </w:tc>
        <w:tc>
          <w:tcPr>
            <w:tcW w:w="2046" w:type="dxa"/>
            <w:vAlign w:val="bottom"/>
          </w:tcPr>
          <w:p w14:paraId="1A860C11" w14:textId="77777777" w:rsidR="009B4317" w:rsidRPr="009B4317" w:rsidRDefault="009B4317" w:rsidP="009B4317">
            <w:pPr>
              <w:spacing w:before="120" w:after="120" w:line="240" w:lineRule="auto"/>
              <w:ind w:left="0" w:firstLine="0"/>
              <w:jc w:val="center"/>
              <w:rPr>
                <w:rFonts w:ascii="Times New Roman" w:eastAsia="Times New Roman" w:hAnsi="Times New Roman" w:cs="Times New Roman"/>
                <w:b/>
                <w:color w:val="000000"/>
              </w:rPr>
            </w:pPr>
            <w:r w:rsidRPr="009B4317">
              <w:rPr>
                <w:rFonts w:ascii="Times New Roman" w:eastAsia="Times New Roman" w:hAnsi="Times New Roman" w:cs="Times New Roman"/>
                <w:b/>
                <w:color w:val="000000"/>
              </w:rPr>
              <w:t>A-0051</w:t>
            </w:r>
          </w:p>
        </w:tc>
      </w:tr>
      <w:tr w:rsidR="009B4317" w:rsidRPr="009B4317" w14:paraId="100FE349" w14:textId="77777777" w:rsidTr="00383312">
        <w:tc>
          <w:tcPr>
            <w:tcW w:w="6912" w:type="dxa"/>
          </w:tcPr>
          <w:p w14:paraId="74FC3B1C" w14:textId="5296CAF9" w:rsidR="009B4317" w:rsidRPr="009B4317" w:rsidRDefault="009B4317" w:rsidP="009B4317">
            <w:pPr>
              <w:spacing w:before="120" w:after="120" w:line="240" w:lineRule="auto"/>
              <w:ind w:left="72" w:firstLine="0"/>
              <w:rPr>
                <w:rFonts w:ascii="Times New Roman" w:eastAsia="Times New Roman" w:hAnsi="Times New Roman" w:cs="Times New Roman"/>
                <w:color w:val="000000"/>
                <w:szCs w:val="24"/>
              </w:rPr>
            </w:pPr>
            <w:r w:rsidRPr="009B4317">
              <w:rPr>
                <w:rFonts w:ascii="Times New Roman" w:eastAsia="Times New Roman" w:hAnsi="Times New Roman" w:cs="Times New Roman"/>
                <w:color w:val="000000"/>
                <w:szCs w:val="24"/>
              </w:rPr>
              <w:t>Notes sténographiques du 13</w:t>
            </w:r>
            <w:r w:rsidR="009847D1">
              <w:rPr>
                <w:rFonts w:ascii="Times New Roman" w:eastAsia="Times New Roman" w:hAnsi="Times New Roman" w:cs="Times New Roman"/>
                <w:color w:val="000000"/>
                <w:szCs w:val="24"/>
              </w:rPr>
              <w:t> </w:t>
            </w:r>
            <w:r w:rsidRPr="009B4317">
              <w:rPr>
                <w:rFonts w:ascii="Times New Roman" w:eastAsia="Times New Roman" w:hAnsi="Times New Roman" w:cs="Times New Roman"/>
                <w:color w:val="000000"/>
                <w:szCs w:val="24"/>
              </w:rPr>
              <w:t>juin</w:t>
            </w:r>
            <w:r w:rsidR="009847D1">
              <w:rPr>
                <w:rFonts w:ascii="Times New Roman" w:eastAsia="Times New Roman" w:hAnsi="Times New Roman" w:cs="Times New Roman"/>
                <w:color w:val="000000"/>
                <w:szCs w:val="24"/>
              </w:rPr>
              <w:t> </w:t>
            </w:r>
            <w:r w:rsidRPr="009B4317">
              <w:rPr>
                <w:rFonts w:ascii="Times New Roman" w:eastAsia="Times New Roman" w:hAnsi="Times New Roman" w:cs="Times New Roman"/>
                <w:color w:val="000000"/>
                <w:szCs w:val="24"/>
              </w:rPr>
              <w:t>2023, de la p.</w:t>
            </w:r>
            <w:r w:rsidR="009847D1">
              <w:rPr>
                <w:rFonts w:ascii="Times New Roman" w:eastAsia="Times New Roman" w:hAnsi="Times New Roman" w:cs="Times New Roman"/>
                <w:color w:val="000000"/>
                <w:szCs w:val="24"/>
              </w:rPr>
              <w:t> </w:t>
            </w:r>
            <w:r w:rsidRPr="009B4317">
              <w:rPr>
                <w:rFonts w:ascii="Times New Roman" w:eastAsia="Times New Roman" w:hAnsi="Times New Roman" w:cs="Times New Roman"/>
                <w:color w:val="000000"/>
                <w:szCs w:val="24"/>
              </w:rPr>
              <w:t>102 à la p.</w:t>
            </w:r>
            <w:r w:rsidR="009847D1">
              <w:rPr>
                <w:rFonts w:ascii="Times New Roman" w:eastAsia="Times New Roman" w:hAnsi="Times New Roman" w:cs="Times New Roman"/>
                <w:color w:val="000000"/>
                <w:szCs w:val="24"/>
              </w:rPr>
              <w:t> </w:t>
            </w:r>
            <w:r w:rsidRPr="009B4317">
              <w:rPr>
                <w:rFonts w:ascii="Times New Roman" w:eastAsia="Times New Roman" w:hAnsi="Times New Roman" w:cs="Times New Roman"/>
                <w:color w:val="000000"/>
                <w:szCs w:val="24"/>
              </w:rPr>
              <w:t>135.</w:t>
            </w:r>
          </w:p>
        </w:tc>
        <w:tc>
          <w:tcPr>
            <w:tcW w:w="2046" w:type="dxa"/>
            <w:vAlign w:val="bottom"/>
          </w:tcPr>
          <w:p w14:paraId="0B74849B" w14:textId="77777777" w:rsidR="009B4317" w:rsidRPr="009B4317" w:rsidRDefault="009B4317" w:rsidP="009B4317">
            <w:pPr>
              <w:spacing w:before="120" w:after="120" w:line="240" w:lineRule="auto"/>
              <w:ind w:left="0" w:firstLine="0"/>
              <w:jc w:val="center"/>
              <w:rPr>
                <w:rFonts w:ascii="Times New Roman" w:eastAsia="Times New Roman" w:hAnsi="Times New Roman" w:cs="Times New Roman"/>
                <w:b/>
                <w:color w:val="000000"/>
              </w:rPr>
            </w:pPr>
            <w:r w:rsidRPr="009B4317">
              <w:rPr>
                <w:rFonts w:ascii="Times New Roman" w:eastAsia="Times New Roman" w:hAnsi="Times New Roman" w:cs="Times New Roman"/>
                <w:b/>
                <w:color w:val="000000"/>
              </w:rPr>
              <w:t>A-0053</w:t>
            </w:r>
          </w:p>
        </w:tc>
      </w:tr>
      <w:tr w:rsidR="009B4317" w:rsidRPr="009B4317" w14:paraId="5582F095" w14:textId="77777777" w:rsidTr="00383312">
        <w:tc>
          <w:tcPr>
            <w:tcW w:w="6912" w:type="dxa"/>
          </w:tcPr>
          <w:p w14:paraId="4C8F2B1B" w14:textId="5338ED12" w:rsidR="009B4317" w:rsidRPr="009B4317" w:rsidRDefault="009B4317" w:rsidP="009B4317">
            <w:pPr>
              <w:spacing w:before="120" w:after="120" w:line="240" w:lineRule="auto"/>
              <w:ind w:left="72" w:firstLine="0"/>
              <w:rPr>
                <w:rFonts w:ascii="Times New Roman" w:eastAsia="Times New Roman" w:hAnsi="Times New Roman" w:cs="Times New Roman"/>
                <w:color w:val="000000"/>
                <w:szCs w:val="24"/>
              </w:rPr>
            </w:pPr>
            <w:r w:rsidRPr="009B4317">
              <w:rPr>
                <w:rFonts w:ascii="Times New Roman" w:eastAsia="Times New Roman" w:hAnsi="Times New Roman" w:cs="Times New Roman"/>
                <w:color w:val="000000"/>
                <w:szCs w:val="24"/>
              </w:rPr>
              <w:t>Notes sténographiques du 15</w:t>
            </w:r>
            <w:r w:rsidR="009847D1">
              <w:rPr>
                <w:rFonts w:ascii="Times New Roman" w:eastAsia="Times New Roman" w:hAnsi="Times New Roman" w:cs="Times New Roman"/>
                <w:color w:val="000000"/>
                <w:szCs w:val="24"/>
              </w:rPr>
              <w:t> </w:t>
            </w:r>
            <w:r w:rsidRPr="009B4317">
              <w:rPr>
                <w:rFonts w:ascii="Times New Roman" w:eastAsia="Times New Roman" w:hAnsi="Times New Roman" w:cs="Times New Roman"/>
                <w:color w:val="000000"/>
                <w:szCs w:val="24"/>
              </w:rPr>
              <w:t>juin</w:t>
            </w:r>
            <w:r w:rsidR="009847D1">
              <w:rPr>
                <w:rFonts w:ascii="Times New Roman" w:eastAsia="Times New Roman" w:hAnsi="Times New Roman" w:cs="Times New Roman"/>
                <w:color w:val="000000"/>
                <w:szCs w:val="24"/>
              </w:rPr>
              <w:t> </w:t>
            </w:r>
            <w:r w:rsidRPr="009B4317">
              <w:rPr>
                <w:rFonts w:ascii="Times New Roman" w:eastAsia="Times New Roman" w:hAnsi="Times New Roman" w:cs="Times New Roman"/>
                <w:color w:val="000000"/>
                <w:szCs w:val="24"/>
              </w:rPr>
              <w:t>2023, de la p.</w:t>
            </w:r>
            <w:r w:rsidR="009847D1">
              <w:rPr>
                <w:rFonts w:ascii="Times New Roman" w:eastAsia="Times New Roman" w:hAnsi="Times New Roman" w:cs="Times New Roman"/>
                <w:color w:val="000000"/>
                <w:szCs w:val="24"/>
              </w:rPr>
              <w:t> </w:t>
            </w:r>
            <w:r w:rsidRPr="009B4317">
              <w:rPr>
                <w:rFonts w:ascii="Times New Roman" w:eastAsia="Times New Roman" w:hAnsi="Times New Roman" w:cs="Times New Roman"/>
                <w:color w:val="000000"/>
                <w:szCs w:val="24"/>
              </w:rPr>
              <w:t>8 à la p.</w:t>
            </w:r>
            <w:r w:rsidR="009847D1">
              <w:rPr>
                <w:rFonts w:ascii="Times New Roman" w:eastAsia="Times New Roman" w:hAnsi="Times New Roman" w:cs="Times New Roman"/>
                <w:color w:val="000000"/>
                <w:szCs w:val="24"/>
              </w:rPr>
              <w:t> </w:t>
            </w:r>
            <w:r w:rsidRPr="009B4317">
              <w:rPr>
                <w:rFonts w:ascii="Times New Roman" w:eastAsia="Times New Roman" w:hAnsi="Times New Roman" w:cs="Times New Roman"/>
                <w:color w:val="000000"/>
                <w:szCs w:val="24"/>
              </w:rPr>
              <w:t>98.</w:t>
            </w:r>
          </w:p>
        </w:tc>
        <w:tc>
          <w:tcPr>
            <w:tcW w:w="2046" w:type="dxa"/>
            <w:vAlign w:val="bottom"/>
          </w:tcPr>
          <w:p w14:paraId="2B757E81" w14:textId="16445DB7" w:rsidR="009B4317" w:rsidRPr="009B4317" w:rsidRDefault="00383312" w:rsidP="009B4317">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A-0058</w:t>
            </w:r>
          </w:p>
        </w:tc>
      </w:tr>
    </w:tbl>
    <w:p w14:paraId="1B54562E" w14:textId="405CD01D" w:rsidR="009B4317" w:rsidRDefault="00657EFA" w:rsidP="00F1699A">
      <w:pPr>
        <w:pStyle w:val="NumA1"/>
      </w:pPr>
      <w:r>
        <w:t>R</w:t>
      </w:r>
      <w:r w:rsidR="009B4317" w:rsidRPr="009B4317">
        <w:t>appelons que la situation est significativement différente aujourd’hui, comparativement à celle qui était présentée dans le cadre du dossier</w:t>
      </w:r>
      <w:r w:rsidR="009847D1">
        <w:t> </w:t>
      </w:r>
      <w:r w:rsidR="009B4317" w:rsidRPr="009B4317">
        <w:t xml:space="preserve">R-4045-2018, dans la mesure où la demande élevée du secteur des cryptomonnaies n’est plus présente, notamment considérant que le développement de cette catégorie de consommateurs </w:t>
      </w:r>
      <w:r>
        <w:t xml:space="preserve">a été limité </w:t>
      </w:r>
      <w:r w:rsidR="009B4317" w:rsidRPr="009B4317">
        <w:t xml:space="preserve">par l’imposition du Bloc réservé; </w:t>
      </w:r>
    </w:p>
    <w:p w14:paraId="54A9DE21" w14:textId="7994E577" w:rsidR="00C84347" w:rsidRDefault="00C84347" w:rsidP="00C84347">
      <w:pPr>
        <w:pStyle w:val="NumA1"/>
      </w:pPr>
      <w:r>
        <w:t>Ainsi, et contrairement aux prétentions du Distributeur, la popularité du secteur est déjà freinée, ce pour répondre aux préoccupations formulées par le gouvernement dans le Décret 646-2018;</w:t>
      </w:r>
    </w:p>
    <w:tbl>
      <w:tblPr>
        <w:tblW w:w="8958" w:type="dxa"/>
        <w:tblInd w:w="648" w:type="dxa"/>
        <w:tblLook w:val="00A0" w:firstRow="1" w:lastRow="0" w:firstColumn="1" w:lastColumn="0" w:noHBand="0" w:noVBand="0"/>
      </w:tblPr>
      <w:tblGrid>
        <w:gridCol w:w="7272"/>
        <w:gridCol w:w="1686"/>
      </w:tblGrid>
      <w:tr w:rsidR="00C84347" w:rsidRPr="009B4317" w14:paraId="5BAD9E1A" w14:textId="77777777" w:rsidTr="00C84347">
        <w:tc>
          <w:tcPr>
            <w:tcW w:w="7272" w:type="dxa"/>
          </w:tcPr>
          <w:p w14:paraId="48B38D61" w14:textId="0F6D5E5D" w:rsidR="00C84347" w:rsidRPr="009B4317" w:rsidRDefault="00C84347" w:rsidP="00DB6A1A">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Dossier</w:t>
            </w:r>
            <w:r w:rsidR="006F0762">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R-4045-2018, Pièce</w:t>
            </w:r>
            <w:r w:rsidR="006F0762">
              <w:rPr>
                <w:rFonts w:ascii="Times New Roman" w:eastAsia="Times New Roman" w:hAnsi="Times New Roman" w:cs="Times New Roman"/>
                <w:color w:val="000000"/>
                <w:szCs w:val="24"/>
              </w:rPr>
              <w:t> </w:t>
            </w:r>
            <w:r w:rsidRPr="00AC46CD">
              <w:rPr>
                <w:rFonts w:ascii="Times New Roman" w:eastAsia="Times New Roman" w:hAnsi="Times New Roman" w:cs="Times New Roman"/>
                <w:color w:val="000000"/>
                <w:szCs w:val="24"/>
              </w:rPr>
              <w:t>HQD-1, document 1, Décret No 646-2018 du 30</w:t>
            </w:r>
            <w:r w:rsidR="006F0762">
              <w:rPr>
                <w:rFonts w:ascii="Times New Roman" w:eastAsia="Times New Roman" w:hAnsi="Times New Roman" w:cs="Times New Roman"/>
                <w:color w:val="000000"/>
                <w:szCs w:val="24"/>
              </w:rPr>
              <w:t> </w:t>
            </w:r>
            <w:r w:rsidRPr="00AC46CD">
              <w:rPr>
                <w:rFonts w:ascii="Times New Roman" w:eastAsia="Times New Roman" w:hAnsi="Times New Roman" w:cs="Times New Roman"/>
                <w:color w:val="000000"/>
                <w:szCs w:val="24"/>
              </w:rPr>
              <w:t>mai</w:t>
            </w:r>
            <w:r w:rsidR="006F0762">
              <w:rPr>
                <w:rFonts w:ascii="Times New Roman" w:eastAsia="Times New Roman" w:hAnsi="Times New Roman" w:cs="Times New Roman"/>
                <w:color w:val="000000"/>
                <w:szCs w:val="24"/>
              </w:rPr>
              <w:t> </w:t>
            </w:r>
            <w:r w:rsidRPr="00AC46CD">
              <w:rPr>
                <w:rFonts w:ascii="Times New Roman" w:eastAsia="Times New Roman" w:hAnsi="Times New Roman" w:cs="Times New Roman"/>
                <w:color w:val="000000"/>
                <w:szCs w:val="24"/>
              </w:rPr>
              <w:t>2018 et Arrêté ministériel No AM 2018-004 du 31</w:t>
            </w:r>
            <w:r w:rsidR="006F0762">
              <w:rPr>
                <w:rFonts w:ascii="Times New Roman" w:eastAsia="Times New Roman" w:hAnsi="Times New Roman" w:cs="Times New Roman"/>
                <w:color w:val="000000"/>
                <w:szCs w:val="24"/>
              </w:rPr>
              <w:t> </w:t>
            </w:r>
            <w:r w:rsidRPr="00AC46CD">
              <w:rPr>
                <w:rFonts w:ascii="Times New Roman" w:eastAsia="Times New Roman" w:hAnsi="Times New Roman" w:cs="Times New Roman"/>
                <w:color w:val="000000"/>
                <w:szCs w:val="24"/>
              </w:rPr>
              <w:t>mai</w:t>
            </w:r>
            <w:r w:rsidR="006F0762">
              <w:rPr>
                <w:rFonts w:ascii="Times New Roman" w:eastAsia="Times New Roman" w:hAnsi="Times New Roman" w:cs="Times New Roman"/>
                <w:color w:val="000000"/>
                <w:szCs w:val="24"/>
              </w:rPr>
              <w:t> </w:t>
            </w:r>
            <w:r w:rsidRPr="00AC46CD">
              <w:rPr>
                <w:rFonts w:ascii="Times New Roman" w:eastAsia="Times New Roman" w:hAnsi="Times New Roman" w:cs="Times New Roman"/>
                <w:color w:val="000000"/>
                <w:szCs w:val="24"/>
              </w:rPr>
              <w:t>2018</w:t>
            </w:r>
            <w:r>
              <w:rPr>
                <w:rFonts w:ascii="Times New Roman" w:eastAsia="Times New Roman" w:hAnsi="Times New Roman" w:cs="Times New Roman"/>
                <w:color w:val="000000"/>
                <w:szCs w:val="24"/>
              </w:rPr>
              <w:t>.</w:t>
            </w:r>
          </w:p>
        </w:tc>
        <w:tc>
          <w:tcPr>
            <w:tcW w:w="1686" w:type="dxa"/>
            <w:vAlign w:val="center"/>
          </w:tcPr>
          <w:p w14:paraId="2B439B68" w14:textId="2491BEB2" w:rsidR="00C84347" w:rsidRPr="009B4317" w:rsidRDefault="00A87F7D" w:rsidP="00DB6A1A">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C-HIVE-0017</w:t>
            </w:r>
          </w:p>
        </w:tc>
      </w:tr>
    </w:tbl>
    <w:p w14:paraId="0C58976F" w14:textId="0BCFCC57" w:rsidR="004B78DD" w:rsidRDefault="004B78DD" w:rsidP="00F1699A">
      <w:pPr>
        <w:pStyle w:val="NumA1"/>
      </w:pPr>
      <w:r>
        <w:t>À cet égard, HIVE soumet que le 2</w:t>
      </w:r>
      <w:r w:rsidR="006F0762">
        <w:t> 500 </w:t>
      </w:r>
      <w:r>
        <w:t xml:space="preserve">MW de demande </w:t>
      </w:r>
      <w:r w:rsidR="00F05C88">
        <w:t xml:space="preserve">d’alimentation </w:t>
      </w:r>
      <w:r>
        <w:t>évoqué par le Distributeur a significativement diminué depuis la décision de la Régie sur la Demande d’ordonnance de sauvegarde du Distributeur; HIVE soumet que seul le 60</w:t>
      </w:r>
      <w:r w:rsidR="006F0762">
        <w:t> </w:t>
      </w:r>
      <w:r>
        <w:t xml:space="preserve">MW que les </w:t>
      </w:r>
      <w:r w:rsidR="00F05C88">
        <w:t>délégués</w:t>
      </w:r>
      <w:r>
        <w:t xml:space="preserve"> commerciaux évoquent depuis la suspension du Solde du Bloc réservé doivent être considérés comme la demande actuelle visant le secteur cryptographique; </w:t>
      </w:r>
    </w:p>
    <w:tbl>
      <w:tblPr>
        <w:tblW w:w="8958" w:type="dxa"/>
        <w:tblInd w:w="648" w:type="dxa"/>
        <w:tblLook w:val="00A0" w:firstRow="1" w:lastRow="0" w:firstColumn="1" w:lastColumn="0" w:noHBand="0" w:noVBand="0"/>
      </w:tblPr>
      <w:tblGrid>
        <w:gridCol w:w="7272"/>
        <w:gridCol w:w="1686"/>
      </w:tblGrid>
      <w:tr w:rsidR="004B78DD" w:rsidRPr="009B4317" w14:paraId="6AFF36F8" w14:textId="77777777" w:rsidTr="00383312">
        <w:tc>
          <w:tcPr>
            <w:tcW w:w="7272" w:type="dxa"/>
          </w:tcPr>
          <w:p w14:paraId="300378A9" w14:textId="4D7CF6AA" w:rsidR="004B78DD" w:rsidRPr="009B4317" w:rsidRDefault="00383312" w:rsidP="00CB5458">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HQD-7, document</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2 – Réponse du Distributeur à l’engagement no</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4</w:t>
            </w:r>
            <w:r w:rsidR="004B78DD">
              <w:rPr>
                <w:rFonts w:ascii="Times New Roman" w:eastAsia="Times New Roman" w:hAnsi="Times New Roman" w:cs="Times New Roman"/>
                <w:color w:val="000000"/>
                <w:szCs w:val="24"/>
              </w:rPr>
              <w:t>, à la p.</w:t>
            </w:r>
            <w:r w:rsidR="009847D1">
              <w:rPr>
                <w:rFonts w:ascii="Times New Roman" w:eastAsia="Times New Roman" w:hAnsi="Times New Roman" w:cs="Times New Roman"/>
                <w:color w:val="000000"/>
                <w:szCs w:val="24"/>
              </w:rPr>
              <w:t> </w:t>
            </w:r>
            <w:r w:rsidR="004B78DD">
              <w:rPr>
                <w:rFonts w:ascii="Times New Roman" w:eastAsia="Times New Roman" w:hAnsi="Times New Roman" w:cs="Times New Roman"/>
                <w:color w:val="000000"/>
                <w:szCs w:val="24"/>
              </w:rPr>
              <w:t>3, lignes</w:t>
            </w:r>
            <w:r w:rsidR="009847D1">
              <w:rPr>
                <w:rFonts w:ascii="Times New Roman" w:eastAsia="Times New Roman" w:hAnsi="Times New Roman" w:cs="Times New Roman"/>
                <w:color w:val="000000"/>
                <w:szCs w:val="24"/>
              </w:rPr>
              <w:t> </w:t>
            </w:r>
            <w:r w:rsidR="004B78DD">
              <w:rPr>
                <w:rFonts w:ascii="Times New Roman" w:eastAsia="Times New Roman" w:hAnsi="Times New Roman" w:cs="Times New Roman"/>
                <w:color w:val="000000"/>
                <w:szCs w:val="24"/>
              </w:rPr>
              <w:t xml:space="preserve">12 à 17.  </w:t>
            </w:r>
          </w:p>
        </w:tc>
        <w:tc>
          <w:tcPr>
            <w:tcW w:w="1686" w:type="dxa"/>
            <w:vAlign w:val="center"/>
          </w:tcPr>
          <w:p w14:paraId="1038B833" w14:textId="6B917ABA" w:rsidR="004B78DD" w:rsidRPr="009B4317" w:rsidRDefault="004B78DD" w:rsidP="00CB5458">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B-0135</w:t>
            </w:r>
          </w:p>
        </w:tc>
      </w:tr>
    </w:tbl>
    <w:p w14:paraId="567D2ABF" w14:textId="52A1BA8C" w:rsidR="009B4317" w:rsidRPr="00C84347" w:rsidRDefault="00F05C88" w:rsidP="00610725">
      <w:pPr>
        <w:pStyle w:val="NumA1"/>
      </w:pPr>
      <w:r>
        <w:t xml:space="preserve">Comme mentionné plus haut, le décret </w:t>
      </w:r>
      <w:r w:rsidR="00C84347" w:rsidRPr="009243DB">
        <w:t xml:space="preserve">no 646-2018 et </w:t>
      </w:r>
      <w:r>
        <w:t xml:space="preserve">le Décret poursuivent des objectifs similaires et ces préoccupations ont validement été mitigées considérant </w:t>
      </w:r>
      <w:r w:rsidR="009B4317" w:rsidRPr="00C84347">
        <w:t>la décision de la restriction de la puissance octroyée avec 300</w:t>
      </w:r>
      <w:r w:rsidR="009847D1" w:rsidRPr="00C84347">
        <w:t> </w:t>
      </w:r>
      <w:r w:rsidR="009B4317" w:rsidRPr="00C84347">
        <w:t xml:space="preserve">heures d’effacement; </w:t>
      </w:r>
    </w:p>
    <w:tbl>
      <w:tblPr>
        <w:tblW w:w="8958" w:type="dxa"/>
        <w:tblInd w:w="648" w:type="dxa"/>
        <w:tblLook w:val="00A0" w:firstRow="1" w:lastRow="0" w:firstColumn="1" w:lastColumn="0" w:noHBand="0" w:noVBand="0"/>
      </w:tblPr>
      <w:tblGrid>
        <w:gridCol w:w="7272"/>
        <w:gridCol w:w="1686"/>
      </w:tblGrid>
      <w:tr w:rsidR="00657EFA" w:rsidRPr="007D7789" w14:paraId="53B73C5D" w14:textId="77777777" w:rsidTr="00383312">
        <w:tc>
          <w:tcPr>
            <w:tcW w:w="7272" w:type="dxa"/>
          </w:tcPr>
          <w:p w14:paraId="13D5A1A0" w14:textId="07006D96" w:rsidR="00657EFA" w:rsidRPr="00657EFA" w:rsidRDefault="00657EFA" w:rsidP="00E731DA">
            <w:pPr>
              <w:spacing w:before="120" w:after="0" w:line="240" w:lineRule="auto"/>
              <w:ind w:left="72" w:firstLine="0"/>
              <w:rPr>
                <w:rFonts w:ascii="Times New Roman" w:eastAsia="Times New Roman" w:hAnsi="Times New Roman" w:cs="Times New Roman"/>
                <w:color w:val="000000"/>
                <w:szCs w:val="24"/>
              </w:rPr>
            </w:pPr>
            <w:r w:rsidRPr="00657EFA">
              <w:rPr>
                <w:rFonts w:ascii="Times New Roman" w:eastAsia="Times New Roman" w:hAnsi="Times New Roman" w:cs="Times New Roman"/>
                <w:color w:val="000000"/>
                <w:szCs w:val="24"/>
              </w:rPr>
              <w:t>D-2019-052 (R-4045-2018) aux paras</w:t>
            </w:r>
            <w:r w:rsidR="009847D1">
              <w:rPr>
                <w:rFonts w:ascii="Times New Roman" w:eastAsia="Times New Roman" w:hAnsi="Times New Roman" w:cs="Times New Roman"/>
                <w:color w:val="000000"/>
                <w:szCs w:val="24"/>
              </w:rPr>
              <w:t> </w:t>
            </w:r>
            <w:r w:rsidRPr="00657EFA">
              <w:rPr>
                <w:rFonts w:ascii="Times New Roman" w:eastAsia="Times New Roman" w:hAnsi="Times New Roman" w:cs="Times New Roman"/>
                <w:color w:val="000000"/>
                <w:szCs w:val="24"/>
              </w:rPr>
              <w:t>127 à 128.</w:t>
            </w:r>
          </w:p>
        </w:tc>
        <w:tc>
          <w:tcPr>
            <w:tcW w:w="1686" w:type="dxa"/>
            <w:vAlign w:val="bottom"/>
          </w:tcPr>
          <w:p w14:paraId="05A63120" w14:textId="69A0FB48" w:rsidR="00657EFA" w:rsidRPr="00657EFA" w:rsidRDefault="00383312" w:rsidP="00383312">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C-HIVE-0020</w:t>
            </w:r>
          </w:p>
        </w:tc>
      </w:tr>
    </w:tbl>
    <w:p w14:paraId="31A0C519" w14:textId="6F238004" w:rsidR="00C84347" w:rsidRPr="00C84347" w:rsidRDefault="00F05C88" w:rsidP="00C84347">
      <w:pPr>
        <w:pStyle w:val="NumA1"/>
        <w:rPr>
          <w:rFonts w:asciiTheme="majorHAnsi" w:hAnsiTheme="majorHAnsi" w:cs="Times New Roman"/>
        </w:rPr>
      </w:pPr>
      <w:r>
        <w:lastRenderedPageBreak/>
        <w:t xml:space="preserve">Si </w:t>
      </w:r>
      <w:r w:rsidR="009B4317" w:rsidRPr="009B4317">
        <w:t xml:space="preserve">les besoins en énergie ont </w:t>
      </w:r>
      <w:r>
        <w:t xml:space="preserve">effectivement évolué </w:t>
      </w:r>
      <w:r w:rsidR="009B4317" w:rsidRPr="009B4317">
        <w:t>depuis la fin du dossier</w:t>
      </w:r>
      <w:r w:rsidR="009847D1">
        <w:t> </w:t>
      </w:r>
      <w:r w:rsidR="009B4317" w:rsidRPr="009B4317">
        <w:t>R-4045-2018, la catégorie de consommateurs cryptographiques n’est pas celle qui représente un risque pour le Distributeur</w:t>
      </w:r>
      <w:r>
        <w:t>;</w:t>
      </w:r>
      <w:r w:rsidR="00C84347" w:rsidRPr="00C84347">
        <w:rPr>
          <w:rFonts w:asciiTheme="majorHAnsi" w:hAnsiTheme="majorHAnsi" w:cs="Times New Roman"/>
        </w:rPr>
        <w:t xml:space="preserve"> elle représente plutôt source de revenus </w:t>
      </w:r>
      <w:r w:rsidR="00D8255A">
        <w:rPr>
          <w:rFonts w:asciiTheme="majorHAnsi" w:hAnsiTheme="majorHAnsi" w:cs="Times New Roman"/>
        </w:rPr>
        <w:t>rentables</w:t>
      </w:r>
      <w:r w:rsidR="00C84347" w:rsidRPr="00C84347">
        <w:rPr>
          <w:rFonts w:asciiTheme="majorHAnsi" w:hAnsiTheme="majorHAnsi" w:cs="Times New Roman"/>
        </w:rPr>
        <w:t>, au bénéfice des clients avec des besoins d’une pointe hivernale</w:t>
      </w:r>
      <w:r w:rsidR="006F0762">
        <w:rPr>
          <w:rFonts w:asciiTheme="majorHAnsi" w:hAnsiTheme="majorHAnsi" w:cs="Times New Roman"/>
        </w:rPr>
        <w:t> </w:t>
      </w:r>
      <w:r w:rsidR="00C84347" w:rsidRPr="00C84347">
        <w:rPr>
          <w:rFonts w:asciiTheme="majorHAnsi" w:hAnsiTheme="majorHAnsi" w:cs="Times New Roman"/>
        </w:rPr>
        <w:t>:</w:t>
      </w:r>
    </w:p>
    <w:p w14:paraId="7FB621FA" w14:textId="1E4D5FB6" w:rsidR="00C84347" w:rsidRDefault="00C84347" w:rsidP="00C84347">
      <w:pPr>
        <w:ind w:left="1440" w:right="720" w:firstLine="0"/>
        <w:rPr>
          <w:rFonts w:asciiTheme="majorHAnsi" w:eastAsia="Times New Roman" w:hAnsiTheme="majorHAnsi" w:cs="Times New Roman"/>
          <w:sz w:val="22"/>
        </w:rPr>
      </w:pPr>
      <w:r w:rsidRPr="00C84347">
        <w:rPr>
          <w:rFonts w:asciiTheme="majorHAnsi" w:eastAsia="Times New Roman" w:hAnsiTheme="majorHAnsi" w:cs="Times New Roman"/>
          <w:sz w:val="22"/>
        </w:rPr>
        <w:t>«</w:t>
      </w:r>
      <w:r w:rsidR="006F0762">
        <w:rPr>
          <w:rFonts w:asciiTheme="majorHAnsi" w:eastAsia="Times New Roman" w:hAnsiTheme="majorHAnsi" w:cs="Times New Roman"/>
          <w:sz w:val="22"/>
        </w:rPr>
        <w:t> </w:t>
      </w:r>
      <w:r w:rsidRPr="00C84347">
        <w:rPr>
          <w:rFonts w:asciiTheme="majorHAnsi" w:eastAsia="Times New Roman" w:hAnsiTheme="majorHAnsi" w:cs="Times New Roman"/>
          <w:sz w:val="22"/>
        </w:rPr>
        <w:t xml:space="preserve">Comparés à la plupart des autres catégories de clients, </w:t>
      </w:r>
      <w:r w:rsidRPr="00C84347">
        <w:rPr>
          <w:rFonts w:asciiTheme="majorHAnsi" w:eastAsia="Times New Roman" w:hAnsiTheme="majorHAnsi" w:cs="Times New Roman"/>
          <w:sz w:val="22"/>
          <w:u w:val="single"/>
        </w:rPr>
        <w:t>les coûts relatifs d’approvisionnement du Bloc réservé supplémentaires seront amplement couverts, et même rentables, au bénéfice des clients avec besoin d’une pointe hivernale</w:t>
      </w:r>
      <w:r w:rsidRPr="00C84347">
        <w:rPr>
          <w:rFonts w:asciiTheme="majorHAnsi" w:eastAsia="Times New Roman" w:hAnsiTheme="majorHAnsi" w:cs="Times New Roman"/>
          <w:sz w:val="22"/>
        </w:rPr>
        <w:t xml:space="preserve"> et ainsi contribuer à leur façon aux efforts de financement de l’électrification du Québec.</w:t>
      </w:r>
      <w:r w:rsidR="006F0762">
        <w:rPr>
          <w:rFonts w:asciiTheme="majorHAnsi" w:eastAsia="Times New Roman" w:hAnsiTheme="majorHAnsi" w:cs="Times New Roman"/>
          <w:sz w:val="22"/>
        </w:rPr>
        <w:t> </w:t>
      </w:r>
      <w:r w:rsidRPr="00C84347">
        <w:rPr>
          <w:rFonts w:asciiTheme="majorHAnsi" w:eastAsia="Times New Roman" w:hAnsiTheme="majorHAnsi" w:cs="Times New Roman"/>
          <w:sz w:val="22"/>
        </w:rPr>
        <w:t>»</w:t>
      </w:r>
    </w:p>
    <w:tbl>
      <w:tblPr>
        <w:tblW w:w="8958" w:type="dxa"/>
        <w:tblInd w:w="648" w:type="dxa"/>
        <w:tblLook w:val="00A0" w:firstRow="1" w:lastRow="0" w:firstColumn="1" w:lastColumn="0" w:noHBand="0" w:noVBand="0"/>
      </w:tblPr>
      <w:tblGrid>
        <w:gridCol w:w="6912"/>
        <w:gridCol w:w="2046"/>
      </w:tblGrid>
      <w:tr w:rsidR="00F05C88" w:rsidRPr="007D7789" w14:paraId="3B338B56" w14:textId="77777777" w:rsidTr="00A87F7D">
        <w:tc>
          <w:tcPr>
            <w:tcW w:w="6912" w:type="dxa"/>
          </w:tcPr>
          <w:p w14:paraId="152FB543" w14:textId="23CEEB38" w:rsidR="00F05C88" w:rsidRPr="00657EFA" w:rsidRDefault="00F05C88" w:rsidP="00DB6A1A">
            <w:pPr>
              <w:spacing w:before="120" w:after="0" w:line="240" w:lineRule="auto"/>
              <w:ind w:left="72" w:firstLine="0"/>
              <w:rPr>
                <w:rFonts w:ascii="Times New Roman" w:eastAsia="Times New Roman" w:hAnsi="Times New Roman" w:cs="Times New Roman"/>
                <w:color w:val="000000"/>
                <w:szCs w:val="24"/>
              </w:rPr>
            </w:pPr>
            <w:r w:rsidRPr="009B4317">
              <w:rPr>
                <w:rFonts w:ascii="Times New Roman" w:eastAsia="Times New Roman" w:hAnsi="Times New Roman" w:cs="Times New Roman"/>
                <w:color w:val="000000"/>
                <w:szCs w:val="24"/>
              </w:rPr>
              <w:t>Preuve de Bitfarms</w:t>
            </w:r>
            <w:r>
              <w:rPr>
                <w:rFonts w:ascii="Times New Roman" w:eastAsia="Times New Roman" w:hAnsi="Times New Roman" w:cs="Times New Roman"/>
                <w:color w:val="000000"/>
                <w:szCs w:val="24"/>
              </w:rPr>
              <w:t xml:space="preserve">, </w:t>
            </w:r>
            <w:r w:rsidRPr="00C84347">
              <w:rPr>
                <w:rFonts w:ascii="Times New Roman" w:eastAsia="Times New Roman" w:hAnsi="Times New Roman" w:cs="Times New Roman"/>
                <w:color w:val="000000"/>
                <w:szCs w:val="24"/>
              </w:rPr>
              <w:t>aux pages 5 et 6.</w:t>
            </w:r>
          </w:p>
        </w:tc>
        <w:tc>
          <w:tcPr>
            <w:tcW w:w="2046" w:type="dxa"/>
            <w:vAlign w:val="bottom"/>
          </w:tcPr>
          <w:p w14:paraId="62499059" w14:textId="6B50EBAF" w:rsidR="00F05C88" w:rsidRPr="00657EFA" w:rsidRDefault="00F05C88" w:rsidP="00DB6A1A">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C-Bitfarms-0068</w:t>
            </w:r>
          </w:p>
        </w:tc>
      </w:tr>
    </w:tbl>
    <w:p w14:paraId="656737B7" w14:textId="27B99DA2" w:rsidR="00C84347" w:rsidRPr="00C84347" w:rsidRDefault="00C84347" w:rsidP="00C84347">
      <w:pPr>
        <w:ind w:left="1440" w:right="720" w:firstLine="0"/>
        <w:rPr>
          <w:rFonts w:asciiTheme="majorHAnsi" w:eastAsia="Times New Roman" w:hAnsiTheme="majorHAnsi" w:cs="Times New Roman"/>
          <w:sz w:val="22"/>
        </w:rPr>
      </w:pPr>
      <w:r w:rsidRPr="00C84347">
        <w:rPr>
          <w:rFonts w:asciiTheme="majorHAnsi" w:eastAsia="Times New Roman" w:hAnsiTheme="majorHAnsi" w:cs="Times New Roman"/>
          <w:sz w:val="22"/>
        </w:rPr>
        <w:t>«</w:t>
      </w:r>
      <w:r w:rsidR="006F0762">
        <w:rPr>
          <w:rFonts w:asciiTheme="majorHAnsi" w:eastAsia="Times New Roman" w:hAnsiTheme="majorHAnsi" w:cs="Times New Roman"/>
          <w:sz w:val="22"/>
        </w:rPr>
        <w:t> </w:t>
      </w:r>
      <w:r w:rsidRPr="00C84347">
        <w:rPr>
          <w:rFonts w:asciiTheme="majorHAnsi" w:eastAsia="Times New Roman" w:hAnsiTheme="majorHAnsi" w:cs="Times New Roman"/>
          <w:sz w:val="22"/>
        </w:rPr>
        <w:t>En puissance et en énergie. Donc, encore une fois, les appels d’offres, c’est vraiment pas seulement pour le bloc crypto. L’idée, c’est que le fameux tableau qu’on voyait tout à l’heure où on avait hiver et puis son année, je veux dire, ça nous prendrait une ligne qui était pointe hivernale. Et, là, dans la pointe hivernale, je pense que, même si on n’octroie pas le deux cent soixante-dix mégawatts (270</w:t>
      </w:r>
      <w:r w:rsidR="006F0762">
        <w:rPr>
          <w:rFonts w:asciiTheme="majorHAnsi" w:eastAsia="Times New Roman" w:hAnsiTheme="majorHAnsi" w:cs="Times New Roman"/>
          <w:sz w:val="22"/>
        </w:rPr>
        <w:t> </w:t>
      </w:r>
      <w:r w:rsidRPr="00C84347">
        <w:rPr>
          <w:rFonts w:asciiTheme="majorHAnsi" w:eastAsia="Times New Roman" w:hAnsiTheme="majorHAnsi" w:cs="Times New Roman"/>
          <w:sz w:val="22"/>
        </w:rPr>
        <w:t xml:space="preserve">MW), </w:t>
      </w:r>
      <w:r w:rsidRPr="00C84347">
        <w:rPr>
          <w:rFonts w:asciiTheme="majorHAnsi" w:eastAsia="Times New Roman" w:hAnsiTheme="majorHAnsi" w:cs="Times New Roman"/>
          <w:sz w:val="22"/>
          <w:u w:val="single"/>
        </w:rPr>
        <w:t>on va quand même avoir besoin de térawattheures d’énergie supplémentaires pour fournir le Québec et fournir les autres développements. Donc, ce n’est pas marginalement, cette industrie-là, qui va faire en sorte, parce qu’elle va consommer en dehors des périodes de pointe maximale hivernale. Donc, ce n’est pas là qu’on va avoir besoin plus d’énergie</w:t>
      </w:r>
      <w:r w:rsidRPr="00C84347">
        <w:rPr>
          <w:rFonts w:asciiTheme="majorHAnsi" w:eastAsia="Times New Roman" w:hAnsiTheme="majorHAnsi" w:cs="Times New Roman"/>
          <w:sz w:val="22"/>
        </w:rPr>
        <w:t xml:space="preserve">. Donc, pour répondre à votre question. C’est certain qu’au niveau de la puissance, je pense que la preuve est bien démontrée, est bien faite. </w:t>
      </w:r>
      <w:r w:rsidRPr="00C84347">
        <w:rPr>
          <w:rFonts w:asciiTheme="majorHAnsi" w:eastAsia="Times New Roman" w:hAnsiTheme="majorHAnsi" w:cs="Times New Roman"/>
          <w:sz w:val="22"/>
          <w:u w:val="single"/>
        </w:rPr>
        <w:t>Au niveau de l’énergie, certainement pas d’ici le prochain plan d’approvisionnement</w:t>
      </w:r>
      <w:r w:rsidRPr="00C84347">
        <w:rPr>
          <w:rFonts w:asciiTheme="majorHAnsi" w:eastAsia="Times New Roman" w:hAnsiTheme="majorHAnsi" w:cs="Times New Roman"/>
          <w:sz w:val="22"/>
        </w:rPr>
        <w:t>. Disons-le comme ça. Est-ce que, dans trois ans lorsqu’on va avoir déposé un nouveau plan, on pourrait regarder ça? Je pense que la Régie pourrait très bien octroyer le bloc et puis voir d’ici trois ans si, oui ou non, là, vraiment ça ne fonctionne plus. Mais à court terme je ne pense pas.</w:t>
      </w:r>
      <w:r w:rsidR="006F0762">
        <w:rPr>
          <w:rFonts w:asciiTheme="majorHAnsi" w:eastAsia="Times New Roman" w:hAnsiTheme="majorHAnsi" w:cs="Times New Roman"/>
          <w:sz w:val="22"/>
        </w:rPr>
        <w:t> </w:t>
      </w:r>
      <w:r w:rsidRPr="00C84347">
        <w:rPr>
          <w:rFonts w:asciiTheme="majorHAnsi" w:eastAsia="Times New Roman" w:hAnsiTheme="majorHAnsi" w:cs="Times New Roman"/>
          <w:sz w:val="22"/>
        </w:rPr>
        <w:t xml:space="preserve">» </w:t>
      </w:r>
    </w:p>
    <w:p w14:paraId="43D14F42" w14:textId="77777777" w:rsidR="00C84347" w:rsidRPr="00C84347" w:rsidRDefault="00C84347" w:rsidP="00C84347">
      <w:pPr>
        <w:ind w:left="1440" w:right="720" w:firstLine="0"/>
        <w:jc w:val="right"/>
        <w:rPr>
          <w:rFonts w:asciiTheme="majorHAnsi" w:eastAsia="Times New Roman" w:hAnsiTheme="majorHAnsi" w:cs="Times New Roman"/>
          <w:sz w:val="22"/>
        </w:rPr>
      </w:pPr>
      <w:r w:rsidRPr="00C84347">
        <w:rPr>
          <w:rFonts w:asciiTheme="majorHAnsi" w:eastAsia="Times New Roman" w:hAnsiTheme="majorHAnsi" w:cs="Times New Roman"/>
          <w:sz w:val="22"/>
        </w:rPr>
        <w:t>[Nous soulignons]</w:t>
      </w:r>
    </w:p>
    <w:tbl>
      <w:tblPr>
        <w:tblW w:w="8958" w:type="dxa"/>
        <w:tblInd w:w="648" w:type="dxa"/>
        <w:tblLook w:val="00A0" w:firstRow="1" w:lastRow="0" w:firstColumn="1" w:lastColumn="0" w:noHBand="0" w:noVBand="0"/>
      </w:tblPr>
      <w:tblGrid>
        <w:gridCol w:w="7272"/>
        <w:gridCol w:w="1686"/>
      </w:tblGrid>
      <w:tr w:rsidR="00F05C88" w:rsidRPr="007D7789" w14:paraId="6AEC78EC" w14:textId="77777777" w:rsidTr="00F05C88">
        <w:tc>
          <w:tcPr>
            <w:tcW w:w="7272" w:type="dxa"/>
          </w:tcPr>
          <w:p w14:paraId="5675B7A7" w14:textId="654F001B" w:rsidR="00F05C88" w:rsidRPr="00657EFA" w:rsidRDefault="00F05C88" w:rsidP="00DB6A1A">
            <w:pPr>
              <w:spacing w:before="120" w:after="0" w:line="240" w:lineRule="auto"/>
              <w:ind w:left="72" w:firstLine="0"/>
              <w:rPr>
                <w:rFonts w:ascii="Times New Roman" w:eastAsia="Times New Roman" w:hAnsi="Times New Roman" w:cs="Times New Roman"/>
                <w:color w:val="000000"/>
                <w:szCs w:val="24"/>
              </w:rPr>
            </w:pPr>
            <w:r w:rsidRPr="00C84347">
              <w:rPr>
                <w:rFonts w:ascii="Times New Roman" w:eastAsia="Times New Roman" w:hAnsi="Times New Roman" w:cs="Times New Roman"/>
                <w:color w:val="000000"/>
                <w:szCs w:val="24"/>
              </w:rPr>
              <w:t>Notes sténographiques de l’audience du 15</w:t>
            </w:r>
            <w:r w:rsidR="006F0762">
              <w:rPr>
                <w:rFonts w:ascii="Times New Roman" w:eastAsia="Times New Roman" w:hAnsi="Times New Roman" w:cs="Times New Roman"/>
                <w:color w:val="000000"/>
                <w:szCs w:val="24"/>
              </w:rPr>
              <w:t> </w:t>
            </w:r>
            <w:r w:rsidRPr="00C84347">
              <w:rPr>
                <w:rFonts w:ascii="Times New Roman" w:eastAsia="Times New Roman" w:hAnsi="Times New Roman" w:cs="Times New Roman"/>
                <w:color w:val="000000"/>
                <w:szCs w:val="24"/>
              </w:rPr>
              <w:t>juin</w:t>
            </w:r>
            <w:r w:rsidR="006F0762">
              <w:rPr>
                <w:rFonts w:ascii="Times New Roman" w:eastAsia="Times New Roman" w:hAnsi="Times New Roman" w:cs="Times New Roman"/>
                <w:color w:val="000000"/>
                <w:szCs w:val="24"/>
              </w:rPr>
              <w:t> </w:t>
            </w:r>
            <w:r w:rsidRPr="00C84347">
              <w:rPr>
                <w:rFonts w:ascii="Times New Roman" w:eastAsia="Times New Roman" w:hAnsi="Times New Roman" w:cs="Times New Roman"/>
                <w:color w:val="000000"/>
                <w:szCs w:val="24"/>
              </w:rPr>
              <w:t>2023, aux pages 94-95.</w:t>
            </w:r>
          </w:p>
        </w:tc>
        <w:tc>
          <w:tcPr>
            <w:tcW w:w="1686" w:type="dxa"/>
            <w:vAlign w:val="bottom"/>
          </w:tcPr>
          <w:p w14:paraId="7D135D3A" w14:textId="6052FF64" w:rsidR="00F05C88" w:rsidRPr="00657EFA" w:rsidRDefault="00F05C88" w:rsidP="00DB6A1A">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A-0058</w:t>
            </w:r>
          </w:p>
        </w:tc>
      </w:tr>
    </w:tbl>
    <w:p w14:paraId="2976A07E" w14:textId="384C7B02" w:rsidR="009B4317" w:rsidRPr="009B4317" w:rsidRDefault="00D8255A" w:rsidP="00F1699A">
      <w:pPr>
        <w:pStyle w:val="NumA1"/>
        <w:rPr>
          <w:lang w:eastAsia="fr-CA"/>
        </w:rPr>
      </w:pPr>
      <w:r>
        <w:rPr>
          <w:lang w:eastAsia="fr-CA"/>
        </w:rPr>
        <w:t>T</w:t>
      </w:r>
      <w:r w:rsidR="009B4317" w:rsidRPr="009B4317">
        <w:rPr>
          <w:lang w:eastAsia="fr-CA"/>
        </w:rPr>
        <w:t>el qu’il ressort de la preuve présentée par Bitfarms, les «</w:t>
      </w:r>
      <w:r w:rsidR="006F0762">
        <w:rPr>
          <w:lang w:eastAsia="fr-CA"/>
        </w:rPr>
        <w:t> </w:t>
      </w:r>
      <w:r w:rsidR="009B4317" w:rsidRPr="009B4317">
        <w:rPr>
          <w:lang w:eastAsia="fr-CA"/>
        </w:rPr>
        <w:t>préoccupations</w:t>
      </w:r>
      <w:r w:rsidR="006F0762">
        <w:rPr>
          <w:lang w:eastAsia="fr-CA"/>
        </w:rPr>
        <w:t> </w:t>
      </w:r>
      <w:r w:rsidR="009B4317" w:rsidRPr="009B4317">
        <w:rPr>
          <w:lang w:eastAsia="fr-CA"/>
        </w:rPr>
        <w:t>» soulevées par le Décret n</w:t>
      </w:r>
      <w:r w:rsidR="00657EFA">
        <w:rPr>
          <w:lang w:eastAsia="fr-CA"/>
        </w:rPr>
        <w:t>e sont pas susceptibles de se matérialiser</w:t>
      </w:r>
      <w:r w:rsidR="009B4317" w:rsidRPr="009B4317">
        <w:rPr>
          <w:lang w:eastAsia="fr-CA"/>
        </w:rPr>
        <w:t>, puisque</w:t>
      </w:r>
      <w:r w:rsidR="009847D1">
        <w:rPr>
          <w:lang w:eastAsia="fr-CA"/>
        </w:rPr>
        <w:t> </w:t>
      </w:r>
      <w:r w:rsidR="009B4317" w:rsidRPr="009B4317">
        <w:rPr>
          <w:lang w:eastAsia="fr-CA"/>
        </w:rPr>
        <w:t xml:space="preserve">: </w:t>
      </w:r>
    </w:p>
    <w:p w14:paraId="46F7DDA3" w14:textId="3B31E59D" w:rsidR="009B4317" w:rsidRPr="009B4317" w:rsidRDefault="009B4317" w:rsidP="009B4317">
      <w:pPr>
        <w:numPr>
          <w:ilvl w:val="0"/>
          <w:numId w:val="17"/>
        </w:numPr>
        <w:rPr>
          <w:rFonts w:eastAsia="Times New Roman" w:cs="Times New Roman"/>
          <w:szCs w:val="24"/>
          <w:lang w:eastAsia="fr-CA"/>
        </w:rPr>
      </w:pPr>
      <w:r w:rsidRPr="009B4317">
        <w:rPr>
          <w:rFonts w:eastAsia="Times New Roman" w:cs="Times New Roman"/>
          <w:szCs w:val="24"/>
          <w:lang w:eastAsia="fr-CA"/>
        </w:rPr>
        <w:t>Les «</w:t>
      </w:r>
      <w:r w:rsidR="006F0762">
        <w:rPr>
          <w:rFonts w:eastAsia="Times New Roman" w:cs="Times New Roman"/>
          <w:szCs w:val="24"/>
          <w:lang w:eastAsia="fr-CA"/>
        </w:rPr>
        <w:t> </w:t>
      </w:r>
      <w:r w:rsidRPr="009B4317">
        <w:rPr>
          <w:rFonts w:eastAsia="Times New Roman" w:cs="Times New Roman"/>
          <w:szCs w:val="24"/>
          <w:lang w:eastAsia="fr-CA"/>
        </w:rPr>
        <w:t>préoccupations</w:t>
      </w:r>
      <w:r w:rsidR="006F0762">
        <w:rPr>
          <w:rFonts w:eastAsia="Times New Roman" w:cs="Times New Roman"/>
          <w:szCs w:val="24"/>
          <w:lang w:eastAsia="fr-CA"/>
        </w:rPr>
        <w:t> </w:t>
      </w:r>
      <w:r w:rsidRPr="009B4317">
        <w:rPr>
          <w:rFonts w:eastAsia="Times New Roman" w:cs="Times New Roman"/>
          <w:szCs w:val="24"/>
          <w:lang w:eastAsia="fr-CA"/>
        </w:rPr>
        <w:t>» exprimées au Décret ont été anticipées dans le cadre du dossier</w:t>
      </w:r>
      <w:r w:rsidR="009847D1">
        <w:rPr>
          <w:rFonts w:eastAsia="Times New Roman" w:cs="Times New Roman"/>
          <w:szCs w:val="24"/>
          <w:lang w:eastAsia="fr-CA"/>
        </w:rPr>
        <w:t> </w:t>
      </w:r>
      <w:r w:rsidRPr="009B4317">
        <w:rPr>
          <w:rFonts w:eastAsia="Times New Roman" w:cs="Times New Roman"/>
          <w:szCs w:val="24"/>
          <w:lang w:eastAsia="fr-CA"/>
        </w:rPr>
        <w:t>R-4045-2018 par la Régie, le Distributeur et les intervenants (</w:t>
      </w:r>
      <w:r w:rsidRPr="009B4317">
        <w:rPr>
          <w:rFonts w:eastAsia="Times New Roman" w:cs="Times New Roman"/>
          <w:b/>
          <w:bCs/>
          <w:szCs w:val="24"/>
          <w:lang w:eastAsia="fr-CA"/>
        </w:rPr>
        <w:t>Constat no</w:t>
      </w:r>
      <w:r w:rsidR="009847D1">
        <w:rPr>
          <w:rFonts w:eastAsia="Times New Roman" w:cs="Times New Roman"/>
          <w:b/>
          <w:bCs/>
          <w:szCs w:val="24"/>
          <w:lang w:eastAsia="fr-CA"/>
        </w:rPr>
        <w:t> </w:t>
      </w:r>
      <w:r w:rsidRPr="009B4317">
        <w:rPr>
          <w:rFonts w:eastAsia="Times New Roman" w:cs="Times New Roman"/>
          <w:b/>
          <w:bCs/>
          <w:szCs w:val="24"/>
          <w:lang w:eastAsia="fr-CA"/>
        </w:rPr>
        <w:t>1</w:t>
      </w:r>
      <w:r w:rsidRPr="009B4317">
        <w:rPr>
          <w:rFonts w:eastAsia="Times New Roman" w:cs="Times New Roman"/>
          <w:szCs w:val="24"/>
          <w:lang w:eastAsia="fr-CA"/>
        </w:rPr>
        <w:t xml:space="preserve">); </w:t>
      </w:r>
    </w:p>
    <w:p w14:paraId="2DFE8437" w14:textId="31159724" w:rsidR="009B4317" w:rsidRPr="009B4317" w:rsidRDefault="009B4317" w:rsidP="009B4317">
      <w:pPr>
        <w:numPr>
          <w:ilvl w:val="0"/>
          <w:numId w:val="17"/>
        </w:numPr>
        <w:rPr>
          <w:rFonts w:eastAsia="Times New Roman" w:cs="Times New Roman"/>
          <w:szCs w:val="24"/>
          <w:lang w:eastAsia="fr-CA"/>
        </w:rPr>
      </w:pPr>
      <w:r w:rsidRPr="009B4317">
        <w:rPr>
          <w:rFonts w:eastAsia="Times New Roman" w:cs="Times New Roman"/>
          <w:szCs w:val="24"/>
          <w:lang w:eastAsia="fr-CA"/>
        </w:rPr>
        <w:t>Le Distributeur dispose d’énergie propre en quantité suffisante puisque le Bloc réservé ne cause pas de problème d’approvisionnement en puissance, ni n’occasionne de coûts supplémentaires pour le Distributeur (</w:t>
      </w:r>
      <w:r w:rsidRPr="009B4317">
        <w:rPr>
          <w:rFonts w:eastAsia="Times New Roman" w:cs="Times New Roman"/>
          <w:b/>
          <w:bCs/>
          <w:szCs w:val="24"/>
          <w:lang w:eastAsia="fr-CA"/>
        </w:rPr>
        <w:t>Constat no</w:t>
      </w:r>
      <w:r w:rsidR="009847D1">
        <w:rPr>
          <w:rFonts w:eastAsia="Times New Roman" w:cs="Times New Roman"/>
          <w:b/>
          <w:bCs/>
          <w:szCs w:val="24"/>
          <w:lang w:eastAsia="fr-CA"/>
        </w:rPr>
        <w:t> </w:t>
      </w:r>
      <w:r w:rsidRPr="009B4317">
        <w:rPr>
          <w:rFonts w:eastAsia="Times New Roman" w:cs="Times New Roman"/>
          <w:b/>
          <w:bCs/>
          <w:szCs w:val="24"/>
          <w:lang w:eastAsia="fr-CA"/>
        </w:rPr>
        <w:t>3</w:t>
      </w:r>
      <w:r w:rsidRPr="009B4317">
        <w:rPr>
          <w:rFonts w:eastAsia="Times New Roman" w:cs="Times New Roman"/>
          <w:szCs w:val="24"/>
          <w:lang w:eastAsia="fr-CA"/>
        </w:rPr>
        <w:t xml:space="preserve">); </w:t>
      </w:r>
    </w:p>
    <w:p w14:paraId="18230F32" w14:textId="47D553FC" w:rsidR="009B4317" w:rsidRPr="009B4317" w:rsidRDefault="009B4317" w:rsidP="009B4317">
      <w:pPr>
        <w:numPr>
          <w:ilvl w:val="0"/>
          <w:numId w:val="17"/>
        </w:numPr>
        <w:rPr>
          <w:rFonts w:eastAsia="Times New Roman" w:cs="Times New Roman"/>
          <w:szCs w:val="24"/>
          <w:lang w:eastAsia="fr-CA"/>
        </w:rPr>
      </w:pPr>
      <w:r w:rsidRPr="009B4317">
        <w:rPr>
          <w:rFonts w:eastAsia="Times New Roman" w:cs="Times New Roman"/>
          <w:szCs w:val="24"/>
          <w:lang w:eastAsia="fr-CA"/>
        </w:rPr>
        <w:lastRenderedPageBreak/>
        <w:t>L’attribution des capacités prévues au Bloc réservé est alignée avec les besoins des filières stratégiques identifiées en ce qu’elle permettrait de générer des revenus à hauteur de 100</w:t>
      </w:r>
      <w:r w:rsidR="006F0762">
        <w:rPr>
          <w:rFonts w:eastAsia="Times New Roman" w:cs="Times New Roman"/>
          <w:szCs w:val="24"/>
          <w:lang w:eastAsia="fr-CA"/>
        </w:rPr>
        <w:t> 000 </w:t>
      </w:r>
      <w:r w:rsidRPr="009B4317">
        <w:rPr>
          <w:rFonts w:eastAsia="Times New Roman" w:cs="Times New Roman"/>
          <w:szCs w:val="24"/>
          <w:lang w:eastAsia="fr-CA"/>
        </w:rPr>
        <w:t>000 $ et les coûts seraient entièrement couverts par cette clientèle (</w:t>
      </w:r>
      <w:r w:rsidRPr="009B4317">
        <w:rPr>
          <w:rFonts w:eastAsia="Times New Roman" w:cs="Times New Roman"/>
          <w:b/>
          <w:bCs/>
          <w:szCs w:val="24"/>
          <w:lang w:eastAsia="fr-CA"/>
        </w:rPr>
        <w:t>Constat no</w:t>
      </w:r>
      <w:r w:rsidR="009847D1">
        <w:rPr>
          <w:rFonts w:eastAsia="Times New Roman" w:cs="Times New Roman"/>
          <w:b/>
          <w:bCs/>
          <w:szCs w:val="24"/>
          <w:lang w:eastAsia="fr-CA"/>
        </w:rPr>
        <w:t> </w:t>
      </w:r>
      <w:r w:rsidRPr="009B4317">
        <w:rPr>
          <w:rFonts w:eastAsia="Times New Roman" w:cs="Times New Roman"/>
          <w:b/>
          <w:bCs/>
          <w:szCs w:val="24"/>
          <w:lang w:eastAsia="fr-CA"/>
        </w:rPr>
        <w:t>2</w:t>
      </w:r>
      <w:r w:rsidRPr="009B4317">
        <w:rPr>
          <w:rFonts w:eastAsia="Times New Roman" w:cs="Times New Roman"/>
          <w:szCs w:val="24"/>
          <w:lang w:eastAsia="fr-CA"/>
        </w:rPr>
        <w:t>)</w:t>
      </w:r>
    </w:p>
    <w:p w14:paraId="140AA325" w14:textId="4F80F36F" w:rsidR="009B4317" w:rsidRPr="009B4317" w:rsidRDefault="009B4317" w:rsidP="009B4317">
      <w:pPr>
        <w:numPr>
          <w:ilvl w:val="0"/>
          <w:numId w:val="17"/>
        </w:numPr>
        <w:rPr>
          <w:rFonts w:eastAsia="Times New Roman" w:cs="Times New Roman"/>
          <w:szCs w:val="24"/>
          <w:lang w:eastAsia="fr-CA"/>
        </w:rPr>
      </w:pPr>
      <w:r w:rsidRPr="009B4317">
        <w:rPr>
          <w:rFonts w:eastAsia="Times New Roman" w:cs="Times New Roman"/>
          <w:szCs w:val="24"/>
          <w:lang w:eastAsia="fr-CA"/>
        </w:rPr>
        <w:t>Le Bloc réservé de 270</w:t>
      </w:r>
      <w:r w:rsidR="006F0762">
        <w:rPr>
          <w:rFonts w:eastAsia="Times New Roman" w:cs="Times New Roman"/>
          <w:szCs w:val="24"/>
          <w:lang w:eastAsia="fr-CA"/>
        </w:rPr>
        <w:t> </w:t>
      </w:r>
      <w:r w:rsidRPr="009B4317">
        <w:rPr>
          <w:rFonts w:eastAsia="Times New Roman" w:cs="Times New Roman"/>
          <w:szCs w:val="24"/>
          <w:lang w:eastAsia="fr-CA"/>
        </w:rPr>
        <w:t>MW est un outil de gestion flexible qui minimise le risque de la pointe hivernale à moindre coût et ne constitue donc pas un risque sur l’approvisionnement (</w:t>
      </w:r>
      <w:r w:rsidRPr="009B4317">
        <w:rPr>
          <w:rFonts w:eastAsia="Times New Roman" w:cs="Times New Roman"/>
          <w:b/>
          <w:bCs/>
          <w:szCs w:val="24"/>
          <w:lang w:eastAsia="fr-CA"/>
        </w:rPr>
        <w:t>Constat no</w:t>
      </w:r>
      <w:r w:rsidR="009847D1">
        <w:rPr>
          <w:rFonts w:eastAsia="Times New Roman" w:cs="Times New Roman"/>
          <w:b/>
          <w:bCs/>
          <w:szCs w:val="24"/>
          <w:lang w:eastAsia="fr-CA"/>
        </w:rPr>
        <w:t> </w:t>
      </w:r>
      <w:r w:rsidRPr="009B4317">
        <w:rPr>
          <w:rFonts w:eastAsia="Times New Roman" w:cs="Times New Roman"/>
          <w:b/>
          <w:bCs/>
          <w:szCs w:val="24"/>
          <w:lang w:eastAsia="fr-CA"/>
        </w:rPr>
        <w:t>4</w:t>
      </w:r>
      <w:r w:rsidRPr="009B4317">
        <w:rPr>
          <w:rFonts w:eastAsia="Times New Roman" w:cs="Times New Roman"/>
          <w:szCs w:val="24"/>
          <w:lang w:eastAsia="fr-CA"/>
        </w:rPr>
        <w:t>).</w:t>
      </w:r>
    </w:p>
    <w:p w14:paraId="77217BD5" w14:textId="406CC43A" w:rsidR="009B4317" w:rsidRPr="009B4317" w:rsidRDefault="009B4317" w:rsidP="009B4317">
      <w:pPr>
        <w:ind w:left="720" w:firstLine="0"/>
        <w:rPr>
          <w:rFonts w:eastAsia="Times New Roman" w:cs="Times New Roman"/>
          <w:szCs w:val="24"/>
          <w:lang w:eastAsia="fr-CA"/>
        </w:rPr>
      </w:pPr>
      <w:r w:rsidRPr="009B4317">
        <w:rPr>
          <w:rFonts w:eastAsia="Times New Roman" w:cs="Times New Roman"/>
          <w:szCs w:val="24"/>
          <w:lang w:eastAsia="fr-CA"/>
        </w:rPr>
        <w:t>L’allocation des 270</w:t>
      </w:r>
      <w:r w:rsidR="006F0762">
        <w:rPr>
          <w:rFonts w:eastAsia="Times New Roman" w:cs="Times New Roman"/>
          <w:szCs w:val="24"/>
          <w:lang w:eastAsia="fr-CA"/>
        </w:rPr>
        <w:t> </w:t>
      </w:r>
      <w:r w:rsidRPr="009B4317">
        <w:rPr>
          <w:rFonts w:eastAsia="Times New Roman" w:cs="Times New Roman"/>
          <w:szCs w:val="24"/>
          <w:lang w:eastAsia="fr-CA"/>
        </w:rPr>
        <w:t>MW du Bloc réservé aux Clients CB ne s’inscrit pas en contradiction avec les préoccupation</w:t>
      </w:r>
      <w:r w:rsidR="009847D1">
        <w:rPr>
          <w:rFonts w:eastAsia="Times New Roman" w:cs="Times New Roman"/>
          <w:szCs w:val="24"/>
          <w:lang w:eastAsia="fr-CA"/>
        </w:rPr>
        <w:t>s</w:t>
      </w:r>
      <w:r w:rsidRPr="009B4317">
        <w:rPr>
          <w:rFonts w:eastAsia="Times New Roman" w:cs="Times New Roman"/>
          <w:szCs w:val="24"/>
          <w:lang w:eastAsia="fr-CA"/>
        </w:rPr>
        <w:t xml:space="preserve"> économiques, sociales et environnementales du Décret, générant au contraire des revenus pour un coût nul et </w:t>
      </w:r>
      <w:r w:rsidRPr="009B4317">
        <w:rPr>
          <w:rFonts w:eastAsia="Times New Roman" w:cs="Times New Roman"/>
          <w:szCs w:val="24"/>
          <w:u w:val="single"/>
          <w:lang w:eastAsia="fr-CA"/>
        </w:rPr>
        <w:t>contribuant ainsi à financer les efforts de transition énergétique sur l’horizon du Plan d’approvisionnement déposé dans le présent dossier</w:t>
      </w:r>
      <w:r w:rsidR="00657EFA">
        <w:rPr>
          <w:rFonts w:eastAsia="Times New Roman" w:cs="Times New Roman"/>
          <w:szCs w:val="24"/>
          <w:lang w:eastAsia="fr-CA"/>
        </w:rPr>
        <w:t>;</w:t>
      </w:r>
      <w:r w:rsidRPr="009B4317">
        <w:rPr>
          <w:rFonts w:eastAsia="Times New Roman" w:cs="Times New Roman"/>
          <w:szCs w:val="24"/>
          <w:lang w:eastAsia="fr-CA"/>
        </w:rPr>
        <w:t xml:space="preserve">  </w:t>
      </w:r>
    </w:p>
    <w:tbl>
      <w:tblPr>
        <w:tblW w:w="8958" w:type="dxa"/>
        <w:tblInd w:w="648" w:type="dxa"/>
        <w:tblLook w:val="00A0" w:firstRow="1" w:lastRow="0" w:firstColumn="1" w:lastColumn="0" w:noHBand="0" w:noVBand="0"/>
      </w:tblPr>
      <w:tblGrid>
        <w:gridCol w:w="6732"/>
        <w:gridCol w:w="2226"/>
      </w:tblGrid>
      <w:tr w:rsidR="009B4317" w:rsidRPr="009B4317" w14:paraId="0734C115" w14:textId="77777777" w:rsidTr="00383312">
        <w:tc>
          <w:tcPr>
            <w:tcW w:w="6732" w:type="dxa"/>
          </w:tcPr>
          <w:p w14:paraId="5A989FD3" w14:textId="36B4282D" w:rsidR="009B4317" w:rsidRPr="009B4317" w:rsidRDefault="009B4317" w:rsidP="009B4317">
            <w:pPr>
              <w:spacing w:before="120" w:after="120" w:line="240" w:lineRule="auto"/>
              <w:ind w:left="72" w:firstLine="0"/>
              <w:rPr>
                <w:rFonts w:ascii="Times New Roman" w:eastAsia="Times New Roman" w:hAnsi="Times New Roman" w:cs="Times New Roman"/>
                <w:color w:val="000000"/>
                <w:szCs w:val="24"/>
              </w:rPr>
            </w:pPr>
            <w:r w:rsidRPr="009B4317">
              <w:rPr>
                <w:rFonts w:ascii="Times New Roman" w:eastAsia="Times New Roman" w:hAnsi="Times New Roman" w:cs="Times New Roman"/>
                <w:color w:val="000000"/>
                <w:szCs w:val="24"/>
              </w:rPr>
              <w:t>Preuve de Bitfarms, p.</w:t>
            </w:r>
            <w:r w:rsidR="009847D1">
              <w:rPr>
                <w:rFonts w:ascii="Times New Roman" w:eastAsia="Times New Roman" w:hAnsi="Times New Roman" w:cs="Times New Roman"/>
                <w:color w:val="000000"/>
                <w:szCs w:val="24"/>
              </w:rPr>
              <w:t> </w:t>
            </w:r>
            <w:r w:rsidRPr="009B4317">
              <w:rPr>
                <w:rFonts w:ascii="Times New Roman" w:eastAsia="Times New Roman" w:hAnsi="Times New Roman" w:cs="Times New Roman"/>
                <w:color w:val="000000"/>
                <w:szCs w:val="24"/>
              </w:rPr>
              <w:t>13.</w:t>
            </w:r>
          </w:p>
        </w:tc>
        <w:tc>
          <w:tcPr>
            <w:tcW w:w="2226" w:type="dxa"/>
            <w:vAlign w:val="bottom"/>
          </w:tcPr>
          <w:p w14:paraId="2C384ED3" w14:textId="4875E352" w:rsidR="009B4317" w:rsidRPr="009B4317" w:rsidRDefault="009B4317" w:rsidP="00383312">
            <w:pPr>
              <w:spacing w:before="120" w:after="120" w:line="240" w:lineRule="auto"/>
              <w:ind w:left="0" w:firstLine="0"/>
              <w:jc w:val="center"/>
              <w:rPr>
                <w:rFonts w:ascii="Times New Roman" w:eastAsia="Times New Roman" w:hAnsi="Times New Roman" w:cs="Times New Roman"/>
                <w:b/>
                <w:bCs/>
                <w:color w:val="000000"/>
              </w:rPr>
            </w:pPr>
            <w:r w:rsidRPr="009B4317">
              <w:rPr>
                <w:rFonts w:ascii="Times New Roman" w:eastAsia="Times New Roman" w:hAnsi="Times New Roman" w:cs="Times New Roman"/>
                <w:b/>
                <w:bCs/>
                <w:color w:val="000000"/>
                <w:szCs w:val="24"/>
              </w:rPr>
              <w:t>C-Bitfarms-0068</w:t>
            </w:r>
          </w:p>
        </w:tc>
      </w:tr>
    </w:tbl>
    <w:p w14:paraId="274AC55D" w14:textId="77777777" w:rsidR="00F05C88" w:rsidRDefault="00657EFA" w:rsidP="00F1699A">
      <w:pPr>
        <w:pStyle w:val="NumA1"/>
      </w:pPr>
      <w:r>
        <w:t>Nous</w:t>
      </w:r>
      <w:r w:rsidR="00F05C88">
        <w:t xml:space="preserve"> soumettons au surplus que la Loi 2 a pour effet de mitiger l’impact du secteur cryptographique sur les approvisionnements du Distributeur et qu’il répond ainsi aux préoccupations exprimées dans le Décret; </w:t>
      </w:r>
    </w:p>
    <w:p w14:paraId="6FADA392" w14:textId="6917CFB8" w:rsidR="00657EFA" w:rsidRDefault="00F05C88" w:rsidP="00F1699A">
      <w:pPr>
        <w:pStyle w:val="NumA1"/>
      </w:pPr>
      <w:r>
        <w:t>À cet effet, nous notons que l’avocat du Distributeur évacue de sa plaidoirie les projets cryptographiques de plus de 5</w:t>
      </w:r>
      <w:r w:rsidR="006F0762">
        <w:t> </w:t>
      </w:r>
      <w:r>
        <w:t xml:space="preserve">MW, le sort de ceux-ci relevant uniquement d’une décision politique au terme du processus d’attribution prévu à la Loi 2; </w:t>
      </w:r>
    </w:p>
    <w:tbl>
      <w:tblPr>
        <w:tblW w:w="8958" w:type="dxa"/>
        <w:tblInd w:w="648" w:type="dxa"/>
        <w:tblLook w:val="00A0" w:firstRow="1" w:lastRow="0" w:firstColumn="1" w:lastColumn="0" w:noHBand="0" w:noVBand="0"/>
      </w:tblPr>
      <w:tblGrid>
        <w:gridCol w:w="7092"/>
        <w:gridCol w:w="1866"/>
      </w:tblGrid>
      <w:tr w:rsidR="00F05C88" w:rsidRPr="009B4317" w14:paraId="44A41217" w14:textId="77777777" w:rsidTr="00DB6A1A">
        <w:tc>
          <w:tcPr>
            <w:tcW w:w="7092" w:type="dxa"/>
          </w:tcPr>
          <w:p w14:paraId="1C4FE73D" w14:textId="572033CC" w:rsidR="00F05C88" w:rsidRPr="009B4317" w:rsidRDefault="00F05C88" w:rsidP="00DB6A1A">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du 20 juin 2023, à la p. </w:t>
            </w:r>
            <w:r w:rsidR="001B2197">
              <w:rPr>
                <w:rFonts w:ascii="Times New Roman" w:eastAsia="Times New Roman" w:hAnsi="Times New Roman" w:cs="Times New Roman"/>
                <w:color w:val="000000"/>
                <w:szCs w:val="24"/>
              </w:rPr>
              <w:t xml:space="preserve">152, lignes 24 à 24, à la p. 153 et à la p. 154, lignes 1 à 8. </w:t>
            </w:r>
          </w:p>
        </w:tc>
        <w:tc>
          <w:tcPr>
            <w:tcW w:w="1866" w:type="dxa"/>
            <w:vAlign w:val="bottom"/>
          </w:tcPr>
          <w:p w14:paraId="4066D91D" w14:textId="32E2B994" w:rsidR="00F05C88" w:rsidRPr="009B4317" w:rsidRDefault="00F05C88" w:rsidP="00DB6A1A">
            <w:pPr>
              <w:spacing w:before="120" w:after="120" w:line="240" w:lineRule="auto"/>
              <w:ind w:left="0"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Cs w:val="24"/>
              </w:rPr>
              <w:t>A-00</w:t>
            </w:r>
            <w:r w:rsidR="00882BF2">
              <w:rPr>
                <w:rFonts w:ascii="Times New Roman" w:eastAsia="Times New Roman" w:hAnsi="Times New Roman" w:cs="Times New Roman"/>
                <w:b/>
                <w:bCs/>
                <w:color w:val="000000"/>
                <w:szCs w:val="24"/>
              </w:rPr>
              <w:t>60</w:t>
            </w:r>
          </w:p>
        </w:tc>
      </w:tr>
    </w:tbl>
    <w:p w14:paraId="48204868" w14:textId="13A8C58B" w:rsidR="00657EFA" w:rsidRDefault="00D8255A" w:rsidP="00F1699A">
      <w:pPr>
        <w:pStyle w:val="NumA1"/>
      </w:pPr>
      <w:r>
        <w:t>I</w:t>
      </w:r>
      <w:r w:rsidR="00657EFA">
        <w:t xml:space="preserve">l est ressorti en preuve qu’il y a </w:t>
      </w:r>
      <w:r w:rsidR="00F05C88">
        <w:t xml:space="preserve">actuellement très peu d’abonnements </w:t>
      </w:r>
      <w:r w:rsidR="00657EFA">
        <w:t>sous les 5</w:t>
      </w:r>
      <w:r w:rsidR="00F05C88">
        <w:t> </w:t>
      </w:r>
      <w:r w:rsidR="00657EFA">
        <w:t>MW, soit 104</w:t>
      </w:r>
      <w:r w:rsidR="009847D1">
        <w:t> </w:t>
      </w:r>
      <w:r w:rsidR="00657EFA">
        <w:t>abonnements pour un total de 17</w:t>
      </w:r>
      <w:r w:rsidR="006F0762">
        <w:t> </w:t>
      </w:r>
      <w:r w:rsidR="00657EFA">
        <w:t>MW octroyés; de tels projets sont donc peu susceptibles de représenter une menace pour les approvisionnement</w:t>
      </w:r>
      <w:r w:rsidR="009847D1">
        <w:t>s</w:t>
      </w:r>
      <w:r w:rsidR="00657EFA">
        <w:t xml:space="preserve"> du Distributeur; </w:t>
      </w:r>
    </w:p>
    <w:tbl>
      <w:tblPr>
        <w:tblW w:w="8958" w:type="dxa"/>
        <w:tblInd w:w="648" w:type="dxa"/>
        <w:tblLook w:val="00A0" w:firstRow="1" w:lastRow="0" w:firstColumn="1" w:lastColumn="0" w:noHBand="0" w:noVBand="0"/>
      </w:tblPr>
      <w:tblGrid>
        <w:gridCol w:w="7092"/>
        <w:gridCol w:w="1866"/>
      </w:tblGrid>
      <w:tr w:rsidR="00657EFA" w:rsidRPr="009B4317" w14:paraId="391083EE" w14:textId="77777777" w:rsidTr="00383312">
        <w:tc>
          <w:tcPr>
            <w:tcW w:w="7092" w:type="dxa"/>
          </w:tcPr>
          <w:p w14:paraId="5A20CE09" w14:textId="7BBCCC1D" w:rsidR="00657EFA" w:rsidRPr="009B4317" w:rsidRDefault="00657EFA" w:rsidP="00E731DA">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du 14</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juin</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2023,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131,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 xml:space="preserve">20 à 23. </w:t>
            </w:r>
          </w:p>
        </w:tc>
        <w:tc>
          <w:tcPr>
            <w:tcW w:w="1866" w:type="dxa"/>
            <w:vAlign w:val="bottom"/>
          </w:tcPr>
          <w:p w14:paraId="378D0BF5" w14:textId="6DE31EAC" w:rsidR="00657EFA" w:rsidRPr="009B4317" w:rsidRDefault="00657EFA" w:rsidP="00383312">
            <w:pPr>
              <w:spacing w:before="120" w:after="120" w:line="240" w:lineRule="auto"/>
              <w:ind w:left="0"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Cs w:val="24"/>
              </w:rPr>
              <w:t>A-0053</w:t>
            </w:r>
          </w:p>
        </w:tc>
      </w:tr>
    </w:tbl>
    <w:p w14:paraId="399E5090" w14:textId="5216098A" w:rsidR="00657EFA" w:rsidRDefault="00657EFA" w:rsidP="00F1699A">
      <w:pPr>
        <w:pStyle w:val="NumA1"/>
      </w:pPr>
      <w:r>
        <w:t>Le panel de Bitfarms a également expliqué en quoi des projets sous les 5</w:t>
      </w:r>
      <w:r w:rsidR="006F0762">
        <w:t> </w:t>
      </w:r>
      <w:r>
        <w:t xml:space="preserve">MW ne sont pas rentables et sont peu susceptibles de voir le jour; </w:t>
      </w:r>
    </w:p>
    <w:tbl>
      <w:tblPr>
        <w:tblW w:w="8958" w:type="dxa"/>
        <w:tblInd w:w="648" w:type="dxa"/>
        <w:tblLook w:val="00A0" w:firstRow="1" w:lastRow="0" w:firstColumn="1" w:lastColumn="0" w:noHBand="0" w:noVBand="0"/>
      </w:tblPr>
      <w:tblGrid>
        <w:gridCol w:w="7002"/>
        <w:gridCol w:w="1956"/>
      </w:tblGrid>
      <w:tr w:rsidR="00657EFA" w:rsidRPr="009B4317" w14:paraId="0EAC0330" w14:textId="77777777" w:rsidTr="00383312">
        <w:tc>
          <w:tcPr>
            <w:tcW w:w="7002" w:type="dxa"/>
          </w:tcPr>
          <w:p w14:paraId="6689ED71" w14:textId="3E9B2839" w:rsidR="00657EFA" w:rsidRPr="009025F6" w:rsidRDefault="009025F6" w:rsidP="00E731DA">
            <w:pPr>
              <w:spacing w:before="120" w:after="120" w:line="240" w:lineRule="auto"/>
              <w:ind w:left="72" w:firstLine="0"/>
              <w:rPr>
                <w:rFonts w:ascii="Times New Roman" w:eastAsia="Times New Roman" w:hAnsi="Times New Roman" w:cs="Times New Roman"/>
                <w:color w:val="000000"/>
                <w:szCs w:val="24"/>
              </w:rPr>
            </w:pPr>
            <w:r w:rsidRPr="009025F6">
              <w:rPr>
                <w:rFonts w:ascii="Times New Roman" w:eastAsia="Times New Roman" w:hAnsi="Times New Roman" w:cs="Times New Roman"/>
                <w:color w:val="000000"/>
                <w:szCs w:val="24"/>
              </w:rPr>
              <w:t>Présentation de Bitfarms – Audience du 15</w:t>
            </w:r>
            <w:r w:rsidR="009847D1">
              <w:rPr>
                <w:rFonts w:ascii="Times New Roman" w:eastAsia="Times New Roman" w:hAnsi="Times New Roman" w:cs="Times New Roman"/>
                <w:color w:val="000000"/>
                <w:szCs w:val="24"/>
              </w:rPr>
              <w:t> </w:t>
            </w:r>
            <w:r w:rsidRPr="009025F6">
              <w:rPr>
                <w:rFonts w:ascii="Times New Roman" w:eastAsia="Times New Roman" w:hAnsi="Times New Roman" w:cs="Times New Roman"/>
                <w:color w:val="000000"/>
                <w:szCs w:val="24"/>
              </w:rPr>
              <w:t>juin</w:t>
            </w:r>
            <w:r w:rsidR="009847D1">
              <w:rPr>
                <w:rFonts w:ascii="Times New Roman" w:eastAsia="Times New Roman" w:hAnsi="Times New Roman" w:cs="Times New Roman"/>
                <w:color w:val="000000"/>
                <w:szCs w:val="24"/>
              </w:rPr>
              <w:t> </w:t>
            </w:r>
            <w:r w:rsidRPr="009025F6">
              <w:rPr>
                <w:rFonts w:ascii="Times New Roman" w:eastAsia="Times New Roman" w:hAnsi="Times New Roman" w:cs="Times New Roman"/>
                <w:color w:val="000000"/>
                <w:szCs w:val="24"/>
              </w:rPr>
              <w:t>2023</w:t>
            </w:r>
          </w:p>
        </w:tc>
        <w:tc>
          <w:tcPr>
            <w:tcW w:w="1956" w:type="dxa"/>
            <w:vAlign w:val="bottom"/>
          </w:tcPr>
          <w:p w14:paraId="5467015C" w14:textId="4F826A2F" w:rsidR="00657EFA" w:rsidRPr="009025F6" w:rsidRDefault="00383312" w:rsidP="00E731DA">
            <w:pPr>
              <w:spacing w:before="120" w:after="120" w:line="240" w:lineRule="auto"/>
              <w:ind w:left="0" w:firstLine="0"/>
              <w:jc w:val="center"/>
              <w:rPr>
                <w:rFonts w:ascii="Times New Roman" w:eastAsia="Times New Roman" w:hAnsi="Times New Roman" w:cs="Times New Roman"/>
                <w:b/>
                <w:bCs/>
                <w:color w:val="000000"/>
                <w:szCs w:val="24"/>
              </w:rPr>
            </w:pPr>
            <w:r w:rsidRPr="009025F6">
              <w:rPr>
                <w:rFonts w:ascii="Times New Roman" w:eastAsia="Times New Roman" w:hAnsi="Times New Roman" w:cs="Times New Roman"/>
                <w:b/>
                <w:bCs/>
                <w:color w:val="000000"/>
                <w:szCs w:val="24"/>
              </w:rPr>
              <w:t>C-Bitfarms-0080</w:t>
            </w:r>
          </w:p>
        </w:tc>
      </w:tr>
      <w:tr w:rsidR="00657EFA" w:rsidRPr="009B4317" w14:paraId="1EC86337" w14:textId="77777777" w:rsidTr="00383312">
        <w:tc>
          <w:tcPr>
            <w:tcW w:w="7002" w:type="dxa"/>
          </w:tcPr>
          <w:p w14:paraId="1C682EA7" w14:textId="28C6834E" w:rsidR="00657EFA" w:rsidRPr="009B4317" w:rsidRDefault="00657EFA" w:rsidP="00657EFA">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du 15</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juin</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2023, aux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 xml:space="preserve">37 à 42. </w:t>
            </w:r>
          </w:p>
        </w:tc>
        <w:tc>
          <w:tcPr>
            <w:tcW w:w="1956" w:type="dxa"/>
            <w:vAlign w:val="bottom"/>
          </w:tcPr>
          <w:p w14:paraId="63D2886B" w14:textId="458B5A1D" w:rsidR="00657EFA" w:rsidRPr="009B4317" w:rsidRDefault="00657EFA" w:rsidP="00657EFA">
            <w:pPr>
              <w:spacing w:before="120" w:after="120" w:line="240" w:lineRule="auto"/>
              <w:ind w:left="0"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Cs w:val="24"/>
              </w:rPr>
              <w:t>A-005</w:t>
            </w:r>
            <w:r w:rsidR="00383312">
              <w:rPr>
                <w:rFonts w:ascii="Times New Roman" w:eastAsia="Times New Roman" w:hAnsi="Times New Roman" w:cs="Times New Roman"/>
                <w:b/>
                <w:bCs/>
                <w:color w:val="000000"/>
                <w:szCs w:val="24"/>
              </w:rPr>
              <w:t>4</w:t>
            </w:r>
          </w:p>
        </w:tc>
      </w:tr>
    </w:tbl>
    <w:p w14:paraId="30E4D153" w14:textId="60EEAC06" w:rsidR="00657EFA" w:rsidRDefault="00657EFA" w:rsidP="00F1699A">
      <w:pPr>
        <w:pStyle w:val="NumA1"/>
      </w:pPr>
      <w:r>
        <w:t>HIVE souhaite souligner que, contrairement à ce qu’avance le Distributeur, l’absence de projet en bas de 5</w:t>
      </w:r>
      <w:r w:rsidR="006F0762">
        <w:t> </w:t>
      </w:r>
      <w:r>
        <w:t xml:space="preserve">MW ne retire pas la pertinence du Bloc réservé, celui-ci étant associé </w:t>
      </w:r>
      <w:r>
        <w:lastRenderedPageBreak/>
        <w:t>aux outils de gestion de puissance décrits plus haut; il est tout à l’avantage du Distributeur que le Bloc réservé soit conservé considérant la Loi</w:t>
      </w:r>
      <w:r w:rsidR="009847D1">
        <w:t> </w:t>
      </w:r>
      <w:r>
        <w:t xml:space="preserve">2; </w:t>
      </w:r>
    </w:p>
    <w:tbl>
      <w:tblPr>
        <w:tblW w:w="8958" w:type="dxa"/>
        <w:tblInd w:w="648" w:type="dxa"/>
        <w:tblLook w:val="00A0" w:firstRow="1" w:lastRow="0" w:firstColumn="1" w:lastColumn="0" w:noHBand="0" w:noVBand="0"/>
      </w:tblPr>
      <w:tblGrid>
        <w:gridCol w:w="7182"/>
        <w:gridCol w:w="1776"/>
      </w:tblGrid>
      <w:tr w:rsidR="00657EFA" w:rsidRPr="009B4317" w14:paraId="6702BDEA" w14:textId="77777777" w:rsidTr="009025F6">
        <w:tc>
          <w:tcPr>
            <w:tcW w:w="7182" w:type="dxa"/>
          </w:tcPr>
          <w:p w14:paraId="581C0BDD" w14:textId="6298605C" w:rsidR="00657EFA" w:rsidRPr="009B4317" w:rsidRDefault="00657EFA" w:rsidP="00657EFA">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du 15</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juin</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2023, à la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61 aux lignes</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 xml:space="preserve">15 à 22. </w:t>
            </w:r>
          </w:p>
        </w:tc>
        <w:tc>
          <w:tcPr>
            <w:tcW w:w="1776" w:type="dxa"/>
            <w:vAlign w:val="bottom"/>
          </w:tcPr>
          <w:p w14:paraId="47000669" w14:textId="03E633DB" w:rsidR="00657EFA" w:rsidRPr="009B4317" w:rsidRDefault="00657EFA" w:rsidP="00657EFA">
            <w:pPr>
              <w:spacing w:before="120" w:after="120" w:line="240" w:lineRule="auto"/>
              <w:ind w:left="0"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Cs w:val="24"/>
              </w:rPr>
              <w:t>A-005</w:t>
            </w:r>
            <w:r w:rsidR="00383312">
              <w:rPr>
                <w:rFonts w:ascii="Times New Roman" w:eastAsia="Times New Roman" w:hAnsi="Times New Roman" w:cs="Times New Roman"/>
                <w:b/>
                <w:bCs/>
                <w:color w:val="000000"/>
                <w:szCs w:val="24"/>
              </w:rPr>
              <w:t>4</w:t>
            </w:r>
          </w:p>
        </w:tc>
      </w:tr>
    </w:tbl>
    <w:p w14:paraId="311B33BA" w14:textId="0D023300" w:rsidR="00F05C88" w:rsidRDefault="00D8255A" w:rsidP="00F1699A">
      <w:pPr>
        <w:pStyle w:val="NumA1"/>
      </w:pPr>
      <w:r>
        <w:t xml:space="preserve">Pour ces raisons, HIVE soumet qu’il </w:t>
      </w:r>
      <w:r w:rsidR="00F05C88">
        <w:t>est peu probable que les projets à usage cryptographiques en bas de 5</w:t>
      </w:r>
      <w:r w:rsidR="006F0762">
        <w:t> </w:t>
      </w:r>
      <w:r w:rsidR="00F05C88">
        <w:t>MW mettent à risque la capacité du Distributeur de disposer «</w:t>
      </w:r>
      <w:r w:rsidR="006F0762">
        <w:t> </w:t>
      </w:r>
      <w:r w:rsidR="00F05C88">
        <w:t>d’énergie propre en quantité suffisante</w:t>
      </w:r>
      <w:r w:rsidR="006F0762">
        <w:t> </w:t>
      </w:r>
      <w:r w:rsidR="00F05C88">
        <w:t>» ou à sa capacité de «</w:t>
      </w:r>
      <w:r w:rsidR="006F0762">
        <w:t> </w:t>
      </w:r>
      <w:r w:rsidR="00F05C88">
        <w:t>répondre adéquatement aux demandes de branchement prioritaires et stratégiques</w:t>
      </w:r>
      <w:r w:rsidR="006F0762">
        <w:t> </w:t>
      </w:r>
      <w:r w:rsidR="00F05C88">
        <w:t xml:space="preserve">»; </w:t>
      </w:r>
    </w:p>
    <w:tbl>
      <w:tblPr>
        <w:tblW w:w="8958" w:type="dxa"/>
        <w:tblInd w:w="648" w:type="dxa"/>
        <w:tblLook w:val="00A0" w:firstRow="1" w:lastRow="0" w:firstColumn="1" w:lastColumn="0" w:noHBand="0" w:noVBand="0"/>
      </w:tblPr>
      <w:tblGrid>
        <w:gridCol w:w="7182"/>
        <w:gridCol w:w="1776"/>
      </w:tblGrid>
      <w:tr w:rsidR="00F05C88" w:rsidRPr="009B4317" w14:paraId="2A21DCBF" w14:textId="77777777" w:rsidTr="00DB6A1A">
        <w:tc>
          <w:tcPr>
            <w:tcW w:w="7182" w:type="dxa"/>
          </w:tcPr>
          <w:p w14:paraId="49A80BD2" w14:textId="4B3D79A4" w:rsidR="00F05C88" w:rsidRPr="009B4317" w:rsidRDefault="00F05C88" w:rsidP="00DB6A1A">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Le Décret, paragraphes 1 et 3. </w:t>
            </w:r>
          </w:p>
        </w:tc>
        <w:tc>
          <w:tcPr>
            <w:tcW w:w="1776" w:type="dxa"/>
            <w:vAlign w:val="bottom"/>
          </w:tcPr>
          <w:p w14:paraId="4EDA5CAB" w14:textId="1B3E4C20" w:rsidR="00F05C88" w:rsidRPr="009B4317" w:rsidRDefault="00F05C88" w:rsidP="00DB6A1A">
            <w:pPr>
              <w:spacing w:before="120" w:after="120" w:line="240" w:lineRule="auto"/>
              <w:ind w:left="0"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Cs w:val="24"/>
              </w:rPr>
              <w:t>B-0016</w:t>
            </w:r>
          </w:p>
        </w:tc>
      </w:tr>
    </w:tbl>
    <w:p w14:paraId="0DE00099" w14:textId="78C8535B" w:rsidR="009B4317" w:rsidRPr="009B4317" w:rsidRDefault="009B4317" w:rsidP="00F1699A">
      <w:pPr>
        <w:pStyle w:val="NumA1"/>
      </w:pPr>
      <w:r w:rsidRPr="009B4317">
        <w:t>Sur la base de ce raisonnement, la Régie serait justifiée de maintenir le Solde du Bloc réservé, dans le respect de l’alinéa</w:t>
      </w:r>
      <w:r w:rsidR="009847D1">
        <w:t> </w:t>
      </w:r>
      <w:r w:rsidRPr="009B4317">
        <w:t>2 de l’article</w:t>
      </w:r>
      <w:r w:rsidR="009847D1">
        <w:t> </w:t>
      </w:r>
      <w:r w:rsidRPr="009B4317">
        <w:t>72 de la LR</w:t>
      </w:r>
      <w:r w:rsidR="00F05C88">
        <w:t>E</w:t>
      </w:r>
      <w:r w:rsidRPr="009B4317">
        <w:t>, soit en ayant tenu compte des préoccupations du gouvernement dans le Décret visant à «</w:t>
      </w:r>
      <w:r w:rsidR="006F0762">
        <w:t> </w:t>
      </w:r>
      <w:r w:rsidRPr="009B4317">
        <w:t>considérer que l’allocation d’un bloc dédié à un secteur spécifique, pour des demandes de branchement qui ne sont pas prioritaires et stratégiques, constitue un risque à la capacité du distributeur d’électricité de répondre adéquatement aux demandes de branchement prioritaires et stratégiques qui lui sont faites, particulièrement dans le contexte où ces demandes et les besoins qui y sont liés sont largement supérieurs aux capacités d’Hydro-Québec d’y répondre dans un horizon moyen terme</w:t>
      </w:r>
      <w:r w:rsidR="006F0762">
        <w:t> </w:t>
      </w:r>
      <w:r w:rsidRPr="009B4317">
        <w:t xml:space="preserve">»; </w:t>
      </w:r>
    </w:p>
    <w:tbl>
      <w:tblPr>
        <w:tblW w:w="8958" w:type="dxa"/>
        <w:tblInd w:w="648" w:type="dxa"/>
        <w:tblLook w:val="00A0" w:firstRow="1" w:lastRow="0" w:firstColumn="1" w:lastColumn="0" w:noHBand="0" w:noVBand="0"/>
      </w:tblPr>
      <w:tblGrid>
        <w:gridCol w:w="6822"/>
        <w:gridCol w:w="2136"/>
      </w:tblGrid>
      <w:tr w:rsidR="00F05C88" w:rsidRPr="009B4317" w14:paraId="7DCEFE83" w14:textId="77777777" w:rsidTr="009025F6">
        <w:tc>
          <w:tcPr>
            <w:tcW w:w="6822" w:type="dxa"/>
          </w:tcPr>
          <w:p w14:paraId="6583A95F" w14:textId="7DAB6793" w:rsidR="00F05C88" w:rsidRPr="009B4317" w:rsidRDefault="00F05C88" w:rsidP="00F05C88">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Le Décret, paragraphe 3. </w:t>
            </w:r>
          </w:p>
        </w:tc>
        <w:tc>
          <w:tcPr>
            <w:tcW w:w="2136" w:type="dxa"/>
            <w:vAlign w:val="bottom"/>
          </w:tcPr>
          <w:p w14:paraId="07059FC5" w14:textId="55F30A39" w:rsidR="00F05C88" w:rsidRPr="009B4317" w:rsidRDefault="00F05C88" w:rsidP="00F05C88">
            <w:pPr>
              <w:spacing w:before="120" w:after="120" w:line="240" w:lineRule="auto"/>
              <w:ind w:left="0" w:firstLine="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Cs w:val="24"/>
              </w:rPr>
              <w:t>B-0016</w:t>
            </w:r>
          </w:p>
        </w:tc>
      </w:tr>
    </w:tbl>
    <w:p w14:paraId="0906DF67" w14:textId="1E18FA0D" w:rsidR="009B4317" w:rsidRDefault="009B4317" w:rsidP="00F1699A">
      <w:pPr>
        <w:pStyle w:val="NumA1"/>
      </w:pPr>
      <w:r w:rsidRPr="009B4317">
        <w:t>Les éléments de preuve qui ont été soumis à la Régie lui permettent de conclure que l’allocation du Solde du Bloc réservé ne constitue pas un risque à la capacité du Distributeur de répondre adéquatement aux autres demandes de branchement prioritaires et stratégiques;</w:t>
      </w:r>
    </w:p>
    <w:p w14:paraId="09DD0E55" w14:textId="521D1246" w:rsidR="00657EFA" w:rsidRDefault="00657EFA" w:rsidP="00657EFA">
      <w:pPr>
        <w:pStyle w:val="NumA3"/>
      </w:pPr>
      <w:r>
        <w:t>Conclusion</w:t>
      </w:r>
    </w:p>
    <w:p w14:paraId="67B536FA" w14:textId="77ACEFA5" w:rsidR="009B4317" w:rsidRPr="009B4317" w:rsidRDefault="009B4317" w:rsidP="00F1699A">
      <w:pPr>
        <w:pStyle w:val="NumA1"/>
      </w:pPr>
      <w:r w:rsidRPr="009B4317">
        <w:t xml:space="preserve">En conclusion et pour les raisons résumées ci-dessous, </w:t>
      </w:r>
      <w:r w:rsidR="00657EFA">
        <w:t>HIVE</w:t>
      </w:r>
      <w:r w:rsidRPr="009B4317">
        <w:t xml:space="preserve"> soumet respectueusement que la Régie devrait rejeter la Demande du Distributeur quant à la suppression du Bloc réservé</w:t>
      </w:r>
      <w:r w:rsidR="009847D1">
        <w:t> </w:t>
      </w:r>
      <w:r w:rsidRPr="009B4317">
        <w:t>:</w:t>
      </w:r>
    </w:p>
    <w:p w14:paraId="63D11808" w14:textId="7B8B4FE6" w:rsidR="00657EFA" w:rsidRPr="009B4317" w:rsidRDefault="00657EFA" w:rsidP="00657EFA">
      <w:pPr>
        <w:numPr>
          <w:ilvl w:val="0"/>
          <w:numId w:val="18"/>
        </w:numPr>
        <w:rPr>
          <w:rFonts w:asciiTheme="majorHAnsi" w:eastAsia="Times New Roman" w:hAnsiTheme="majorHAnsi" w:cs="Times New Roman"/>
        </w:rPr>
      </w:pPr>
      <w:r w:rsidRPr="009B4317">
        <w:rPr>
          <w:rFonts w:asciiTheme="majorHAnsi" w:eastAsia="Times New Roman" w:hAnsiTheme="majorHAnsi" w:cs="Times New Roman"/>
        </w:rPr>
        <w:t>La Demande du Distributeur est de la nature d’une demande de révision. Rouvrir le débat ayant donné lieu aux décisions finales et exécutoires</w:t>
      </w:r>
      <w:r w:rsidR="009847D1">
        <w:rPr>
          <w:rFonts w:asciiTheme="majorHAnsi" w:eastAsia="Times New Roman" w:hAnsiTheme="majorHAnsi" w:cs="Times New Roman"/>
        </w:rPr>
        <w:t> </w:t>
      </w:r>
      <w:r w:rsidRPr="009B4317">
        <w:rPr>
          <w:rFonts w:asciiTheme="majorHAnsi" w:eastAsia="Times New Roman" w:hAnsiTheme="majorHAnsi" w:cs="Times New Roman"/>
        </w:rPr>
        <w:t>D-2019-052 et D-2021-148 sans que les critères d’une demande de révision ne soient respectés, ni même n’aient été allégués par le Distributeur, ou encore pire, suspendre les effets de ces décisions par le biais d’une manœuvre dilatoire qu’est la Demande et tolérer les contraventions du Distributeur, s’inscrirait totalement à l’encontre de l’article</w:t>
      </w:r>
      <w:r w:rsidR="009847D1">
        <w:rPr>
          <w:rFonts w:asciiTheme="majorHAnsi" w:eastAsia="Times New Roman" w:hAnsiTheme="majorHAnsi" w:cs="Times New Roman"/>
        </w:rPr>
        <w:t> </w:t>
      </w:r>
      <w:r w:rsidRPr="009B4317">
        <w:rPr>
          <w:rFonts w:asciiTheme="majorHAnsi" w:eastAsia="Times New Roman" w:hAnsiTheme="majorHAnsi" w:cs="Times New Roman"/>
        </w:rPr>
        <w:t>5 LR</w:t>
      </w:r>
      <w:r w:rsidR="00F05C88">
        <w:rPr>
          <w:rFonts w:asciiTheme="majorHAnsi" w:eastAsia="Times New Roman" w:hAnsiTheme="majorHAnsi" w:cs="Times New Roman"/>
        </w:rPr>
        <w:t>E</w:t>
      </w:r>
      <w:r w:rsidRPr="009B4317">
        <w:rPr>
          <w:rFonts w:asciiTheme="majorHAnsi" w:eastAsia="Times New Roman" w:hAnsiTheme="majorHAnsi" w:cs="Times New Roman"/>
        </w:rPr>
        <w:t xml:space="preserve"> et de l’intérêt public que cette disposition entend protéger.</w:t>
      </w:r>
    </w:p>
    <w:p w14:paraId="2E0AF661" w14:textId="32783F1D" w:rsidR="009B4317" w:rsidRPr="009B4317" w:rsidRDefault="009B4317" w:rsidP="009B4317">
      <w:pPr>
        <w:numPr>
          <w:ilvl w:val="0"/>
          <w:numId w:val="18"/>
        </w:numPr>
        <w:rPr>
          <w:rFonts w:asciiTheme="majorHAnsi" w:eastAsia="Times New Roman" w:hAnsiTheme="majorHAnsi" w:cs="Times New Roman"/>
        </w:rPr>
      </w:pPr>
      <w:r w:rsidRPr="009B4317">
        <w:rPr>
          <w:rFonts w:asciiTheme="majorHAnsi" w:eastAsia="Times New Roman" w:hAnsiTheme="majorHAnsi" w:cs="Times New Roman"/>
          <w:lang w:eastAsia="fr-CA"/>
        </w:rPr>
        <w:t>La Demande du Distributeur à l’égard du sort à accorder au Bloc réservé est en contravention avec l’article</w:t>
      </w:r>
      <w:r w:rsidR="009847D1">
        <w:rPr>
          <w:rFonts w:asciiTheme="majorHAnsi" w:eastAsia="Times New Roman" w:hAnsiTheme="majorHAnsi" w:cs="Times New Roman"/>
          <w:lang w:eastAsia="fr-CA"/>
        </w:rPr>
        <w:t> </w:t>
      </w:r>
      <w:r w:rsidRPr="009B4317">
        <w:rPr>
          <w:rFonts w:asciiTheme="majorHAnsi" w:eastAsia="Times New Roman" w:hAnsiTheme="majorHAnsi" w:cs="Times New Roman"/>
          <w:lang w:eastAsia="fr-CA"/>
        </w:rPr>
        <w:t>48.2 de la LR</w:t>
      </w:r>
      <w:r w:rsidR="00F05C88">
        <w:rPr>
          <w:rFonts w:asciiTheme="majorHAnsi" w:eastAsia="Times New Roman" w:hAnsiTheme="majorHAnsi" w:cs="Times New Roman"/>
          <w:lang w:eastAsia="fr-CA"/>
        </w:rPr>
        <w:t>E</w:t>
      </w:r>
      <w:r w:rsidRPr="009B4317">
        <w:rPr>
          <w:rFonts w:asciiTheme="majorHAnsi" w:eastAsia="Times New Roman" w:hAnsiTheme="majorHAnsi" w:cs="Times New Roman"/>
          <w:lang w:eastAsia="fr-CA"/>
        </w:rPr>
        <w:t xml:space="preserve">, </w:t>
      </w:r>
      <w:r w:rsidR="009847D1">
        <w:rPr>
          <w:rFonts w:asciiTheme="majorHAnsi" w:eastAsia="Times New Roman" w:hAnsiTheme="majorHAnsi" w:cs="Times New Roman"/>
          <w:lang w:eastAsia="fr-CA"/>
        </w:rPr>
        <w:t>étant donné</w:t>
      </w:r>
      <w:r w:rsidRPr="009B4317">
        <w:rPr>
          <w:rFonts w:asciiTheme="majorHAnsi" w:eastAsia="Times New Roman" w:hAnsiTheme="majorHAnsi" w:cs="Times New Roman"/>
          <w:lang w:eastAsia="fr-CA"/>
        </w:rPr>
        <w:t xml:space="preserve"> qu’elle relève d’une </w:t>
      </w:r>
      <w:r w:rsidRPr="009B4317">
        <w:rPr>
          <w:rFonts w:asciiTheme="majorHAnsi" w:eastAsia="Times New Roman" w:hAnsiTheme="majorHAnsi" w:cs="Times New Roman"/>
          <w:lang w:eastAsia="fr-CA"/>
        </w:rPr>
        <w:lastRenderedPageBreak/>
        <w:t>demande de modification tarifaire. Le Distributeur ne peut faire indirectement ce que la LR</w:t>
      </w:r>
      <w:r w:rsidR="00F05C88">
        <w:rPr>
          <w:rFonts w:asciiTheme="majorHAnsi" w:eastAsia="Times New Roman" w:hAnsiTheme="majorHAnsi" w:cs="Times New Roman"/>
          <w:lang w:eastAsia="fr-CA"/>
        </w:rPr>
        <w:t>E</w:t>
      </w:r>
      <w:r w:rsidRPr="009B4317">
        <w:rPr>
          <w:rFonts w:asciiTheme="majorHAnsi" w:eastAsia="Times New Roman" w:hAnsiTheme="majorHAnsi" w:cs="Times New Roman"/>
          <w:lang w:eastAsia="fr-CA"/>
        </w:rPr>
        <w:t xml:space="preserve"> lui interdit de faire directement.</w:t>
      </w:r>
    </w:p>
    <w:p w14:paraId="4A084F4E" w14:textId="77777777" w:rsidR="009B4317" w:rsidRPr="009B4317" w:rsidRDefault="009B4317" w:rsidP="009B4317">
      <w:pPr>
        <w:numPr>
          <w:ilvl w:val="0"/>
          <w:numId w:val="18"/>
        </w:numPr>
        <w:rPr>
          <w:rFonts w:asciiTheme="majorHAnsi" w:eastAsia="Times New Roman" w:hAnsiTheme="majorHAnsi" w:cs="Times New Roman"/>
        </w:rPr>
      </w:pPr>
      <w:r w:rsidRPr="009B4317">
        <w:rPr>
          <w:rFonts w:asciiTheme="majorHAnsi" w:eastAsia="Times New Roman" w:hAnsiTheme="majorHAnsi" w:cs="Times New Roman"/>
        </w:rPr>
        <w:t>Les éléments de preuve qui ont été soumis par Bitfarms à la Régie permettent de conclure que l’allocation du Solde du Bloc réservé ne constitue pas un risque à la capacité du Distributeur de répondre adéquatement aux autres demandes de branchement prioritaires et stratégiques.</w:t>
      </w:r>
    </w:p>
    <w:p w14:paraId="7EAAE167" w14:textId="2D0E31E1" w:rsidR="009B4317" w:rsidRPr="007E0EDF" w:rsidRDefault="009B4317" w:rsidP="00BC6BDB">
      <w:pPr>
        <w:pStyle w:val="NumA2"/>
        <w:keepNext/>
        <w:numPr>
          <w:ilvl w:val="1"/>
          <w:numId w:val="8"/>
        </w:numPr>
        <w:outlineLvl w:val="0"/>
        <w:rPr>
          <w:caps w:val="0"/>
        </w:rPr>
      </w:pPr>
      <w:r>
        <w:rPr>
          <w:caps w:val="0"/>
        </w:rPr>
        <w:t>Modification à la définition de «</w:t>
      </w:r>
      <w:r w:rsidR="006F0762">
        <w:rPr>
          <w:caps w:val="0"/>
        </w:rPr>
        <w:t> </w:t>
      </w:r>
      <w:r>
        <w:rPr>
          <w:caps w:val="0"/>
        </w:rPr>
        <w:t>bloc réservé</w:t>
      </w:r>
      <w:r w:rsidR="006F0762">
        <w:rPr>
          <w:caps w:val="0"/>
        </w:rPr>
        <w:t> </w:t>
      </w:r>
      <w:r>
        <w:rPr>
          <w:caps w:val="0"/>
        </w:rPr>
        <w:t>»</w:t>
      </w:r>
    </w:p>
    <w:p w14:paraId="7C961A7C" w14:textId="741FA8FA" w:rsidR="009B4317" w:rsidRDefault="009B4317" w:rsidP="00BC6BDB">
      <w:pPr>
        <w:pStyle w:val="NumA1"/>
        <w:keepNext/>
      </w:pPr>
      <w:r>
        <w:t>Le 16</w:t>
      </w:r>
      <w:r w:rsidR="009847D1">
        <w:t> </w:t>
      </w:r>
      <w:r>
        <w:t>février</w:t>
      </w:r>
      <w:r w:rsidR="009847D1">
        <w:t> </w:t>
      </w:r>
      <w:r>
        <w:t>2023, la</w:t>
      </w:r>
      <w:r w:rsidR="004B78DD">
        <w:t xml:space="preserve"> Loi</w:t>
      </w:r>
      <w:r w:rsidR="009847D1">
        <w:t> </w:t>
      </w:r>
      <w:r w:rsidR="004B78DD">
        <w:t>2</w:t>
      </w:r>
      <w:r>
        <w:t xml:space="preserve"> a été sanctionnée.</w:t>
      </w:r>
    </w:p>
    <w:p w14:paraId="3BC9D84E" w14:textId="66902B96" w:rsidR="009B4317" w:rsidRDefault="009B4317" w:rsidP="00F1699A">
      <w:pPr>
        <w:pStyle w:val="NumA1"/>
      </w:pPr>
      <w:r>
        <w:t>La Loi</w:t>
      </w:r>
      <w:r w:rsidR="009847D1">
        <w:t> </w:t>
      </w:r>
      <w:r>
        <w:t>2 prévoit des modifications significatives à l’obligation de desservir du Distributeur prévue à l’article</w:t>
      </w:r>
      <w:r w:rsidR="009847D1">
        <w:t> </w:t>
      </w:r>
      <w:r>
        <w:t>76 de la LR</w:t>
      </w:r>
      <w:r w:rsidR="00F05C88">
        <w:t>E</w:t>
      </w:r>
      <w:r w:rsidR="009847D1">
        <w:t> </w:t>
      </w:r>
      <w:r>
        <w:t>:</w:t>
      </w:r>
    </w:p>
    <w:p w14:paraId="497BF06B" w14:textId="4A980B75" w:rsidR="009B4317" w:rsidRDefault="009B4317" w:rsidP="009B4317">
      <w:pPr>
        <w:pStyle w:val="ParaNum11"/>
        <w:numPr>
          <w:ilvl w:val="0"/>
          <w:numId w:val="0"/>
        </w:numPr>
        <w:ind w:left="1440" w:right="720"/>
        <w:rPr>
          <w:sz w:val="22"/>
        </w:rPr>
      </w:pPr>
      <w:r w:rsidRPr="00970F4D">
        <w:rPr>
          <w:sz w:val="22"/>
        </w:rPr>
        <w:t>«</w:t>
      </w:r>
      <w:r w:rsidR="006F0762">
        <w:rPr>
          <w:sz w:val="22"/>
        </w:rPr>
        <w:t> </w:t>
      </w:r>
      <w:r>
        <w:rPr>
          <w:sz w:val="22"/>
        </w:rPr>
        <w:t xml:space="preserve">7. </w:t>
      </w:r>
      <w:r w:rsidRPr="00912B35">
        <w:rPr>
          <w:sz w:val="22"/>
        </w:rPr>
        <w:t>L’article</w:t>
      </w:r>
      <w:r w:rsidR="009847D1">
        <w:rPr>
          <w:sz w:val="22"/>
        </w:rPr>
        <w:t> </w:t>
      </w:r>
      <w:r w:rsidRPr="00912B35">
        <w:rPr>
          <w:sz w:val="22"/>
        </w:rPr>
        <w:t>76 de la Loi sur la Régie de l’énergie (chapitre</w:t>
      </w:r>
      <w:r w:rsidR="009847D1">
        <w:rPr>
          <w:sz w:val="22"/>
        </w:rPr>
        <w:t> </w:t>
      </w:r>
      <w:r w:rsidRPr="00912B35">
        <w:rPr>
          <w:sz w:val="22"/>
        </w:rPr>
        <w:t>R-6.01) est modifié</w:t>
      </w:r>
      <w:r w:rsidR="009847D1">
        <w:rPr>
          <w:sz w:val="22"/>
        </w:rPr>
        <w:t> </w:t>
      </w:r>
      <w:r w:rsidRPr="00912B35">
        <w:rPr>
          <w:sz w:val="22"/>
        </w:rPr>
        <w:t>:</w:t>
      </w:r>
    </w:p>
    <w:p w14:paraId="32C308AC" w14:textId="7EBB5D86" w:rsidR="009B4317" w:rsidRDefault="009B4317" w:rsidP="009B4317">
      <w:pPr>
        <w:pStyle w:val="ParaNum11"/>
        <w:numPr>
          <w:ilvl w:val="0"/>
          <w:numId w:val="0"/>
        </w:numPr>
        <w:ind w:left="1440" w:right="720"/>
        <w:rPr>
          <w:sz w:val="22"/>
        </w:rPr>
      </w:pPr>
      <w:r w:rsidRPr="00912B35">
        <w:rPr>
          <w:sz w:val="22"/>
        </w:rPr>
        <w:t>1° par l’insertion, à la fin du premier alinéa, de «</w:t>
      </w:r>
      <w:r w:rsidR="006F0762">
        <w:rPr>
          <w:sz w:val="22"/>
        </w:rPr>
        <w:t> </w:t>
      </w:r>
      <w:r w:rsidRPr="00912B35">
        <w:rPr>
          <w:sz w:val="22"/>
        </w:rPr>
        <w:t>, sauf dans les cas et aux conditions déterminé</w:t>
      </w:r>
      <w:r w:rsidR="009847D1">
        <w:rPr>
          <w:sz w:val="22"/>
        </w:rPr>
        <w:t>e</w:t>
      </w:r>
      <w:r w:rsidRPr="00912B35">
        <w:rPr>
          <w:sz w:val="22"/>
        </w:rPr>
        <w:t>s par règlement du gouvernement pour chacun de ces titulaires d’un droit exclusif</w:t>
      </w:r>
      <w:r w:rsidR="006F0762">
        <w:rPr>
          <w:sz w:val="22"/>
        </w:rPr>
        <w:t> </w:t>
      </w:r>
      <w:r w:rsidRPr="00912B35">
        <w:rPr>
          <w:sz w:val="22"/>
        </w:rPr>
        <w:t xml:space="preserve">»; </w:t>
      </w:r>
    </w:p>
    <w:p w14:paraId="7F30731D" w14:textId="7CDF20D6" w:rsidR="009B4317" w:rsidRDefault="009B4317" w:rsidP="009B4317">
      <w:pPr>
        <w:pStyle w:val="ParaNum11"/>
        <w:numPr>
          <w:ilvl w:val="0"/>
          <w:numId w:val="0"/>
        </w:numPr>
        <w:ind w:left="1440" w:right="720"/>
        <w:rPr>
          <w:sz w:val="22"/>
        </w:rPr>
      </w:pPr>
      <w:r w:rsidRPr="00912B35">
        <w:rPr>
          <w:sz w:val="22"/>
        </w:rPr>
        <w:t>2° par le remplacement du deuxième alinéa par les suivants</w:t>
      </w:r>
      <w:r w:rsidR="009847D1">
        <w:rPr>
          <w:sz w:val="22"/>
        </w:rPr>
        <w:t> </w:t>
      </w:r>
      <w:r w:rsidRPr="00912B35">
        <w:rPr>
          <w:sz w:val="22"/>
        </w:rPr>
        <w:t xml:space="preserve">: </w:t>
      </w:r>
    </w:p>
    <w:p w14:paraId="00BD2E6D" w14:textId="3630D043" w:rsidR="009B4317" w:rsidRDefault="009847D1" w:rsidP="009B4317">
      <w:pPr>
        <w:pStyle w:val="ParaNum11"/>
        <w:numPr>
          <w:ilvl w:val="0"/>
          <w:numId w:val="0"/>
        </w:numPr>
        <w:ind w:left="1440" w:right="720"/>
        <w:rPr>
          <w:sz w:val="22"/>
        </w:rPr>
      </w:pPr>
      <w:r>
        <w:rPr>
          <w:sz w:val="22"/>
        </w:rPr>
        <w:t>“</w:t>
      </w:r>
      <w:r w:rsidR="009B4317" w:rsidRPr="00912B35">
        <w:rPr>
          <w:b/>
          <w:bCs/>
          <w:sz w:val="22"/>
          <w:u w:val="single"/>
        </w:rPr>
        <w:t>Dans le cas où l’obligation prévue au premier alinéa ne s’applique pas, le titulaire d’un droit exclusif doit obtenir l’autorisation du ministre pour distribuer de l’électricité à une personne ou à une catégorie de personnes au tarif applicable prévu à l’annexe I de la Loi sur Hydro-Québec (chapitre</w:t>
      </w:r>
      <w:r>
        <w:rPr>
          <w:b/>
          <w:bCs/>
          <w:sz w:val="22"/>
          <w:u w:val="single"/>
        </w:rPr>
        <w:t> </w:t>
      </w:r>
      <w:r w:rsidR="009B4317" w:rsidRPr="00912B35">
        <w:rPr>
          <w:b/>
          <w:bCs/>
          <w:sz w:val="22"/>
          <w:u w:val="single"/>
        </w:rPr>
        <w:t>H-5)</w:t>
      </w:r>
      <w:r w:rsidR="009B4317" w:rsidRPr="00912B35">
        <w:rPr>
          <w:sz w:val="22"/>
        </w:rPr>
        <w:t xml:space="preserve">. </w:t>
      </w:r>
    </w:p>
    <w:p w14:paraId="74AACE0E" w14:textId="77777777" w:rsidR="009B4317" w:rsidRDefault="009B4317" w:rsidP="009B4317">
      <w:pPr>
        <w:pStyle w:val="ParaNum11"/>
        <w:numPr>
          <w:ilvl w:val="0"/>
          <w:numId w:val="0"/>
        </w:numPr>
        <w:ind w:left="1440" w:right="720"/>
        <w:rPr>
          <w:sz w:val="22"/>
        </w:rPr>
      </w:pPr>
      <w:r w:rsidRPr="00912B35">
        <w:rPr>
          <w:sz w:val="22"/>
        </w:rPr>
        <w:t xml:space="preserve">Avant de délivrer une autorisation de distribution, le ministre tient notamment compte des capacités techniques du titulaire d’un droit exclusif pour le raccordement ainsi que des retombées économiques et des impacts sociaux et environnementaux de l’utilisation de l’électricité demandée. </w:t>
      </w:r>
    </w:p>
    <w:p w14:paraId="57AFF3B6" w14:textId="77777777" w:rsidR="009B4317" w:rsidRDefault="009B4317" w:rsidP="009B4317">
      <w:pPr>
        <w:pStyle w:val="ParaNum11"/>
        <w:numPr>
          <w:ilvl w:val="0"/>
          <w:numId w:val="0"/>
        </w:numPr>
        <w:ind w:left="1440" w:right="720"/>
        <w:rPr>
          <w:sz w:val="22"/>
        </w:rPr>
      </w:pPr>
      <w:r w:rsidRPr="00912B35">
        <w:rPr>
          <w:sz w:val="22"/>
        </w:rPr>
        <w:t>Le ministre peut exiger du titulaire d’un droit exclusif tout renseignement pertinent pour l’application du deuxième alinéa.</w:t>
      </w:r>
    </w:p>
    <w:p w14:paraId="14255F77" w14:textId="77777777" w:rsidR="009B4317" w:rsidRDefault="009B4317" w:rsidP="009B4317">
      <w:pPr>
        <w:pStyle w:val="ParaNum11"/>
        <w:numPr>
          <w:ilvl w:val="0"/>
          <w:numId w:val="0"/>
        </w:numPr>
        <w:ind w:left="1440" w:right="720"/>
        <w:rPr>
          <w:sz w:val="22"/>
        </w:rPr>
      </w:pPr>
      <w:r>
        <w:rPr>
          <w:sz w:val="22"/>
        </w:rPr>
        <w:t>[…]</w:t>
      </w:r>
    </w:p>
    <w:p w14:paraId="78CC239B" w14:textId="5E5FF5F5" w:rsidR="009B4317" w:rsidRPr="00970F4D" w:rsidRDefault="009B4317" w:rsidP="009B4317">
      <w:pPr>
        <w:pStyle w:val="ParaNum11"/>
        <w:numPr>
          <w:ilvl w:val="0"/>
          <w:numId w:val="0"/>
        </w:numPr>
        <w:ind w:left="1440" w:right="720"/>
        <w:rPr>
          <w:sz w:val="22"/>
        </w:rPr>
      </w:pPr>
      <w:r w:rsidRPr="00970F4D">
        <w:rPr>
          <w:sz w:val="22"/>
        </w:rPr>
        <w:t>10. Jusqu’à l’entrée en vigueur du premier règlement pris par le gouvernement en vertu du paragraphe 2.4° du premier alinéa de l’article</w:t>
      </w:r>
      <w:r w:rsidR="009847D1">
        <w:rPr>
          <w:sz w:val="22"/>
        </w:rPr>
        <w:t> </w:t>
      </w:r>
      <w:r w:rsidRPr="00970F4D">
        <w:rPr>
          <w:sz w:val="22"/>
        </w:rPr>
        <w:t>112 de la Loi sur la Régie de l’énergie (chapitre</w:t>
      </w:r>
      <w:r w:rsidR="009847D1">
        <w:rPr>
          <w:sz w:val="22"/>
        </w:rPr>
        <w:t> </w:t>
      </w:r>
      <w:r w:rsidRPr="00970F4D">
        <w:rPr>
          <w:sz w:val="22"/>
        </w:rPr>
        <w:t>R-6.01), édicté</w:t>
      </w:r>
      <w:r w:rsidR="009847D1">
        <w:rPr>
          <w:sz w:val="22"/>
        </w:rPr>
        <w:t>e</w:t>
      </w:r>
      <w:r w:rsidRPr="00970F4D">
        <w:rPr>
          <w:sz w:val="22"/>
        </w:rPr>
        <w:t xml:space="preserve"> par l’article</w:t>
      </w:r>
      <w:r w:rsidR="009847D1">
        <w:rPr>
          <w:sz w:val="22"/>
        </w:rPr>
        <w:t> </w:t>
      </w:r>
      <w:r w:rsidRPr="00970F4D">
        <w:rPr>
          <w:sz w:val="22"/>
        </w:rPr>
        <w:t xml:space="preserve">8 de la présente loi, </w:t>
      </w:r>
      <w:r w:rsidRPr="00970F4D">
        <w:rPr>
          <w:b/>
          <w:bCs/>
          <w:sz w:val="22"/>
          <w:u w:val="single"/>
        </w:rPr>
        <w:t>l’obligation de distribuer de l’électricité prévue au premier alinéa de l’article</w:t>
      </w:r>
      <w:r w:rsidR="009847D1">
        <w:rPr>
          <w:b/>
          <w:bCs/>
          <w:sz w:val="22"/>
          <w:u w:val="single"/>
        </w:rPr>
        <w:t> </w:t>
      </w:r>
      <w:r w:rsidRPr="00970F4D">
        <w:rPr>
          <w:b/>
          <w:bCs/>
          <w:sz w:val="22"/>
          <w:u w:val="single"/>
        </w:rPr>
        <w:t>76 de la Loi sur la Régie de l’énergie ne s’applique pas à toute nouvelle demande, à toute demande de charge additionnelle ou à toute demande d’un client qui bénéficie d’un contrat spécial, d’une puissance de 5 000</w:t>
      </w:r>
      <w:r w:rsidR="009847D1">
        <w:rPr>
          <w:b/>
          <w:bCs/>
          <w:sz w:val="22"/>
          <w:u w:val="single"/>
        </w:rPr>
        <w:t> </w:t>
      </w:r>
      <w:r w:rsidRPr="00970F4D">
        <w:rPr>
          <w:b/>
          <w:bCs/>
          <w:sz w:val="22"/>
          <w:u w:val="single"/>
        </w:rPr>
        <w:t>kilowatts et plus</w:t>
      </w:r>
      <w:r w:rsidRPr="00970F4D">
        <w:rPr>
          <w:sz w:val="22"/>
        </w:rPr>
        <w:t xml:space="preserve">, pour laquelle </w:t>
      </w:r>
      <w:r w:rsidRPr="00970F4D">
        <w:rPr>
          <w:sz w:val="22"/>
        </w:rPr>
        <w:lastRenderedPageBreak/>
        <w:t>un titulaire d’un droit exclusif n’a pas conclu d’entente avant le 2</w:t>
      </w:r>
      <w:r w:rsidR="009847D1">
        <w:rPr>
          <w:sz w:val="22"/>
        </w:rPr>
        <w:t> </w:t>
      </w:r>
      <w:r w:rsidRPr="00970F4D">
        <w:rPr>
          <w:sz w:val="22"/>
        </w:rPr>
        <w:t>décembre</w:t>
      </w:r>
      <w:r w:rsidR="009847D1">
        <w:rPr>
          <w:sz w:val="22"/>
        </w:rPr>
        <w:t> </w:t>
      </w:r>
      <w:r w:rsidRPr="00970F4D">
        <w:rPr>
          <w:sz w:val="22"/>
        </w:rPr>
        <w:t>2022 qui prévoit un engagement financier du demandeur.</w:t>
      </w:r>
    </w:p>
    <w:p w14:paraId="4A7EE72C" w14:textId="77777777" w:rsidR="009B4317" w:rsidRPr="00970F4D" w:rsidRDefault="009B4317" w:rsidP="009B4317">
      <w:pPr>
        <w:pStyle w:val="ParaNum11"/>
        <w:numPr>
          <w:ilvl w:val="0"/>
          <w:numId w:val="0"/>
        </w:numPr>
        <w:ind w:left="1440" w:right="720"/>
        <w:rPr>
          <w:sz w:val="22"/>
        </w:rPr>
      </w:pPr>
      <w:r w:rsidRPr="00970F4D">
        <w:rPr>
          <w:sz w:val="22"/>
        </w:rPr>
        <w:t xml:space="preserve">Dans le cas où l’obligation prévue au premier alinéa ne s’applique pas, le titulaire d’un droit exclusif doit obtenir l’autorisation du ministre pour distribuer de l’électricité à une personne ou à une catégorie de personnes au tarif applicable prévu à l’annexe I de la Loi sur Hydro-Québec. </w:t>
      </w:r>
    </w:p>
    <w:p w14:paraId="01775230" w14:textId="77777777" w:rsidR="009B4317" w:rsidRPr="00970F4D" w:rsidRDefault="009B4317" w:rsidP="009B4317">
      <w:pPr>
        <w:pStyle w:val="ParaNum11"/>
        <w:numPr>
          <w:ilvl w:val="0"/>
          <w:numId w:val="0"/>
        </w:numPr>
        <w:ind w:left="1440" w:right="720"/>
        <w:rPr>
          <w:sz w:val="22"/>
        </w:rPr>
      </w:pPr>
      <w:r w:rsidRPr="00970F4D">
        <w:rPr>
          <w:sz w:val="22"/>
        </w:rPr>
        <w:t xml:space="preserve">Avant de délivrer une autorisation de distribution, le ministre tient notamment compte des capacités techniques du titulaire d’un droit exclusif pour le raccordement ainsi que des retombées économiques et des impacts sociaux et environnementaux de l’utilisation de l’électricité demandée. </w:t>
      </w:r>
    </w:p>
    <w:p w14:paraId="5998AEB0" w14:textId="77777777" w:rsidR="009B4317" w:rsidRPr="00970F4D" w:rsidRDefault="009B4317" w:rsidP="009B4317">
      <w:pPr>
        <w:pStyle w:val="ParaNum11"/>
        <w:numPr>
          <w:ilvl w:val="0"/>
          <w:numId w:val="0"/>
        </w:numPr>
        <w:ind w:left="1440" w:right="720"/>
        <w:rPr>
          <w:sz w:val="22"/>
        </w:rPr>
      </w:pPr>
      <w:r w:rsidRPr="00970F4D">
        <w:rPr>
          <w:sz w:val="22"/>
        </w:rPr>
        <w:t xml:space="preserve">Le ministre peut exiger du titulaire d’un droit exclusif tout renseignement pertinent pour l’application du deuxième alinéa. </w:t>
      </w:r>
    </w:p>
    <w:p w14:paraId="51727911" w14:textId="5655B13C" w:rsidR="009B4317" w:rsidRDefault="009B4317" w:rsidP="009B4317">
      <w:pPr>
        <w:pStyle w:val="ParaNum11"/>
        <w:numPr>
          <w:ilvl w:val="0"/>
          <w:numId w:val="0"/>
        </w:numPr>
        <w:ind w:left="1440" w:right="720"/>
        <w:rPr>
          <w:sz w:val="22"/>
        </w:rPr>
      </w:pPr>
      <w:r w:rsidRPr="00970F4D">
        <w:rPr>
          <w:b/>
          <w:bCs/>
          <w:sz w:val="22"/>
          <w:u w:val="single"/>
        </w:rPr>
        <w:t>Le présent article a effet malgré les décisions de la Régie de l’énergie dans les dossiers</w:t>
      </w:r>
      <w:r w:rsidR="009847D1">
        <w:rPr>
          <w:b/>
          <w:bCs/>
          <w:sz w:val="22"/>
          <w:u w:val="single"/>
        </w:rPr>
        <w:t> </w:t>
      </w:r>
      <w:r w:rsidRPr="00970F4D">
        <w:rPr>
          <w:b/>
          <w:bCs/>
          <w:sz w:val="22"/>
          <w:u w:val="single"/>
        </w:rPr>
        <w:t>R-4057-2018 et R-4045-2018</w:t>
      </w:r>
      <w:r w:rsidRPr="00970F4D">
        <w:rPr>
          <w:sz w:val="22"/>
        </w:rPr>
        <w:t>.</w:t>
      </w:r>
    </w:p>
    <w:p w14:paraId="2F9B7265" w14:textId="77777777" w:rsidR="009B4317" w:rsidRPr="00970F4D" w:rsidRDefault="009B4317" w:rsidP="009B4317">
      <w:pPr>
        <w:pStyle w:val="ParaNum11"/>
        <w:numPr>
          <w:ilvl w:val="0"/>
          <w:numId w:val="0"/>
        </w:numPr>
        <w:ind w:left="1440" w:right="720"/>
        <w:jc w:val="right"/>
      </w:pPr>
      <w:r>
        <w:rPr>
          <w:sz w:val="22"/>
        </w:rPr>
        <w:t>[Nous soulignons]</w:t>
      </w:r>
    </w:p>
    <w:p w14:paraId="798051C6" w14:textId="5FEA6874" w:rsidR="009B4317" w:rsidRDefault="009B4317" w:rsidP="00F1699A">
      <w:pPr>
        <w:pStyle w:val="NumA1"/>
      </w:pPr>
      <w:r>
        <w:t>Lors de l’audience du 12</w:t>
      </w:r>
      <w:r w:rsidR="009847D1">
        <w:t> </w:t>
      </w:r>
      <w:r>
        <w:t>juin</w:t>
      </w:r>
      <w:r w:rsidR="009847D1">
        <w:t> </w:t>
      </w:r>
      <w:r>
        <w:t xml:space="preserve">2023, </w:t>
      </w:r>
      <w:r w:rsidR="00F05C88">
        <w:t>Bitfarms a</w:t>
      </w:r>
      <w:r>
        <w:t xml:space="preserve"> questionné le Distributeur au sujet de l’application de ces dispositions à la catégorie de consommateurs appartenant au Tarif CB</w:t>
      </w:r>
      <w:r w:rsidR="009847D1">
        <w:t> </w:t>
      </w:r>
      <w:r>
        <w:t>:</w:t>
      </w:r>
    </w:p>
    <w:p w14:paraId="4ACE04E7" w14:textId="6B7225EC" w:rsidR="009B4317" w:rsidRPr="009C27A0" w:rsidRDefault="009847D1" w:rsidP="009B4317">
      <w:pPr>
        <w:pStyle w:val="ParaNum11"/>
        <w:numPr>
          <w:ilvl w:val="0"/>
          <w:numId w:val="0"/>
        </w:numPr>
        <w:ind w:left="1440" w:right="720"/>
        <w:rPr>
          <w:sz w:val="22"/>
        </w:rPr>
      </w:pPr>
      <w:r>
        <w:rPr>
          <w:sz w:val="22"/>
        </w:rPr>
        <w:t>‘</w:t>
      </w:r>
      <w:r w:rsidR="009B4317" w:rsidRPr="009C27A0">
        <w:rPr>
          <w:sz w:val="22"/>
        </w:rPr>
        <w:t xml:space="preserve">[221] </w:t>
      </w:r>
      <w:r w:rsidR="009B4317" w:rsidRPr="00B97612">
        <w:rPr>
          <w:sz w:val="22"/>
          <w:u w:val="single"/>
        </w:rPr>
        <w:t>En l'absence du bloc réservé et de la structure tarifaire y étant associée</w:t>
      </w:r>
      <w:r w:rsidR="009B4317" w:rsidRPr="009C27A0">
        <w:rPr>
          <w:sz w:val="22"/>
        </w:rPr>
        <w:t>, un client qui souhaiterait avoir un bloc d'énergie et de puissance de plus de cinq mégawatts (5</w:t>
      </w:r>
      <w:r w:rsidR="006F0762">
        <w:rPr>
          <w:sz w:val="22"/>
        </w:rPr>
        <w:t> </w:t>
      </w:r>
      <w:r w:rsidR="009B4317" w:rsidRPr="009C27A0">
        <w:rPr>
          <w:sz w:val="22"/>
        </w:rPr>
        <w:t xml:space="preserve">MW) </w:t>
      </w:r>
      <w:r w:rsidR="009B4317" w:rsidRPr="00B97612">
        <w:rPr>
          <w:sz w:val="22"/>
          <w:u w:val="single"/>
        </w:rPr>
        <w:t>pour exercer une activité de chaîne de blocs, pourrait-il s'adresser à vous et passer à travers le processus menant à une décision discrétionnaire du ministre</w:t>
      </w:r>
      <w:r w:rsidR="009B4317" w:rsidRPr="009C27A0">
        <w:rPr>
          <w:sz w:val="22"/>
        </w:rPr>
        <w:t xml:space="preserve">? </w:t>
      </w:r>
    </w:p>
    <w:p w14:paraId="5C9EE204" w14:textId="6319A60B" w:rsidR="009B4317" w:rsidRPr="009C27A0" w:rsidRDefault="009B4317" w:rsidP="009B4317">
      <w:pPr>
        <w:pStyle w:val="ParaNum11"/>
        <w:numPr>
          <w:ilvl w:val="0"/>
          <w:numId w:val="0"/>
        </w:numPr>
        <w:ind w:left="1440" w:right="720"/>
        <w:rPr>
          <w:sz w:val="22"/>
        </w:rPr>
      </w:pPr>
      <w:r w:rsidRPr="009C27A0">
        <w:rPr>
          <w:sz w:val="22"/>
        </w:rPr>
        <w:t xml:space="preserve">R. </w:t>
      </w:r>
      <w:r w:rsidRPr="00B97612">
        <w:rPr>
          <w:sz w:val="22"/>
          <w:u w:val="single"/>
        </w:rPr>
        <w:t>Effectivement</w:t>
      </w:r>
      <w:r w:rsidRPr="009C27A0">
        <w:rPr>
          <w:sz w:val="22"/>
        </w:rPr>
        <w:t>, tout projet de plus de cinq mégawatts (5</w:t>
      </w:r>
      <w:r w:rsidR="006F0762">
        <w:rPr>
          <w:sz w:val="22"/>
        </w:rPr>
        <w:t> </w:t>
      </w:r>
      <w:r w:rsidRPr="009C27A0">
        <w:rPr>
          <w:sz w:val="22"/>
        </w:rPr>
        <w:t xml:space="preserve">MW) doit passer par le processus de sélection. </w:t>
      </w:r>
    </w:p>
    <w:p w14:paraId="565193F6" w14:textId="77777777" w:rsidR="009B4317" w:rsidRPr="009C27A0" w:rsidRDefault="009B4317" w:rsidP="009B4317">
      <w:pPr>
        <w:pStyle w:val="ParaNum11"/>
        <w:numPr>
          <w:ilvl w:val="0"/>
          <w:numId w:val="0"/>
        </w:numPr>
        <w:ind w:left="1440" w:right="720"/>
        <w:rPr>
          <w:sz w:val="22"/>
        </w:rPr>
      </w:pPr>
      <w:r w:rsidRPr="009C27A0">
        <w:rPr>
          <w:sz w:val="22"/>
        </w:rPr>
        <w:t xml:space="preserve">Q.[222] En l'absence du bloc réservé, si on prend l'hypothèse que la Régie accorde ce que vous souhaitez obtenir, en l'absence du bloc réservé, </w:t>
      </w:r>
      <w:r w:rsidRPr="00B97612">
        <w:rPr>
          <w:sz w:val="22"/>
          <w:u w:val="single"/>
        </w:rPr>
        <w:t>est-ce qu'un client crypto pourrait s'adresser à vous et passer à travers le processus d'approbation des projets</w:t>
      </w:r>
      <w:r w:rsidRPr="009C27A0">
        <w:rPr>
          <w:sz w:val="22"/>
        </w:rPr>
        <w:t xml:space="preserve">? </w:t>
      </w:r>
    </w:p>
    <w:p w14:paraId="12A61C69" w14:textId="3212D8DA" w:rsidR="009B4317" w:rsidRDefault="009B4317" w:rsidP="009B4317">
      <w:pPr>
        <w:pStyle w:val="ParaNum11"/>
        <w:numPr>
          <w:ilvl w:val="0"/>
          <w:numId w:val="0"/>
        </w:numPr>
        <w:ind w:left="1440" w:right="720"/>
        <w:rPr>
          <w:sz w:val="22"/>
        </w:rPr>
      </w:pPr>
      <w:r w:rsidRPr="009C27A0">
        <w:rPr>
          <w:sz w:val="22"/>
        </w:rPr>
        <w:t xml:space="preserve">C’est peut-être la partie </w:t>
      </w:r>
      <w:r w:rsidR="009847D1">
        <w:rPr>
          <w:sz w:val="22"/>
        </w:rPr>
        <w:t>“</w:t>
      </w:r>
      <w:r w:rsidRPr="009C27A0">
        <w:rPr>
          <w:sz w:val="22"/>
        </w:rPr>
        <w:t>s'adresser à nous</w:t>
      </w:r>
      <w:r w:rsidR="009847D1">
        <w:rPr>
          <w:sz w:val="22"/>
        </w:rPr>
        <w:t>”</w:t>
      </w:r>
      <w:r w:rsidRPr="009C27A0">
        <w:rPr>
          <w:sz w:val="22"/>
        </w:rPr>
        <w:t xml:space="preserve"> que je ne saisis pas bien, </w:t>
      </w:r>
      <w:r w:rsidRPr="00B97612">
        <w:rPr>
          <w:sz w:val="22"/>
          <w:u w:val="single"/>
        </w:rPr>
        <w:t>mais effectivement, un projet blockchain de plus de cinq mégawatts (5</w:t>
      </w:r>
      <w:r w:rsidR="006F0762">
        <w:rPr>
          <w:sz w:val="22"/>
          <w:u w:val="single"/>
        </w:rPr>
        <w:t> </w:t>
      </w:r>
      <w:r w:rsidRPr="00B97612">
        <w:rPr>
          <w:sz w:val="22"/>
          <w:u w:val="single"/>
        </w:rPr>
        <w:t>MW) passerait à travers le processus de sélection en remplissant le formulaire</w:t>
      </w:r>
      <w:r w:rsidRPr="009C27A0">
        <w:rPr>
          <w:sz w:val="22"/>
        </w:rPr>
        <w:t>.</w:t>
      </w:r>
      <w:r w:rsidR="009847D1">
        <w:rPr>
          <w:sz w:val="22"/>
        </w:rPr>
        <w:t>’</w:t>
      </w:r>
    </w:p>
    <w:tbl>
      <w:tblPr>
        <w:tblW w:w="8958" w:type="dxa"/>
        <w:tblInd w:w="648" w:type="dxa"/>
        <w:tblLook w:val="00A0" w:firstRow="1" w:lastRow="0" w:firstColumn="1" w:lastColumn="0" w:noHBand="0" w:noVBand="0"/>
      </w:tblPr>
      <w:tblGrid>
        <w:gridCol w:w="7272"/>
        <w:gridCol w:w="1686"/>
      </w:tblGrid>
      <w:tr w:rsidR="009B4317" w:rsidRPr="00726152" w14:paraId="0D8CB5C6" w14:textId="77777777" w:rsidTr="009025F6">
        <w:tc>
          <w:tcPr>
            <w:tcW w:w="7272" w:type="dxa"/>
          </w:tcPr>
          <w:p w14:paraId="099CAC09" w14:textId="764A25D9" w:rsidR="009B4317" w:rsidRPr="00726152" w:rsidRDefault="009B4317" w:rsidP="009025F6">
            <w:pPr>
              <w:spacing w:before="120" w:after="12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du 12</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juin</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2023, aux p.</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261 et 262.</w:t>
            </w:r>
          </w:p>
        </w:tc>
        <w:tc>
          <w:tcPr>
            <w:tcW w:w="1686" w:type="dxa"/>
            <w:vAlign w:val="bottom"/>
          </w:tcPr>
          <w:p w14:paraId="5A80781C" w14:textId="77777777" w:rsidR="009B4317" w:rsidRPr="00726152" w:rsidRDefault="009B4317" w:rsidP="00E731DA">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A-0051</w:t>
            </w:r>
          </w:p>
        </w:tc>
      </w:tr>
    </w:tbl>
    <w:p w14:paraId="52C49251" w14:textId="1B6B988B" w:rsidR="009B4317" w:rsidRDefault="009B4317" w:rsidP="00F1699A">
      <w:pPr>
        <w:pStyle w:val="NumA1"/>
      </w:pPr>
      <w:r>
        <w:lastRenderedPageBreak/>
        <w:t>Selon la Loi</w:t>
      </w:r>
      <w:r w:rsidR="009847D1">
        <w:t> </w:t>
      </w:r>
      <w:r>
        <w:t>2</w:t>
      </w:r>
      <w:r w:rsidR="00657EFA">
        <w:t xml:space="preserve"> et comme ça a </w:t>
      </w:r>
      <w:r>
        <w:t>d’ailleurs été confirmé par le Distributeur, la décision d’autoriser la distribution d’électricité découlant d’une demande de puissance de 5</w:t>
      </w:r>
      <w:r w:rsidR="006F0762">
        <w:t> </w:t>
      </w:r>
      <w:r>
        <w:t>MW et plus constitue une décision ministérielle, donc une décision politique</w:t>
      </w:r>
      <w:r w:rsidR="009847D1">
        <w:t> </w:t>
      </w:r>
      <w:r>
        <w:t>:</w:t>
      </w:r>
    </w:p>
    <w:p w14:paraId="5A2E07B7" w14:textId="17AAD05F" w:rsidR="009B4317" w:rsidRPr="00BB0A8F" w:rsidRDefault="009B4317" w:rsidP="009B4317">
      <w:pPr>
        <w:pStyle w:val="ParaNum11"/>
        <w:numPr>
          <w:ilvl w:val="0"/>
          <w:numId w:val="0"/>
        </w:numPr>
        <w:ind w:left="1440" w:right="720"/>
        <w:rPr>
          <w:sz w:val="22"/>
        </w:rPr>
      </w:pPr>
      <w:r w:rsidRPr="00BB0A8F">
        <w:rPr>
          <w:sz w:val="22"/>
        </w:rPr>
        <w:t>«</w:t>
      </w:r>
      <w:r w:rsidR="006F0762">
        <w:rPr>
          <w:sz w:val="22"/>
        </w:rPr>
        <w:t> </w:t>
      </w:r>
      <w:r w:rsidRPr="00BB0A8F">
        <w:rPr>
          <w:sz w:val="22"/>
        </w:rPr>
        <w:t xml:space="preserve">Nous comprenons également que la dernière étape de cette procédure avant le raccordement est une décision ministérielle, donc </w:t>
      </w:r>
      <w:r w:rsidRPr="00BB0A8F">
        <w:rPr>
          <w:sz w:val="22"/>
          <w:u w:val="single"/>
        </w:rPr>
        <w:t>le choix de raccorder le projet ou pas est une décision politique</w:t>
      </w:r>
      <w:r w:rsidRPr="00BB0A8F">
        <w:rPr>
          <w:sz w:val="22"/>
        </w:rPr>
        <w:t xml:space="preserve">? </w:t>
      </w:r>
    </w:p>
    <w:p w14:paraId="32EACC9A" w14:textId="542E5E10" w:rsidR="009B4317" w:rsidRDefault="009B4317" w:rsidP="009B4317">
      <w:pPr>
        <w:pStyle w:val="ParaNum11"/>
        <w:numPr>
          <w:ilvl w:val="0"/>
          <w:numId w:val="0"/>
        </w:numPr>
        <w:ind w:left="1440" w:right="720"/>
        <w:rPr>
          <w:sz w:val="22"/>
        </w:rPr>
      </w:pPr>
      <w:r w:rsidRPr="00BB0A8F">
        <w:rPr>
          <w:sz w:val="22"/>
        </w:rPr>
        <w:t xml:space="preserve">R. </w:t>
      </w:r>
      <w:r w:rsidRPr="00BB0A8F">
        <w:rPr>
          <w:sz w:val="22"/>
          <w:u w:val="single"/>
        </w:rPr>
        <w:t>Exact</w:t>
      </w:r>
      <w:r w:rsidRPr="00BB0A8F">
        <w:rPr>
          <w:sz w:val="22"/>
        </w:rPr>
        <w:t>.</w:t>
      </w:r>
      <w:r w:rsidR="006F0762">
        <w:rPr>
          <w:sz w:val="22"/>
        </w:rPr>
        <w:t> </w:t>
      </w:r>
      <w:r w:rsidRPr="00BB0A8F">
        <w:rPr>
          <w:sz w:val="22"/>
        </w:rPr>
        <w:t>»</w:t>
      </w:r>
    </w:p>
    <w:tbl>
      <w:tblPr>
        <w:tblW w:w="8958" w:type="dxa"/>
        <w:tblInd w:w="648" w:type="dxa"/>
        <w:tblLook w:val="00A0" w:firstRow="1" w:lastRow="0" w:firstColumn="1" w:lastColumn="0" w:noHBand="0" w:noVBand="0"/>
      </w:tblPr>
      <w:tblGrid>
        <w:gridCol w:w="7092"/>
        <w:gridCol w:w="1866"/>
      </w:tblGrid>
      <w:tr w:rsidR="009B4317" w:rsidRPr="00726152" w14:paraId="5719A594" w14:textId="77777777" w:rsidTr="009025F6">
        <w:tc>
          <w:tcPr>
            <w:tcW w:w="7092" w:type="dxa"/>
          </w:tcPr>
          <w:p w14:paraId="74B7F09B" w14:textId="746A8E30" w:rsidR="009B4317" w:rsidRPr="00726152" w:rsidRDefault="009B4317" w:rsidP="00E731DA">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du 12</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juin</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2023, page</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261.</w:t>
            </w:r>
          </w:p>
        </w:tc>
        <w:tc>
          <w:tcPr>
            <w:tcW w:w="1866" w:type="dxa"/>
            <w:vAlign w:val="bottom"/>
          </w:tcPr>
          <w:p w14:paraId="4F966125" w14:textId="77777777" w:rsidR="009B4317" w:rsidRPr="00726152" w:rsidRDefault="009B4317" w:rsidP="00E731DA">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A-0051</w:t>
            </w:r>
          </w:p>
        </w:tc>
      </w:tr>
      <w:tr w:rsidR="00F05C88" w:rsidRPr="00726152" w14:paraId="784E3C37" w14:textId="77777777" w:rsidTr="009025F6">
        <w:tc>
          <w:tcPr>
            <w:tcW w:w="7092" w:type="dxa"/>
          </w:tcPr>
          <w:p w14:paraId="28B5EE50" w14:textId="257F3FB7" w:rsidR="00F05C88" w:rsidRDefault="001B2197" w:rsidP="00F05C88">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du 20 juin 2023, à la p. 152, lignes 24 à 24, à la p. 153 et à la p. 154, lignes 1 à 8.</w:t>
            </w:r>
          </w:p>
        </w:tc>
        <w:tc>
          <w:tcPr>
            <w:tcW w:w="1866" w:type="dxa"/>
            <w:vAlign w:val="bottom"/>
          </w:tcPr>
          <w:p w14:paraId="668430BA" w14:textId="0F969F3D" w:rsidR="00F05C88" w:rsidRDefault="00F05C88" w:rsidP="00F05C88">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bCs/>
                <w:color w:val="000000"/>
                <w:szCs w:val="24"/>
              </w:rPr>
              <w:t>A-00</w:t>
            </w:r>
            <w:r w:rsidR="00882BF2">
              <w:rPr>
                <w:rFonts w:ascii="Times New Roman" w:eastAsia="Times New Roman" w:hAnsi="Times New Roman" w:cs="Times New Roman"/>
                <w:b/>
                <w:bCs/>
                <w:color w:val="000000"/>
                <w:szCs w:val="24"/>
              </w:rPr>
              <w:t>60</w:t>
            </w:r>
          </w:p>
        </w:tc>
      </w:tr>
    </w:tbl>
    <w:p w14:paraId="0DF1F024" w14:textId="2E3DF493" w:rsidR="009B4317" w:rsidRDefault="00657EFA" w:rsidP="00F1699A">
      <w:pPr>
        <w:pStyle w:val="NumA1"/>
      </w:pPr>
      <w:r>
        <w:t>HIVE</w:t>
      </w:r>
      <w:r w:rsidR="009B4317">
        <w:t xml:space="preserve"> soumet que le maintien du Solde du Bloc réservé n’impacte nullement le processus sous ces nouvelles exigences. Les clients du Tarif CB peuvent participer au processus d’allocation, tout en ayant un bloc d’électricité qui leur est réservé. Il revient alors au ministre de décider des projets les plus adéquats pour bénéficier du raccordement; </w:t>
      </w:r>
    </w:p>
    <w:p w14:paraId="15965299" w14:textId="73513D1C" w:rsidR="009B4317" w:rsidRDefault="009B4317" w:rsidP="00F1699A">
      <w:pPr>
        <w:pStyle w:val="NumA1"/>
      </w:pPr>
      <w:r>
        <w:t>Si le ministre décide d’aller de l’avant avec un projet d’un client CB selon les prescriptions de la Loi</w:t>
      </w:r>
      <w:r w:rsidR="009847D1">
        <w:t> </w:t>
      </w:r>
      <w:r>
        <w:t>2, il autorise la puissance demandée et cette consommation par le client constitue nécessairement de la «</w:t>
      </w:r>
      <w:r w:rsidR="006F0762">
        <w:t> </w:t>
      </w:r>
      <w:r>
        <w:t>puissance autorisée</w:t>
      </w:r>
      <w:r w:rsidR="006F0762">
        <w:t> </w:t>
      </w:r>
      <w:r>
        <w:t xml:space="preserve">». Or, selon le cadre </w:t>
      </w:r>
      <w:r w:rsidR="009025F6">
        <w:t>réglementaire</w:t>
      </w:r>
      <w:r>
        <w:t xml:space="preserve"> actuel, ce client deviendr</w:t>
      </w:r>
      <w:r w:rsidRPr="009243DB">
        <w:t>ait assujetti au tarif dissuasif</w:t>
      </w:r>
      <w:r>
        <w:t>, compte tenu de l’application de l’article</w:t>
      </w:r>
      <w:r w:rsidR="009847D1">
        <w:t> </w:t>
      </w:r>
      <w:r>
        <w:t>7.2 des Tarifs du Distributeur et de la définition de «</w:t>
      </w:r>
      <w:r w:rsidR="006F0762">
        <w:t> </w:t>
      </w:r>
      <w:r>
        <w:t>puissance autorisée</w:t>
      </w:r>
      <w:r w:rsidR="006F0762">
        <w:t> </w:t>
      </w:r>
      <w:r>
        <w:t>», ce qui c</w:t>
      </w:r>
      <w:r w:rsidRPr="009243DB">
        <w:t>ontredi</w:t>
      </w:r>
      <w:r>
        <w:t>rait</w:t>
      </w:r>
      <w:r w:rsidRPr="009243DB">
        <w:t xml:space="preserve"> </w:t>
      </w:r>
      <w:r>
        <w:t xml:space="preserve">directement </w:t>
      </w:r>
      <w:r w:rsidRPr="009243DB">
        <w:t xml:space="preserve">les décisions </w:t>
      </w:r>
      <w:r>
        <w:t>rendues dans le dossier</w:t>
      </w:r>
      <w:r w:rsidR="009847D1">
        <w:t> </w:t>
      </w:r>
      <w:r>
        <w:t>R-</w:t>
      </w:r>
      <w:r w:rsidRPr="009243DB">
        <w:t>4045</w:t>
      </w:r>
      <w:r>
        <w:t>-2018.</w:t>
      </w:r>
    </w:p>
    <w:p w14:paraId="42EB6FEE" w14:textId="0C4E3C1F" w:rsidR="009B4317" w:rsidRDefault="009B4317" w:rsidP="00F1699A">
      <w:pPr>
        <w:pStyle w:val="NumA1"/>
      </w:pPr>
      <w:r>
        <w:t>Rappelons ici la définition de «</w:t>
      </w:r>
      <w:r w:rsidR="006F0762">
        <w:t> </w:t>
      </w:r>
      <w:r>
        <w:t>puissance autorisée</w:t>
      </w:r>
      <w:r w:rsidR="006F0762">
        <w:t> </w:t>
      </w:r>
      <w:r>
        <w:t>» prévue à l’article</w:t>
      </w:r>
      <w:r w:rsidR="009847D1">
        <w:t> </w:t>
      </w:r>
      <w:r>
        <w:t>7.2 des Tarifs du Distributeur</w:t>
      </w:r>
      <w:r w:rsidR="009847D1">
        <w:t> </w:t>
      </w:r>
      <w:r>
        <w:t>:</w:t>
      </w:r>
    </w:p>
    <w:p w14:paraId="5D31C7B7" w14:textId="5252918F" w:rsidR="009B4317" w:rsidRPr="00C748DF" w:rsidRDefault="009847D1" w:rsidP="009B4317">
      <w:pPr>
        <w:pStyle w:val="ParaNum11"/>
        <w:numPr>
          <w:ilvl w:val="0"/>
          <w:numId w:val="0"/>
        </w:numPr>
        <w:ind w:left="1440" w:right="720"/>
        <w:rPr>
          <w:sz w:val="22"/>
        </w:rPr>
      </w:pPr>
      <w:r>
        <w:t>‘</w:t>
      </w:r>
      <w:r w:rsidR="009B4317" w:rsidRPr="00C748DF">
        <w:rPr>
          <w:sz w:val="22"/>
          <w:u w:val="single"/>
        </w:rPr>
        <w:t>«</w:t>
      </w:r>
      <w:r w:rsidR="006F0762">
        <w:rPr>
          <w:sz w:val="22"/>
          <w:u w:val="single"/>
        </w:rPr>
        <w:t> </w:t>
      </w:r>
      <w:r w:rsidR="009B4317" w:rsidRPr="00C748DF">
        <w:rPr>
          <w:sz w:val="22"/>
          <w:u w:val="single"/>
        </w:rPr>
        <w:t>puissance autorisée</w:t>
      </w:r>
      <w:r w:rsidR="006F0762">
        <w:rPr>
          <w:sz w:val="22"/>
          <w:u w:val="single"/>
        </w:rPr>
        <w:t> </w:t>
      </w:r>
      <w:r w:rsidR="009B4317" w:rsidRPr="00C748DF">
        <w:rPr>
          <w:sz w:val="22"/>
          <w:u w:val="single"/>
        </w:rPr>
        <w:t>»</w:t>
      </w:r>
      <w:r>
        <w:rPr>
          <w:sz w:val="22"/>
          <w:u w:val="single"/>
        </w:rPr>
        <w:t> </w:t>
      </w:r>
      <w:r w:rsidR="009B4317" w:rsidRPr="00C748DF">
        <w:rPr>
          <w:sz w:val="22"/>
          <w:u w:val="single"/>
        </w:rPr>
        <w:t>: une valeur, exprimée en kilowatts, qui correspond à l’une des valeurs suivantes</w:t>
      </w:r>
      <w:r>
        <w:rPr>
          <w:sz w:val="22"/>
        </w:rPr>
        <w:t> </w:t>
      </w:r>
      <w:r w:rsidR="009B4317" w:rsidRPr="00C748DF">
        <w:rPr>
          <w:sz w:val="22"/>
        </w:rPr>
        <w:t xml:space="preserve">: </w:t>
      </w:r>
    </w:p>
    <w:p w14:paraId="59C7918B" w14:textId="40D18E61" w:rsidR="009B4317" w:rsidRPr="00C748DF" w:rsidRDefault="009B4317" w:rsidP="009B4317">
      <w:pPr>
        <w:pStyle w:val="ParaNum11"/>
        <w:numPr>
          <w:ilvl w:val="0"/>
          <w:numId w:val="0"/>
        </w:numPr>
        <w:ind w:left="1440" w:right="720"/>
        <w:rPr>
          <w:sz w:val="22"/>
        </w:rPr>
      </w:pPr>
      <w:r w:rsidRPr="00C748DF">
        <w:rPr>
          <w:sz w:val="22"/>
        </w:rPr>
        <w:t>a) la puissance maximale appelée enregistrée entre le début de la période de consommation comprenant le 1er</w:t>
      </w:r>
      <w:r w:rsidR="009847D1">
        <w:rPr>
          <w:sz w:val="22"/>
        </w:rPr>
        <w:t> </w:t>
      </w:r>
      <w:r w:rsidRPr="00C748DF">
        <w:rPr>
          <w:sz w:val="22"/>
        </w:rPr>
        <w:t>janvier</w:t>
      </w:r>
      <w:r w:rsidR="009847D1">
        <w:rPr>
          <w:sz w:val="22"/>
        </w:rPr>
        <w:t> </w:t>
      </w:r>
      <w:r w:rsidRPr="00C748DF">
        <w:rPr>
          <w:sz w:val="22"/>
        </w:rPr>
        <w:t>2018 et la fin de la période de consommation comprenant le 7</w:t>
      </w:r>
      <w:r w:rsidR="009847D1">
        <w:rPr>
          <w:sz w:val="22"/>
        </w:rPr>
        <w:t> </w:t>
      </w:r>
      <w:r w:rsidRPr="00C748DF">
        <w:rPr>
          <w:sz w:val="22"/>
        </w:rPr>
        <w:t>juin</w:t>
      </w:r>
      <w:r w:rsidR="009847D1">
        <w:rPr>
          <w:sz w:val="22"/>
        </w:rPr>
        <w:t> </w:t>
      </w:r>
      <w:r w:rsidRPr="00C748DF">
        <w:rPr>
          <w:sz w:val="22"/>
        </w:rPr>
        <w:t xml:space="preserve">2018, ou </w:t>
      </w:r>
    </w:p>
    <w:p w14:paraId="58276812" w14:textId="118360E6" w:rsidR="009B4317" w:rsidRPr="00C748DF" w:rsidRDefault="009B4317" w:rsidP="009B4317">
      <w:pPr>
        <w:pStyle w:val="ParaNum11"/>
        <w:numPr>
          <w:ilvl w:val="0"/>
          <w:numId w:val="0"/>
        </w:numPr>
        <w:ind w:left="1440" w:right="720"/>
        <w:rPr>
          <w:sz w:val="22"/>
        </w:rPr>
      </w:pPr>
      <w:r w:rsidRPr="00C748DF">
        <w:rPr>
          <w:sz w:val="22"/>
        </w:rPr>
        <w:t>b) la puissance disponible pour un usage cryptographique appliqué aux chaînes de blocs au point de raccordement confirmée par écrit au client par Hydro‑Québec et acceptée par écrit par le client avant le 7</w:t>
      </w:r>
      <w:r w:rsidR="009847D1">
        <w:rPr>
          <w:sz w:val="22"/>
        </w:rPr>
        <w:t> </w:t>
      </w:r>
      <w:r w:rsidRPr="00C748DF">
        <w:rPr>
          <w:sz w:val="22"/>
        </w:rPr>
        <w:t>juin</w:t>
      </w:r>
      <w:r w:rsidR="009847D1">
        <w:rPr>
          <w:sz w:val="22"/>
        </w:rPr>
        <w:t> </w:t>
      </w:r>
      <w:r w:rsidRPr="00C748DF">
        <w:rPr>
          <w:sz w:val="22"/>
        </w:rPr>
        <w:t xml:space="preserve">2018, ou </w:t>
      </w:r>
    </w:p>
    <w:p w14:paraId="7AD06DED" w14:textId="77777777" w:rsidR="009B4317" w:rsidRPr="00C748DF" w:rsidRDefault="009B4317" w:rsidP="009B4317">
      <w:pPr>
        <w:pStyle w:val="ParaNum11"/>
        <w:numPr>
          <w:ilvl w:val="0"/>
          <w:numId w:val="0"/>
        </w:numPr>
        <w:ind w:left="1440" w:right="720"/>
        <w:rPr>
          <w:sz w:val="22"/>
        </w:rPr>
      </w:pPr>
      <w:r w:rsidRPr="00C748DF">
        <w:rPr>
          <w:sz w:val="22"/>
        </w:rPr>
        <w:t xml:space="preserve">c) la puissance installée faisant l’objet d’une entente de raccordement conclue avec Hydro‑Québec par un client retenu au terme d’un appel de propositions, ou </w:t>
      </w:r>
    </w:p>
    <w:p w14:paraId="291612D0" w14:textId="79118AD1" w:rsidR="009B4317" w:rsidRDefault="009B4317" w:rsidP="009B4317">
      <w:pPr>
        <w:pStyle w:val="ParaNum11"/>
        <w:numPr>
          <w:ilvl w:val="0"/>
          <w:numId w:val="0"/>
        </w:numPr>
        <w:ind w:left="1440" w:right="720"/>
      </w:pPr>
      <w:r w:rsidRPr="00C748DF">
        <w:rPr>
          <w:sz w:val="22"/>
        </w:rPr>
        <w:t xml:space="preserve">d) </w:t>
      </w:r>
      <w:r w:rsidRPr="00C748DF">
        <w:rPr>
          <w:sz w:val="22"/>
          <w:u w:val="single"/>
        </w:rPr>
        <w:t>la puissance installée faisant l’objet d’une attribution définitive dans le cadre du processus d’attribution du solde du bloc réservé, conformément aux Conditions de service d’Hydro‑Québec</w:t>
      </w:r>
      <w:r w:rsidRPr="00C748DF">
        <w:rPr>
          <w:sz w:val="22"/>
        </w:rPr>
        <w:t>.</w:t>
      </w:r>
      <w:r w:rsidR="009847D1">
        <w:rPr>
          <w:sz w:val="22"/>
        </w:rPr>
        <w:t>’</w:t>
      </w:r>
    </w:p>
    <w:p w14:paraId="4EDC76D3" w14:textId="6B5A0497" w:rsidR="009B4317" w:rsidRDefault="009B4317" w:rsidP="00F1699A">
      <w:pPr>
        <w:pStyle w:val="NumA1"/>
      </w:pPr>
      <w:r>
        <w:lastRenderedPageBreak/>
        <w:t>Rappelons également la position de la Régie adoptée dans le dossier</w:t>
      </w:r>
      <w:r w:rsidR="009847D1">
        <w:t> </w:t>
      </w:r>
      <w:r>
        <w:t>R-4045-2018 quant aux objectifs poursuivis par l’adoption du tarif dissuasif</w:t>
      </w:r>
      <w:r w:rsidR="009847D1">
        <w:t> </w:t>
      </w:r>
      <w:r>
        <w:t>:</w:t>
      </w:r>
    </w:p>
    <w:p w14:paraId="7AC75E81" w14:textId="079CD51E" w:rsidR="009B4317" w:rsidRPr="007B2ACD" w:rsidRDefault="009847D1" w:rsidP="009B4317">
      <w:pPr>
        <w:pStyle w:val="ParaNum11"/>
        <w:numPr>
          <w:ilvl w:val="0"/>
          <w:numId w:val="0"/>
        </w:numPr>
        <w:ind w:left="1440" w:right="720"/>
        <w:rPr>
          <w:sz w:val="22"/>
        </w:rPr>
      </w:pPr>
      <w:r>
        <w:rPr>
          <w:sz w:val="22"/>
        </w:rPr>
        <w:t>‘</w:t>
      </w:r>
      <w:r w:rsidR="009B4317" w:rsidRPr="007B2ACD">
        <w:rPr>
          <w:sz w:val="22"/>
        </w:rPr>
        <w:t xml:space="preserve">[377] </w:t>
      </w:r>
      <w:r w:rsidR="009B4317" w:rsidRPr="007B2ACD">
        <w:rPr>
          <w:sz w:val="22"/>
          <w:u w:val="single"/>
        </w:rPr>
        <w:t>En ce qui a trait à l’adoption du tarif dissuasif proposé par le Distributeur</w:t>
      </w:r>
      <w:r w:rsidR="009B4317" w:rsidRPr="007B2ACD">
        <w:rPr>
          <w:sz w:val="22"/>
        </w:rPr>
        <w:t xml:space="preserve">, la Régie juge qu’il est nécessaire de limiter la demande d’électricité pour usage cryptographique appliqué aux chaînes de blocs. Pour ce faire, </w:t>
      </w:r>
      <w:r w:rsidR="009B4317" w:rsidRPr="007B2ACD">
        <w:rPr>
          <w:sz w:val="22"/>
          <w:u w:val="single"/>
        </w:rPr>
        <w:t>le tarif applicable à toute consommation au-delà de ce qui est autorisée se doit d’être suffisamment élevé</w:t>
      </w:r>
      <w:r w:rsidR="009B4317" w:rsidRPr="007B2ACD">
        <w:rPr>
          <w:sz w:val="22"/>
        </w:rPr>
        <w:t xml:space="preserve">. </w:t>
      </w:r>
    </w:p>
    <w:p w14:paraId="4D81839B" w14:textId="1E35689E" w:rsidR="009B4317" w:rsidRPr="007B2ACD" w:rsidRDefault="009B4317" w:rsidP="009B4317">
      <w:pPr>
        <w:pStyle w:val="ParaNum11"/>
        <w:numPr>
          <w:ilvl w:val="0"/>
          <w:numId w:val="0"/>
        </w:numPr>
        <w:ind w:left="1440" w:right="720"/>
        <w:rPr>
          <w:sz w:val="22"/>
        </w:rPr>
      </w:pPr>
      <w:r w:rsidRPr="007B2ACD">
        <w:rPr>
          <w:sz w:val="22"/>
        </w:rPr>
        <w:t xml:space="preserve">[378] La Régie convient avec Bitfarms qu’une conséquence prévisible d’un tarif de 15 ¢/kWh pour la composante énergie serait l’annulation de projets de chaînes de </w:t>
      </w:r>
      <w:r w:rsidRPr="007B2ACD">
        <w:rPr>
          <w:sz w:val="22"/>
          <w:u w:val="single"/>
        </w:rPr>
        <w:t>blocs non autorisés dans le cadre des mesures mises en place au présent dossier.</w:t>
      </w:r>
      <w:r w:rsidRPr="007B2ACD">
        <w:rPr>
          <w:sz w:val="22"/>
        </w:rPr>
        <w:t xml:space="preserve"> Le Régie souligne qu’il s’agit précisément du but recherché, soit de contenir l’obligation de desservir prévue à l’article</w:t>
      </w:r>
      <w:r w:rsidR="009847D1">
        <w:rPr>
          <w:sz w:val="22"/>
        </w:rPr>
        <w:t> </w:t>
      </w:r>
      <w:r w:rsidRPr="007B2ACD">
        <w:rPr>
          <w:sz w:val="22"/>
        </w:rPr>
        <w:t xml:space="preserve">76 de la Loi.  </w:t>
      </w:r>
    </w:p>
    <w:p w14:paraId="7CA2BE2D" w14:textId="51588B64" w:rsidR="009B4317" w:rsidRDefault="009B4317" w:rsidP="009B4317">
      <w:pPr>
        <w:pStyle w:val="ParaNum11"/>
        <w:numPr>
          <w:ilvl w:val="0"/>
          <w:numId w:val="0"/>
        </w:numPr>
        <w:ind w:left="1440" w:right="720"/>
        <w:rPr>
          <w:sz w:val="22"/>
        </w:rPr>
      </w:pPr>
      <w:r w:rsidRPr="007B2ACD">
        <w:rPr>
          <w:sz w:val="22"/>
        </w:rPr>
        <w:t xml:space="preserve">[379] Pour ces motifs, </w:t>
      </w:r>
      <w:r w:rsidRPr="007B2ACD">
        <w:rPr>
          <w:b/>
          <w:bCs/>
          <w:sz w:val="22"/>
          <w:u w:val="single"/>
        </w:rPr>
        <w:t>la Régie fixe à 15 ¢/kWh la consommation de la composante énergie pour toute consommation non autorisée dans le cadre de l’octroi du bloc d’énergie de 300</w:t>
      </w:r>
      <w:r w:rsidR="006F0762">
        <w:rPr>
          <w:b/>
          <w:bCs/>
          <w:sz w:val="22"/>
          <w:u w:val="single"/>
        </w:rPr>
        <w:t> </w:t>
      </w:r>
      <w:r w:rsidRPr="007B2ACD">
        <w:rPr>
          <w:b/>
          <w:bCs/>
          <w:sz w:val="22"/>
          <w:u w:val="single"/>
        </w:rPr>
        <w:t>MW, ou non autorisée dans le cadre des abonnements existants du Distributeur</w:t>
      </w:r>
      <w:r w:rsidRPr="007B2ACD">
        <w:rPr>
          <w:sz w:val="22"/>
        </w:rPr>
        <w:t xml:space="preserve"> et des réseaux municipaux, ainsi que pour toute substitution d’usage ou accroissement de puissance pour usage cryptographique appliqué aux chaînes de blocs au-delà des charges autorisées.</w:t>
      </w:r>
      <w:r w:rsidR="009847D1">
        <w:rPr>
          <w:sz w:val="22"/>
        </w:rPr>
        <w:t>’</w:t>
      </w:r>
    </w:p>
    <w:p w14:paraId="0A66C1A2" w14:textId="77777777" w:rsidR="009B4317" w:rsidRDefault="009B4317" w:rsidP="009B4317">
      <w:pPr>
        <w:pStyle w:val="ParaNum11"/>
        <w:numPr>
          <w:ilvl w:val="0"/>
          <w:numId w:val="0"/>
        </w:numPr>
        <w:ind w:left="1440" w:right="720"/>
        <w:jc w:val="right"/>
      </w:pPr>
      <w:r>
        <w:rPr>
          <w:sz w:val="22"/>
        </w:rPr>
        <w:t>[Nous soulignons]</w:t>
      </w:r>
    </w:p>
    <w:p w14:paraId="231F0BF1" w14:textId="0B9BDBD1" w:rsidR="009B4317" w:rsidRPr="00ED6101" w:rsidRDefault="009B4317" w:rsidP="00F1699A">
      <w:pPr>
        <w:pStyle w:val="NumA1"/>
      </w:pPr>
      <w:r>
        <w:t>Lors de l’audience du 13</w:t>
      </w:r>
      <w:r w:rsidR="009847D1">
        <w:t> </w:t>
      </w:r>
      <w:r>
        <w:t>juin</w:t>
      </w:r>
      <w:r w:rsidR="009847D1">
        <w:t> </w:t>
      </w:r>
      <w:r>
        <w:t xml:space="preserve">2023, le Distributeur a été questionné quant à l’application du tarif dissuasif de </w:t>
      </w:r>
      <w:r w:rsidRPr="00ED6101">
        <w:t>15 ¢/kWh</w:t>
      </w:r>
      <w:r>
        <w:t xml:space="preserve"> à une demande de raccordement de plus 5</w:t>
      </w:r>
      <w:r w:rsidR="006F0762">
        <w:t> </w:t>
      </w:r>
      <w:r>
        <w:t>MW déposée par un client assujetti au Tarif CB et autorisé par le ministre. À la lumière de la réponse donnée, il semble évident que la confusion est complète</w:t>
      </w:r>
      <w:r w:rsidR="009847D1">
        <w:t> </w:t>
      </w:r>
      <w:r>
        <w:t>:</w:t>
      </w:r>
    </w:p>
    <w:p w14:paraId="7919D6D8" w14:textId="17FF8CE9" w:rsidR="009B4317" w:rsidRPr="00ED6101" w:rsidRDefault="009847D1" w:rsidP="009B4317">
      <w:pPr>
        <w:pStyle w:val="ParaNum11"/>
        <w:numPr>
          <w:ilvl w:val="0"/>
          <w:numId w:val="0"/>
        </w:numPr>
        <w:ind w:left="1440" w:right="720"/>
        <w:rPr>
          <w:sz w:val="22"/>
        </w:rPr>
      </w:pPr>
      <w:r>
        <w:rPr>
          <w:sz w:val="22"/>
        </w:rPr>
        <w:t>‘</w:t>
      </w:r>
      <w:r w:rsidR="009B4317" w:rsidRPr="00ED6101">
        <w:rPr>
          <w:sz w:val="22"/>
        </w:rPr>
        <w:t>[197] O.K., O.K. Écoutez, je crois comprendre ce que vous me dites, c'est que si dans</w:t>
      </w:r>
      <w:r>
        <w:rPr>
          <w:sz w:val="22"/>
        </w:rPr>
        <w:t>…</w:t>
      </w:r>
      <w:r w:rsidR="009B4317" w:rsidRPr="00ED6101">
        <w:rPr>
          <w:sz w:val="22"/>
        </w:rPr>
        <w:t xml:space="preserve"> dans le cas que vous aviez mentionné, qui a fait l'objet des questions-réponses d'hier, que je viens de montrer, que </w:t>
      </w:r>
      <w:r w:rsidR="009B4317" w:rsidRPr="00ED6101">
        <w:rPr>
          <w:sz w:val="22"/>
          <w:u w:val="single"/>
        </w:rPr>
        <w:t>si le ministre autorisait un projet de plus que cinq mégawatts (5</w:t>
      </w:r>
      <w:r w:rsidR="006F0762">
        <w:rPr>
          <w:sz w:val="22"/>
          <w:u w:val="single"/>
        </w:rPr>
        <w:t> </w:t>
      </w:r>
      <w:r w:rsidR="009B4317" w:rsidRPr="00ED6101">
        <w:rPr>
          <w:sz w:val="22"/>
          <w:u w:val="single"/>
        </w:rPr>
        <w:t>mW) d'usage cryptographique, que dans ce cas, ce serait le tarif dissuasif qui s'appliquerait, donc il serait autorisé, mais il pourrait</w:t>
      </w:r>
      <w:r>
        <w:rPr>
          <w:sz w:val="22"/>
          <w:u w:val="single"/>
        </w:rPr>
        <w:t>…</w:t>
      </w:r>
      <w:r w:rsidR="009B4317" w:rsidRPr="00ED6101">
        <w:rPr>
          <w:sz w:val="22"/>
          <w:u w:val="single"/>
        </w:rPr>
        <w:t xml:space="preserve"> son tarif applicable serait le tarif dissuasif</w:t>
      </w:r>
      <w:r w:rsidR="009B4317" w:rsidRPr="00ED6101">
        <w:rPr>
          <w:sz w:val="22"/>
        </w:rPr>
        <w:t xml:space="preserve">? Est-ce que c'est ça le sens de vos propos? </w:t>
      </w:r>
    </w:p>
    <w:p w14:paraId="6F540272" w14:textId="765ED199" w:rsidR="009B4317" w:rsidRPr="00ED6101" w:rsidRDefault="009B4317" w:rsidP="009B4317">
      <w:pPr>
        <w:pStyle w:val="ParaNum11"/>
        <w:numPr>
          <w:ilvl w:val="0"/>
          <w:numId w:val="0"/>
        </w:numPr>
        <w:ind w:left="1440" w:right="720"/>
        <w:rPr>
          <w:sz w:val="22"/>
        </w:rPr>
      </w:pPr>
      <w:r w:rsidRPr="00ED6101">
        <w:rPr>
          <w:sz w:val="22"/>
        </w:rPr>
        <w:t>R. Bien, c’est</w:t>
      </w:r>
      <w:r w:rsidR="009847D1">
        <w:rPr>
          <w:sz w:val="22"/>
        </w:rPr>
        <w:t>…</w:t>
      </w:r>
      <w:r w:rsidRPr="00ED6101">
        <w:rPr>
          <w:sz w:val="22"/>
        </w:rPr>
        <w:t xml:space="preserve"> </w:t>
      </w:r>
    </w:p>
    <w:p w14:paraId="04EEB180" w14:textId="77777777" w:rsidR="009B4317" w:rsidRPr="00ED6101" w:rsidRDefault="009B4317" w:rsidP="009B4317">
      <w:pPr>
        <w:pStyle w:val="ParaNum11"/>
        <w:numPr>
          <w:ilvl w:val="0"/>
          <w:numId w:val="0"/>
        </w:numPr>
        <w:ind w:left="1440" w:right="720"/>
        <w:rPr>
          <w:sz w:val="22"/>
        </w:rPr>
      </w:pPr>
      <w:r w:rsidRPr="00ED6101">
        <w:rPr>
          <w:sz w:val="22"/>
        </w:rPr>
        <w:t xml:space="preserve">Q.[198] Pardon? </w:t>
      </w:r>
    </w:p>
    <w:p w14:paraId="541C2622" w14:textId="59CD0A20" w:rsidR="009B4317" w:rsidRDefault="009B4317" w:rsidP="009B4317">
      <w:pPr>
        <w:pStyle w:val="ParaNum11"/>
        <w:numPr>
          <w:ilvl w:val="0"/>
          <w:numId w:val="0"/>
        </w:numPr>
        <w:ind w:left="1440" w:right="720"/>
        <w:rPr>
          <w:sz w:val="22"/>
        </w:rPr>
      </w:pPr>
      <w:r w:rsidRPr="00ED6101">
        <w:rPr>
          <w:sz w:val="22"/>
        </w:rPr>
        <w:t xml:space="preserve">R. </w:t>
      </w:r>
      <w:r w:rsidRPr="00ED6101">
        <w:rPr>
          <w:sz w:val="22"/>
          <w:u w:val="single"/>
        </w:rPr>
        <w:t>C'est une possibilité. Je ne peux pas dire que ça soit la seule</w:t>
      </w:r>
      <w:r w:rsidRPr="00ED6101">
        <w:rPr>
          <w:sz w:val="22"/>
        </w:rPr>
        <w:t>. Puis il pourrait y avoir d'autres</w:t>
      </w:r>
      <w:r w:rsidR="009847D1">
        <w:rPr>
          <w:sz w:val="22"/>
        </w:rPr>
        <w:t>…</w:t>
      </w:r>
      <w:r w:rsidRPr="00ED6101">
        <w:rPr>
          <w:sz w:val="22"/>
        </w:rPr>
        <w:t xml:space="preserve"> d'autres déterminations</w:t>
      </w:r>
      <w:r w:rsidR="009847D1">
        <w:rPr>
          <w:sz w:val="22"/>
        </w:rPr>
        <w:t>…</w:t>
      </w:r>
      <w:r w:rsidRPr="00ED6101">
        <w:rPr>
          <w:sz w:val="22"/>
        </w:rPr>
        <w:t xml:space="preserve"> je</w:t>
      </w:r>
      <w:r w:rsidR="009847D1">
        <w:rPr>
          <w:sz w:val="22"/>
        </w:rPr>
        <w:t>…</w:t>
      </w:r>
      <w:r w:rsidRPr="00ED6101">
        <w:rPr>
          <w:sz w:val="22"/>
        </w:rPr>
        <w:t xml:space="preserve"> je ne sais pas</w:t>
      </w:r>
      <w:r w:rsidR="009847D1">
        <w:rPr>
          <w:sz w:val="22"/>
        </w:rPr>
        <w:t>…</w:t>
      </w:r>
      <w:r w:rsidRPr="00ED6101">
        <w:rPr>
          <w:sz w:val="22"/>
        </w:rPr>
        <w:t xml:space="preserve"> je ne connais pas toute la</w:t>
      </w:r>
      <w:r w:rsidR="009847D1">
        <w:rPr>
          <w:sz w:val="22"/>
        </w:rPr>
        <w:t>…</w:t>
      </w:r>
      <w:r w:rsidRPr="00ED6101">
        <w:rPr>
          <w:sz w:val="22"/>
        </w:rPr>
        <w:t xml:space="preserve"> </w:t>
      </w:r>
      <w:r w:rsidRPr="00BB422E">
        <w:rPr>
          <w:sz w:val="22"/>
          <w:u w:val="single"/>
        </w:rPr>
        <w:t>je ne pense pas qu'on soit en mesure à l’heure actuelle de se prononcer sur les décisions que pourrait prendre le gouvernement quant au tarif qui devrait être octroyé aux projets qu’il privilégierait dans tous les cas de figure</w:t>
      </w:r>
      <w:r w:rsidRPr="00ED6101">
        <w:rPr>
          <w:sz w:val="22"/>
        </w:rPr>
        <w:t xml:space="preserve">. Mais comme </w:t>
      </w:r>
      <w:r w:rsidRPr="00ED6101">
        <w:rPr>
          <w:sz w:val="22"/>
        </w:rPr>
        <w:lastRenderedPageBreak/>
        <w:t xml:space="preserve">je dis, c’est certainement une possibilité, à l’heure actuelle, dans le Tarif, pour les clients qui ne rencontrent pas les catégories qui sont énoncées, mais </w:t>
      </w:r>
      <w:r w:rsidRPr="00BB422E">
        <w:rPr>
          <w:sz w:val="22"/>
          <w:u w:val="single"/>
        </w:rPr>
        <w:t>je ne peux pas affirmer que ça serait la seule possibilité à l’issue du processus de sélection du gouvernement</w:t>
      </w:r>
      <w:r w:rsidRPr="00ED6101">
        <w:rPr>
          <w:sz w:val="22"/>
        </w:rPr>
        <w:t>.</w:t>
      </w:r>
      <w:r w:rsidR="009847D1">
        <w:rPr>
          <w:sz w:val="22"/>
        </w:rPr>
        <w:t>’</w:t>
      </w:r>
    </w:p>
    <w:p w14:paraId="56EFCDC0" w14:textId="77777777" w:rsidR="009B4317" w:rsidRDefault="009B4317" w:rsidP="009B4317">
      <w:pPr>
        <w:pStyle w:val="ParaNum11"/>
        <w:numPr>
          <w:ilvl w:val="0"/>
          <w:numId w:val="0"/>
        </w:numPr>
        <w:ind w:left="1440" w:right="720"/>
        <w:jc w:val="right"/>
        <w:rPr>
          <w:sz w:val="22"/>
        </w:rPr>
      </w:pPr>
      <w:r>
        <w:rPr>
          <w:sz w:val="22"/>
        </w:rPr>
        <w:t>[Nous soulignons]</w:t>
      </w:r>
    </w:p>
    <w:tbl>
      <w:tblPr>
        <w:tblW w:w="8958" w:type="dxa"/>
        <w:tblInd w:w="648" w:type="dxa"/>
        <w:tblLook w:val="00A0" w:firstRow="1" w:lastRow="0" w:firstColumn="1" w:lastColumn="0" w:noHBand="0" w:noVBand="0"/>
      </w:tblPr>
      <w:tblGrid>
        <w:gridCol w:w="7182"/>
        <w:gridCol w:w="1776"/>
      </w:tblGrid>
      <w:tr w:rsidR="009B4317" w:rsidRPr="00726152" w14:paraId="6059F942" w14:textId="77777777" w:rsidTr="009025F6">
        <w:tc>
          <w:tcPr>
            <w:tcW w:w="7182" w:type="dxa"/>
          </w:tcPr>
          <w:p w14:paraId="48B53210" w14:textId="637F4DBE" w:rsidR="009B4317" w:rsidRPr="00726152" w:rsidRDefault="009B4317" w:rsidP="00E731DA">
            <w:pPr>
              <w:spacing w:before="120" w:after="120" w:line="240" w:lineRule="auto"/>
              <w:ind w:left="72" w:firstLine="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Notes sténographiques du 13</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juin</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2023, page</w:t>
            </w:r>
            <w:r w:rsidR="009847D1">
              <w:rPr>
                <w:rFonts w:ascii="Times New Roman" w:eastAsia="Times New Roman" w:hAnsi="Times New Roman" w:cs="Times New Roman"/>
                <w:color w:val="000000"/>
                <w:szCs w:val="24"/>
              </w:rPr>
              <w:t> </w:t>
            </w:r>
            <w:r>
              <w:rPr>
                <w:rFonts w:ascii="Times New Roman" w:eastAsia="Times New Roman" w:hAnsi="Times New Roman" w:cs="Times New Roman"/>
                <w:color w:val="000000"/>
                <w:szCs w:val="24"/>
              </w:rPr>
              <w:t>162</w:t>
            </w:r>
          </w:p>
        </w:tc>
        <w:tc>
          <w:tcPr>
            <w:tcW w:w="1776" w:type="dxa"/>
            <w:vAlign w:val="bottom"/>
          </w:tcPr>
          <w:p w14:paraId="6A4E7E8E" w14:textId="77777777" w:rsidR="009B4317" w:rsidRPr="00726152" w:rsidRDefault="009B4317" w:rsidP="00E731DA">
            <w:pPr>
              <w:spacing w:before="120" w:after="120" w:line="240" w:lineRule="auto"/>
              <w:ind w:left="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A-0051</w:t>
            </w:r>
          </w:p>
        </w:tc>
      </w:tr>
    </w:tbl>
    <w:p w14:paraId="76BC337D" w14:textId="09D52AD0" w:rsidR="009B4317" w:rsidRDefault="009B4317" w:rsidP="00F1699A">
      <w:pPr>
        <w:pStyle w:val="NumA1"/>
      </w:pPr>
      <w:r>
        <w:t>Comme mentionné par la Régie dans la décision</w:t>
      </w:r>
      <w:r w:rsidR="009847D1">
        <w:t> </w:t>
      </w:r>
      <w:r>
        <w:t>D-2019-052, le tarif dissuasif est destiné à s’appliquer à une consommation non</w:t>
      </w:r>
      <w:r w:rsidR="009847D1">
        <w:t xml:space="preserve"> </w:t>
      </w:r>
      <w:r>
        <w:t>autorisée. Or, la puissance autorisée par le ministre ne peut être considérée comme de la puissance non</w:t>
      </w:r>
      <w:r w:rsidR="009847D1">
        <w:t xml:space="preserve"> </w:t>
      </w:r>
      <w:r>
        <w:t>autorisée.</w:t>
      </w:r>
    </w:p>
    <w:p w14:paraId="2D102C6F" w14:textId="1922179A" w:rsidR="009B4317" w:rsidRDefault="009B4317" w:rsidP="00F1699A">
      <w:pPr>
        <w:pStyle w:val="NumA1"/>
      </w:pPr>
      <w:r>
        <w:t xml:space="preserve">Dans les circonstances, </w:t>
      </w:r>
      <w:r w:rsidR="00657EFA">
        <w:t>HIVE</w:t>
      </w:r>
      <w:r>
        <w:t xml:space="preserve"> soumet qu’une modification à la définition de «</w:t>
      </w:r>
      <w:r w:rsidR="006F0762">
        <w:t> </w:t>
      </w:r>
      <w:r>
        <w:t>bloc réservé</w:t>
      </w:r>
      <w:r w:rsidR="006F0762">
        <w:t> </w:t>
      </w:r>
      <w:r>
        <w:t>» prévue à l’article</w:t>
      </w:r>
      <w:r w:rsidR="009847D1">
        <w:t> </w:t>
      </w:r>
      <w:r>
        <w:t>21.1 du Chapitre</w:t>
      </w:r>
      <w:r w:rsidR="009847D1">
        <w:t> </w:t>
      </w:r>
      <w:r>
        <w:t>21 des Conditions de service serait alors nécessaire afin de prévoir la procédure de délivrance d’une autorisation par le ministre en vertu de l’article</w:t>
      </w:r>
      <w:r w:rsidR="009847D1">
        <w:t> </w:t>
      </w:r>
      <w:r>
        <w:t>76, alinéa</w:t>
      </w:r>
      <w:r w:rsidR="009847D1">
        <w:t> </w:t>
      </w:r>
      <w:r>
        <w:t>2 de la LR</w:t>
      </w:r>
      <w:r w:rsidR="00F05C88">
        <w:t>E</w:t>
      </w:r>
      <w:r>
        <w:t>. La nouvelle définition du Bloc réservée serait la suivante</w:t>
      </w:r>
      <w:r w:rsidR="009847D1">
        <w:t> </w:t>
      </w:r>
      <w:r>
        <w:t xml:space="preserve">: </w:t>
      </w:r>
    </w:p>
    <w:p w14:paraId="60857910" w14:textId="6634929D" w:rsidR="009B4317" w:rsidRDefault="009847D1" w:rsidP="009B4317">
      <w:pPr>
        <w:pStyle w:val="ParaNum11"/>
        <w:numPr>
          <w:ilvl w:val="0"/>
          <w:numId w:val="0"/>
        </w:numPr>
        <w:ind w:left="1440" w:right="720"/>
      </w:pPr>
      <w:r>
        <w:rPr>
          <w:i/>
          <w:iCs/>
          <w:sz w:val="22"/>
        </w:rPr>
        <w:t>‘</w:t>
      </w:r>
      <w:r w:rsidR="009B4317">
        <w:rPr>
          <w:i/>
          <w:iCs/>
          <w:sz w:val="22"/>
        </w:rPr>
        <w:t>B</w:t>
      </w:r>
      <w:r w:rsidR="009B4317" w:rsidRPr="00A37C0E">
        <w:rPr>
          <w:i/>
          <w:iCs/>
          <w:sz w:val="22"/>
        </w:rPr>
        <w:t>loc réservé</w:t>
      </w:r>
      <w:r>
        <w:rPr>
          <w:i/>
          <w:iCs/>
          <w:sz w:val="22"/>
        </w:rPr>
        <w:t> </w:t>
      </w:r>
      <w:r w:rsidR="009B4317" w:rsidRPr="00A37C0E">
        <w:rPr>
          <w:i/>
          <w:iCs/>
          <w:sz w:val="22"/>
        </w:rPr>
        <w:t>: un bloc de 300 mégawatts (M W) de puissance et d’énergie associée destiné</w:t>
      </w:r>
      <w:r>
        <w:rPr>
          <w:i/>
          <w:iCs/>
          <w:sz w:val="22"/>
        </w:rPr>
        <w:t>e</w:t>
      </w:r>
      <w:r w:rsidR="009B4317" w:rsidRPr="00A37C0E">
        <w:rPr>
          <w:i/>
          <w:iCs/>
          <w:sz w:val="22"/>
        </w:rPr>
        <w:t xml:space="preserve"> exclusivement à un usage cryptographique appliqué aux chaînes de blocs et réparti</w:t>
      </w:r>
      <w:r>
        <w:rPr>
          <w:i/>
          <w:iCs/>
          <w:sz w:val="22"/>
        </w:rPr>
        <w:t>e</w:t>
      </w:r>
      <w:r w:rsidR="009B4317" w:rsidRPr="00A37C0E">
        <w:rPr>
          <w:i/>
          <w:iCs/>
          <w:sz w:val="22"/>
        </w:rPr>
        <w:t xml:space="preserve"> entre les clients dans le cadre d’un appel de propositions, </w:t>
      </w:r>
      <w:r w:rsidR="009B4317" w:rsidRPr="00A37C0E">
        <w:rPr>
          <w:i/>
          <w:iCs/>
          <w:strike/>
          <w:sz w:val="22"/>
        </w:rPr>
        <w:t xml:space="preserve">ou </w:t>
      </w:r>
      <w:r w:rsidR="009B4317" w:rsidRPr="00A37C0E">
        <w:rPr>
          <w:i/>
          <w:iCs/>
          <w:sz w:val="22"/>
        </w:rPr>
        <w:t>du processus mis en œuvre pour écouler la puissance qui n’a pas été attribué au moyen de l’appel de propositions</w:t>
      </w:r>
      <w:r w:rsidR="009B4317" w:rsidRPr="00A37C0E">
        <w:rPr>
          <w:i/>
          <w:iCs/>
          <w:strike/>
          <w:sz w:val="22"/>
        </w:rPr>
        <w:t>. Ce processus est</w:t>
      </w:r>
      <w:r w:rsidR="009B4317" w:rsidRPr="00A37C0E">
        <w:rPr>
          <w:i/>
          <w:iCs/>
          <w:sz w:val="22"/>
        </w:rPr>
        <w:t xml:space="preserve"> décrit dans l’article 1.3 des présentes conditions de service </w:t>
      </w:r>
      <w:r w:rsidR="009B4317" w:rsidRPr="00A37C0E">
        <w:rPr>
          <w:i/>
          <w:iCs/>
          <w:sz w:val="22"/>
          <w:u w:val="single"/>
        </w:rPr>
        <w:t>ou suite à l’autorisation du ministre de l’Économie, de l’Innovation et de l’Énergie délivrée en vertu de l’article</w:t>
      </w:r>
      <w:r>
        <w:rPr>
          <w:i/>
          <w:iCs/>
          <w:sz w:val="22"/>
          <w:u w:val="single"/>
        </w:rPr>
        <w:t> </w:t>
      </w:r>
      <w:r w:rsidR="009B4317" w:rsidRPr="00A37C0E">
        <w:rPr>
          <w:i/>
          <w:iCs/>
          <w:sz w:val="22"/>
          <w:u w:val="single"/>
        </w:rPr>
        <w:t>76, alinéa</w:t>
      </w:r>
      <w:r>
        <w:rPr>
          <w:i/>
          <w:iCs/>
          <w:sz w:val="22"/>
          <w:u w:val="single"/>
        </w:rPr>
        <w:t> </w:t>
      </w:r>
      <w:r w:rsidR="009B4317" w:rsidRPr="00A37C0E">
        <w:rPr>
          <w:i/>
          <w:iCs/>
          <w:sz w:val="22"/>
          <w:u w:val="single"/>
        </w:rPr>
        <w:t>2 de la Loi sur la Régie de l’énergie</w:t>
      </w:r>
      <w:r w:rsidR="009B4317" w:rsidRPr="00A37C0E">
        <w:rPr>
          <w:i/>
          <w:iCs/>
          <w:sz w:val="22"/>
        </w:rPr>
        <w:t>.</w:t>
      </w:r>
      <w:r>
        <w:rPr>
          <w:sz w:val="22"/>
        </w:rPr>
        <w:t>’</w:t>
      </w:r>
    </w:p>
    <w:p w14:paraId="3F7C919A" w14:textId="61E8F11E" w:rsidR="00C91FBD" w:rsidRPr="00C91FBD" w:rsidRDefault="00C91FBD" w:rsidP="00C91FBD">
      <w:pPr>
        <w:pStyle w:val="NumA1"/>
      </w:pPr>
      <w:r w:rsidRPr="00C91FBD">
        <w:t>Avec cette modification à la définition de «</w:t>
      </w:r>
      <w:r w:rsidR="006F0762">
        <w:t> </w:t>
      </w:r>
      <w:r w:rsidRPr="00C91FBD">
        <w:t>bloc réservé</w:t>
      </w:r>
      <w:r w:rsidR="006F0762">
        <w:t> </w:t>
      </w:r>
      <w:r w:rsidRPr="00C91FBD">
        <w:t>», il serait alors possible d’écouler le Solde du Bloc réservé de trois manières</w:t>
      </w:r>
      <w:r w:rsidR="006F0762">
        <w:t> </w:t>
      </w:r>
      <w:r w:rsidRPr="00C91FBD">
        <w:t>:</w:t>
      </w:r>
    </w:p>
    <w:p w14:paraId="28EA9A56" w14:textId="2FD36D3E" w:rsidR="00C91FBD" w:rsidRPr="00C91FBD" w:rsidRDefault="00C91FBD" w:rsidP="00C91FBD">
      <w:pPr>
        <w:numPr>
          <w:ilvl w:val="0"/>
          <w:numId w:val="32"/>
        </w:numPr>
        <w:rPr>
          <w:rFonts w:asciiTheme="majorHAnsi" w:eastAsia="Times New Roman" w:hAnsiTheme="majorHAnsi" w:cs="Times New Roman"/>
          <w:szCs w:val="24"/>
        </w:rPr>
      </w:pPr>
      <w:r w:rsidRPr="00C91FBD">
        <w:rPr>
          <w:rFonts w:asciiTheme="majorHAnsi" w:eastAsia="Times New Roman" w:hAnsiTheme="majorHAnsi" w:cs="Times New Roman"/>
          <w:szCs w:val="24"/>
          <w:u w:val="single"/>
        </w:rPr>
        <w:t>Appel de propositions</w:t>
      </w:r>
      <w:r w:rsidR="006F0762">
        <w:rPr>
          <w:rFonts w:asciiTheme="majorHAnsi" w:eastAsia="Times New Roman" w:hAnsiTheme="majorHAnsi" w:cs="Times New Roman"/>
          <w:szCs w:val="24"/>
        </w:rPr>
        <w:t> </w:t>
      </w:r>
      <w:r w:rsidRPr="00C91FBD">
        <w:rPr>
          <w:rFonts w:asciiTheme="majorHAnsi" w:eastAsia="Times New Roman" w:hAnsiTheme="majorHAnsi" w:cs="Times New Roman"/>
          <w:szCs w:val="24"/>
        </w:rPr>
        <w:t>: cette procédure est fermée et n’est plus disponible pour les Clients CB;</w:t>
      </w:r>
    </w:p>
    <w:p w14:paraId="4B2FA378" w14:textId="02430F67" w:rsidR="00C91FBD" w:rsidRPr="00C91FBD" w:rsidRDefault="00C91FBD" w:rsidP="00C91FBD">
      <w:pPr>
        <w:numPr>
          <w:ilvl w:val="0"/>
          <w:numId w:val="32"/>
        </w:numPr>
        <w:rPr>
          <w:rFonts w:asciiTheme="majorHAnsi" w:eastAsia="Times New Roman" w:hAnsiTheme="majorHAnsi" w:cs="Times New Roman"/>
          <w:szCs w:val="24"/>
        </w:rPr>
      </w:pPr>
      <w:r w:rsidRPr="00C91FBD">
        <w:rPr>
          <w:rFonts w:asciiTheme="majorHAnsi" w:eastAsia="Times New Roman" w:hAnsiTheme="majorHAnsi" w:cs="Times New Roman"/>
          <w:szCs w:val="24"/>
          <w:u w:val="single"/>
        </w:rPr>
        <w:t>Procédure d’attribution décrite à l’article 1.3 des Conditions de service</w:t>
      </w:r>
      <w:r w:rsidR="006F0762">
        <w:rPr>
          <w:rFonts w:asciiTheme="majorHAnsi" w:eastAsia="Times New Roman" w:hAnsiTheme="majorHAnsi" w:cs="Times New Roman"/>
          <w:szCs w:val="24"/>
        </w:rPr>
        <w:t> </w:t>
      </w:r>
      <w:r w:rsidRPr="00C91FBD">
        <w:rPr>
          <w:rFonts w:asciiTheme="majorHAnsi" w:eastAsia="Times New Roman" w:hAnsiTheme="majorHAnsi" w:cs="Times New Roman"/>
          <w:szCs w:val="24"/>
        </w:rPr>
        <w:t>: cette procédure ne serait applicable que pour les demandes dont la puissance est inférieure à 5</w:t>
      </w:r>
      <w:r w:rsidR="006F0762">
        <w:rPr>
          <w:rFonts w:asciiTheme="majorHAnsi" w:eastAsia="Times New Roman" w:hAnsiTheme="majorHAnsi" w:cs="Times New Roman"/>
          <w:szCs w:val="24"/>
        </w:rPr>
        <w:t> </w:t>
      </w:r>
      <w:r w:rsidRPr="00C91FBD">
        <w:rPr>
          <w:rFonts w:asciiTheme="majorHAnsi" w:eastAsia="Times New Roman" w:hAnsiTheme="majorHAnsi" w:cs="Times New Roman"/>
          <w:szCs w:val="24"/>
        </w:rPr>
        <w:t>MW;</w:t>
      </w:r>
    </w:p>
    <w:p w14:paraId="7D9EFE58" w14:textId="1D3E2C12" w:rsidR="00C91FBD" w:rsidRPr="00C91FBD" w:rsidRDefault="00C91FBD" w:rsidP="00C91FBD">
      <w:pPr>
        <w:numPr>
          <w:ilvl w:val="0"/>
          <w:numId w:val="32"/>
        </w:numPr>
        <w:rPr>
          <w:rFonts w:asciiTheme="majorHAnsi" w:eastAsia="Times New Roman" w:hAnsiTheme="majorHAnsi" w:cs="Times New Roman"/>
          <w:szCs w:val="24"/>
        </w:rPr>
      </w:pPr>
      <w:r w:rsidRPr="00C91FBD">
        <w:rPr>
          <w:rFonts w:asciiTheme="majorHAnsi" w:eastAsia="Times New Roman" w:hAnsiTheme="majorHAnsi" w:cs="Times New Roman"/>
          <w:szCs w:val="24"/>
          <w:u w:val="single"/>
        </w:rPr>
        <w:t xml:space="preserve">Autorisation du ministre de l’Économie, de l’Innovation et de l’Énergie délivrée en vertu de l’article 76, alinéa 2 de la </w:t>
      </w:r>
      <w:r w:rsidRPr="00C91FBD">
        <w:rPr>
          <w:rFonts w:asciiTheme="majorHAnsi" w:eastAsia="Times New Roman" w:hAnsiTheme="majorHAnsi" w:cs="Times New Roman"/>
          <w:i/>
          <w:iCs/>
          <w:szCs w:val="24"/>
          <w:u w:val="single"/>
        </w:rPr>
        <w:t>Loi sur la Régie de l’énergie</w:t>
      </w:r>
      <w:r w:rsidR="006F0762">
        <w:rPr>
          <w:rFonts w:asciiTheme="majorHAnsi" w:eastAsia="Times New Roman" w:hAnsiTheme="majorHAnsi" w:cs="Times New Roman"/>
          <w:szCs w:val="24"/>
        </w:rPr>
        <w:t> </w:t>
      </w:r>
      <w:r w:rsidRPr="00C91FBD">
        <w:rPr>
          <w:rFonts w:asciiTheme="majorHAnsi" w:eastAsia="Times New Roman" w:hAnsiTheme="majorHAnsi" w:cs="Times New Roman"/>
          <w:szCs w:val="24"/>
        </w:rPr>
        <w:t>: cette procédure s’appliquerait pour les demandes dont la puissance est de 5</w:t>
      </w:r>
      <w:r w:rsidR="006F0762">
        <w:rPr>
          <w:rFonts w:asciiTheme="majorHAnsi" w:eastAsia="Times New Roman" w:hAnsiTheme="majorHAnsi" w:cs="Times New Roman"/>
          <w:szCs w:val="24"/>
        </w:rPr>
        <w:t> </w:t>
      </w:r>
      <w:r w:rsidRPr="00C91FBD">
        <w:rPr>
          <w:rFonts w:asciiTheme="majorHAnsi" w:eastAsia="Times New Roman" w:hAnsiTheme="majorHAnsi" w:cs="Times New Roman"/>
          <w:szCs w:val="24"/>
        </w:rPr>
        <w:t>MW et plus.</w:t>
      </w:r>
    </w:p>
    <w:p w14:paraId="5790684F" w14:textId="6DD02EAD" w:rsidR="00C91FBD" w:rsidRPr="00C91FBD" w:rsidRDefault="00C91FBD" w:rsidP="00C91FBD">
      <w:pPr>
        <w:pStyle w:val="NumA1"/>
      </w:pPr>
      <w:r w:rsidRPr="00C91FBD">
        <w:t>Le Distributeur a été questionné dans le présent dossier à l’égard des répercussions que pourrait avoir la limite à l’obligation de desservir les demandes de plus de 5</w:t>
      </w:r>
      <w:r w:rsidR="006F0762">
        <w:t> </w:t>
      </w:r>
      <w:r w:rsidRPr="00C91FBD">
        <w:t>MW, sanctionnée avec la Loi 2</w:t>
      </w:r>
      <w:r w:rsidR="006F0762">
        <w:t> </w:t>
      </w:r>
      <w:r w:rsidRPr="00C91FBD">
        <w:t>:</w:t>
      </w:r>
    </w:p>
    <w:p w14:paraId="59FE7FBB" w14:textId="3855C4D1"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lastRenderedPageBreak/>
        <w:t>«</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 xml:space="preserve">Q. Veuillez préciser </w:t>
      </w:r>
      <w:r w:rsidRPr="00C91FBD">
        <w:rPr>
          <w:rFonts w:asciiTheme="majorHAnsi" w:eastAsia="Times New Roman" w:hAnsiTheme="majorHAnsi" w:cs="Times New Roman"/>
          <w:sz w:val="22"/>
          <w:u w:val="single"/>
        </w:rPr>
        <w:t>si la limite à l’obligation de desservir les demandes de moins de 5 000 W, sanctionnée avec le projet de loi no 2, pourrait être suffisante afin de limiter la demande de la clientèle au tarif CB, permettant de maintenir une portion du solde du bloc dédié pour la clientèle du tarif CB - Moyenne puissance</w:t>
      </w:r>
      <w:r w:rsidRPr="00C91FBD">
        <w:rPr>
          <w:rFonts w:asciiTheme="majorHAnsi" w:eastAsia="Times New Roman" w:hAnsiTheme="majorHAnsi" w:cs="Times New Roman"/>
          <w:sz w:val="22"/>
        </w:rPr>
        <w:t>. Veuillez commenter.</w:t>
      </w:r>
    </w:p>
    <w:p w14:paraId="13770B64" w14:textId="7A720AFC"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t>R. Bien que la disposition du projet de loi no 2 puisse être perçue comme un frein par les promoteurs, le Distributeur est d’avis que cette limite n’est pas suffisante pour restreindre la demande du secteur des chaînes de blocs</w:t>
      </w:r>
      <w:r w:rsidRPr="00C91FBD">
        <w:rPr>
          <w:rFonts w:asciiTheme="majorHAnsi" w:eastAsia="Times New Roman" w:hAnsiTheme="majorHAnsi" w:cs="Times New Roman"/>
          <w:sz w:val="22"/>
          <w:u w:val="single"/>
        </w:rPr>
        <w:t>, notamment en raison du possible fractionnement des demandes de la part des promoteurs souhaitant éviter le processus d’évaluation pour les projets d’une puissance de 5 000</w:t>
      </w:r>
      <w:r w:rsidR="006F0762">
        <w:rPr>
          <w:rFonts w:asciiTheme="majorHAnsi" w:eastAsia="Times New Roman" w:hAnsiTheme="majorHAnsi" w:cs="Times New Roman"/>
          <w:sz w:val="22"/>
          <w:u w:val="single"/>
        </w:rPr>
        <w:t> </w:t>
      </w:r>
      <w:r w:rsidRPr="00C91FBD">
        <w:rPr>
          <w:rFonts w:asciiTheme="majorHAnsi" w:eastAsia="Times New Roman" w:hAnsiTheme="majorHAnsi" w:cs="Times New Roman"/>
          <w:sz w:val="22"/>
          <w:u w:val="single"/>
        </w:rPr>
        <w:t>kW et plus</w:t>
      </w:r>
      <w:r w:rsidRPr="00C91FBD">
        <w:rPr>
          <w:rFonts w:asciiTheme="majorHAnsi" w:eastAsia="Times New Roman" w:hAnsiTheme="majorHAnsi" w:cs="Times New Roman"/>
          <w:sz w:val="22"/>
        </w:rPr>
        <w:t>.</w:t>
      </w:r>
    </w:p>
    <w:p w14:paraId="58FCC8BA" w14:textId="50D16490"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t>Comme indiqué à la référence (v), la charge associée à de nouveaux projets peut être fractionnée dans différents lieux de consommation. Un tel fractionnement des demandes peut constituer un avantage pour les promoteurs, car il facilite la recherche de sites, simplifie les travaux relatifs au raccordement, diminue les coûts de ces travaux devant être assumés en totalité par le promoteur et permet une mise en exploitation plus rapide. En conséquence, le Distributeur estime que les promoteurs pourraient profiter de la situation en ajustant leur projet pour déposer plusieurs demandes respectant le seuil de 5 000</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kW, accélérant d’autant le début de leur consommation d’électricité.</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w:t>
      </w:r>
    </w:p>
    <w:p w14:paraId="74AD79C2" w14:textId="77777777" w:rsidR="00C91FBD" w:rsidRPr="00C91FBD" w:rsidRDefault="00C91FBD" w:rsidP="00C91FBD">
      <w:pPr>
        <w:ind w:left="1440" w:right="720" w:firstLine="0"/>
        <w:jc w:val="right"/>
        <w:rPr>
          <w:rFonts w:asciiTheme="majorHAnsi" w:eastAsia="Times New Roman" w:hAnsiTheme="majorHAnsi" w:cs="Times New Roman"/>
          <w:sz w:val="22"/>
        </w:rPr>
      </w:pPr>
      <w:r w:rsidRPr="00C91FBD">
        <w:rPr>
          <w:rFonts w:asciiTheme="majorHAnsi" w:eastAsia="Times New Roman" w:hAnsiTheme="majorHAnsi" w:cs="Times New Roman"/>
          <w:sz w:val="22"/>
        </w:rPr>
        <w:t>[Nous soulignons]</w:t>
      </w:r>
    </w:p>
    <w:tbl>
      <w:tblPr>
        <w:tblW w:w="8958" w:type="dxa"/>
        <w:tblInd w:w="648" w:type="dxa"/>
        <w:tblLook w:val="00A0" w:firstRow="1" w:lastRow="0" w:firstColumn="1" w:lastColumn="0" w:noHBand="0" w:noVBand="0"/>
      </w:tblPr>
      <w:tblGrid>
        <w:gridCol w:w="7182"/>
        <w:gridCol w:w="1776"/>
      </w:tblGrid>
      <w:tr w:rsidR="00F05C88" w:rsidRPr="00726152" w14:paraId="16992876" w14:textId="77777777" w:rsidTr="00F05C88">
        <w:tc>
          <w:tcPr>
            <w:tcW w:w="7182" w:type="dxa"/>
          </w:tcPr>
          <w:p w14:paraId="3D899535" w14:textId="4EE054A6" w:rsidR="00F05C88" w:rsidRPr="00726152" w:rsidRDefault="00F05C88" w:rsidP="00DB6A1A">
            <w:pPr>
              <w:spacing w:before="120" w:after="120" w:line="240" w:lineRule="auto"/>
              <w:ind w:left="72" w:firstLine="0"/>
              <w:rPr>
                <w:rFonts w:ascii="Times New Roman" w:eastAsia="Times New Roman" w:hAnsi="Times New Roman" w:cs="Times New Roman"/>
                <w:color w:val="000000"/>
                <w:szCs w:val="24"/>
              </w:rPr>
            </w:pPr>
            <w:r w:rsidRPr="00C91FBD">
              <w:rPr>
                <w:rFonts w:ascii="Times New Roman" w:eastAsia="Arial" w:hAnsi="Times New Roman" w:cs="Times New Roman"/>
                <w:color w:val="000000"/>
              </w:rPr>
              <w:t>HQD-4, document 1.4, réponse du Distributeur à la DDR 4 de la Régie, page 12 de 21, question 2.3.</w:t>
            </w:r>
          </w:p>
        </w:tc>
        <w:tc>
          <w:tcPr>
            <w:tcW w:w="1776" w:type="dxa"/>
            <w:vAlign w:val="bottom"/>
          </w:tcPr>
          <w:p w14:paraId="622DEAE4" w14:textId="2D4F1B8A" w:rsidR="00F05C88" w:rsidRPr="00726152" w:rsidRDefault="00F05C88" w:rsidP="00DB6A1A">
            <w:pPr>
              <w:spacing w:before="120" w:after="120" w:line="240" w:lineRule="auto"/>
              <w:ind w:left="0" w:firstLine="0"/>
              <w:jc w:val="center"/>
              <w:rPr>
                <w:rFonts w:ascii="Times New Roman" w:eastAsia="Times New Roman" w:hAnsi="Times New Roman" w:cs="Times New Roman"/>
                <w:b/>
                <w:color w:val="000000"/>
              </w:rPr>
            </w:pPr>
            <w:r w:rsidRPr="00C91FBD">
              <w:rPr>
                <w:rFonts w:ascii="Times New Roman" w:eastAsia="Arial" w:hAnsi="Times New Roman" w:cs="Times New Roman"/>
                <w:b/>
                <w:bCs/>
                <w:color w:val="000000"/>
              </w:rPr>
              <w:t>B-0115</w:t>
            </w:r>
          </w:p>
        </w:tc>
      </w:tr>
    </w:tbl>
    <w:p w14:paraId="7719DC6B" w14:textId="3A43C26B" w:rsidR="00C91FBD" w:rsidRPr="00C91FBD" w:rsidRDefault="00C91FBD" w:rsidP="00C91FBD">
      <w:pPr>
        <w:pStyle w:val="NumA1"/>
      </w:pPr>
      <w:r w:rsidRPr="00C91FBD">
        <w:t>Lors de l’audience du 12</w:t>
      </w:r>
      <w:r w:rsidR="006F0762">
        <w:t> </w:t>
      </w:r>
      <w:r w:rsidRPr="00C91FBD">
        <w:t>juin</w:t>
      </w:r>
      <w:r w:rsidR="006F0762">
        <w:t> </w:t>
      </w:r>
      <w:r w:rsidRPr="00C91FBD">
        <w:t xml:space="preserve">2023, </w:t>
      </w:r>
      <w:r w:rsidR="00F05C88">
        <w:t>Bitfarms a</w:t>
      </w:r>
      <w:r w:rsidRPr="00C91FBD">
        <w:t xml:space="preserve"> questionné le Distributeur sur la préoccupation liée au fractionnement des projets dans le but d’</w:t>
      </w:r>
      <w:r w:rsidRPr="00C91FBD">
        <w:rPr>
          <w:szCs w:val="24"/>
        </w:rPr>
        <w:t>éviter le processus d’évaluation pour les projets d’une puissance de 5</w:t>
      </w:r>
      <w:r w:rsidR="006F0762">
        <w:rPr>
          <w:szCs w:val="24"/>
        </w:rPr>
        <w:t> </w:t>
      </w:r>
      <w:r w:rsidRPr="00C91FBD">
        <w:rPr>
          <w:szCs w:val="24"/>
        </w:rPr>
        <w:t>MW et plus</w:t>
      </w:r>
      <w:r w:rsidR="006F0762">
        <w:rPr>
          <w:szCs w:val="24"/>
        </w:rPr>
        <w:t> </w:t>
      </w:r>
      <w:r w:rsidRPr="00C91FBD">
        <w:rPr>
          <w:szCs w:val="24"/>
        </w:rPr>
        <w:t>:</w:t>
      </w:r>
    </w:p>
    <w:p w14:paraId="3629E93C" w14:textId="4082F098"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t>«</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Donc, nous comprenons que la raison pour laquelle vous considérez que le processus d’évaluation des projets d’une puissance de cinq mégawatts (5</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 xml:space="preserve">MW) </w:t>
      </w:r>
      <w:r w:rsidRPr="00C91FBD">
        <w:rPr>
          <w:rFonts w:asciiTheme="majorHAnsi" w:eastAsia="Times New Roman" w:hAnsiTheme="majorHAnsi" w:cs="Times New Roman"/>
          <w:sz w:val="22"/>
          <w:u w:val="single"/>
        </w:rPr>
        <w:t>n’est pas un bon outil pour contrôler la demande provenant du secteur crypto est la notion de fractionnement</w:t>
      </w:r>
      <w:r w:rsidRPr="00C91FBD">
        <w:rPr>
          <w:rFonts w:asciiTheme="majorHAnsi" w:eastAsia="Times New Roman" w:hAnsiTheme="majorHAnsi" w:cs="Times New Roman"/>
          <w:sz w:val="22"/>
        </w:rPr>
        <w:t>. C’est bien cela?</w:t>
      </w:r>
    </w:p>
    <w:p w14:paraId="00E58016" w14:textId="5F194EB7"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t>M.</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MARC-ANDRÉ</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LAVIGNE :</w:t>
      </w:r>
    </w:p>
    <w:p w14:paraId="7F6F84EF" w14:textId="20BA3715"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t xml:space="preserve">R. </w:t>
      </w:r>
      <w:r w:rsidRPr="00C91FBD">
        <w:rPr>
          <w:rFonts w:asciiTheme="majorHAnsi" w:eastAsia="Times New Roman" w:hAnsiTheme="majorHAnsi" w:cs="Times New Roman"/>
          <w:sz w:val="22"/>
          <w:u w:val="single"/>
        </w:rPr>
        <w:t>Oui. Il est de notre avis que les projets pourraient être fractionnés en plusieurs petits projets de moins de cinq mégawatts</w:t>
      </w:r>
      <w:r w:rsidRPr="00C91FBD">
        <w:rPr>
          <w:rFonts w:asciiTheme="majorHAnsi" w:eastAsia="Times New Roman" w:hAnsiTheme="majorHAnsi" w:cs="Times New Roman"/>
          <w:sz w:val="22"/>
        </w:rPr>
        <w:t xml:space="preserve"> (5</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MW) pour se soustraire au processus d’évaluation s’il y avait un bloc, là, un solde restant, qui était alloué.</w:t>
      </w:r>
    </w:p>
    <w:p w14:paraId="744BC6D3" w14:textId="77777777"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t>[…]</w:t>
      </w:r>
    </w:p>
    <w:p w14:paraId="1A1777BA" w14:textId="040071A2"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lastRenderedPageBreak/>
        <w:t xml:space="preserve">[242] </w:t>
      </w:r>
      <w:r w:rsidRPr="00C91FBD">
        <w:rPr>
          <w:rFonts w:asciiTheme="majorHAnsi" w:eastAsia="Times New Roman" w:hAnsiTheme="majorHAnsi" w:cs="Times New Roman"/>
          <w:sz w:val="22"/>
          <w:u w:val="single"/>
        </w:rPr>
        <w:t>Avez-vous des exemples concrets à nous donner aujourd’hui</w:t>
      </w:r>
      <w:r w:rsidRPr="00C91FBD">
        <w:rPr>
          <w:rFonts w:asciiTheme="majorHAnsi" w:eastAsia="Times New Roman" w:hAnsiTheme="majorHAnsi" w:cs="Times New Roman"/>
          <w:sz w:val="22"/>
        </w:rPr>
        <w:t>, des éléments de preuve qui permettraient à la Régie et aux intervenants d’évaluer le risque de fractionnement d’un projet en petits projets de moins de cinq mégawatts (5</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MW) dans le marché actuel?</w:t>
      </w:r>
    </w:p>
    <w:p w14:paraId="1158E3C7" w14:textId="19F14D3B"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t xml:space="preserve">Désolé du délai, Maître. </w:t>
      </w:r>
      <w:r w:rsidRPr="00C91FBD">
        <w:rPr>
          <w:rFonts w:asciiTheme="majorHAnsi" w:eastAsia="Times New Roman" w:hAnsiTheme="majorHAnsi" w:cs="Times New Roman"/>
          <w:sz w:val="22"/>
          <w:u w:val="single"/>
        </w:rPr>
        <w:t>Dans le dossier</w:t>
      </w:r>
      <w:r w:rsidR="006F0762">
        <w:rPr>
          <w:rFonts w:asciiTheme="majorHAnsi" w:eastAsia="Times New Roman" w:hAnsiTheme="majorHAnsi" w:cs="Times New Roman"/>
          <w:sz w:val="22"/>
          <w:u w:val="single"/>
        </w:rPr>
        <w:t> </w:t>
      </w:r>
      <w:r w:rsidRPr="00C91FBD">
        <w:rPr>
          <w:rFonts w:asciiTheme="majorHAnsi" w:eastAsia="Times New Roman" w:hAnsiTheme="majorHAnsi" w:cs="Times New Roman"/>
          <w:sz w:val="22"/>
          <w:u w:val="single"/>
        </w:rPr>
        <w:t>R-4045</w:t>
      </w:r>
      <w:r w:rsidRPr="00C91FBD">
        <w:rPr>
          <w:rFonts w:asciiTheme="majorHAnsi" w:eastAsia="Times New Roman" w:hAnsiTheme="majorHAnsi" w:cs="Times New Roman"/>
          <w:sz w:val="22"/>
        </w:rPr>
        <w:t>, là, on avait justement soulevé, là, la possibilité de fractionnement des charges. C’est des</w:t>
      </w:r>
      <w:r w:rsidR="006F0762">
        <w:rPr>
          <w:rFonts w:asciiTheme="majorHAnsi" w:eastAsia="Times New Roman" w:hAnsiTheme="majorHAnsi" w:cs="Times New Roman"/>
          <w:sz w:val="22"/>
        </w:rPr>
        <w:t>…</w:t>
      </w:r>
      <w:r w:rsidRPr="00C91FBD">
        <w:rPr>
          <w:rFonts w:asciiTheme="majorHAnsi" w:eastAsia="Times New Roman" w:hAnsiTheme="majorHAnsi" w:cs="Times New Roman"/>
          <w:sz w:val="22"/>
        </w:rPr>
        <w:t xml:space="preserve"> </w:t>
      </w:r>
      <w:r w:rsidRPr="00C91FBD">
        <w:rPr>
          <w:rFonts w:asciiTheme="majorHAnsi" w:eastAsia="Times New Roman" w:hAnsiTheme="majorHAnsi" w:cs="Times New Roman"/>
          <w:sz w:val="22"/>
          <w:u w:val="single"/>
        </w:rPr>
        <w:t>c’est des projets qui sont facilement modulables</w:t>
      </w:r>
      <w:r w:rsidRPr="00C91FBD">
        <w:rPr>
          <w:rFonts w:asciiTheme="majorHAnsi" w:eastAsia="Times New Roman" w:hAnsiTheme="majorHAnsi" w:cs="Times New Roman"/>
          <w:sz w:val="22"/>
        </w:rPr>
        <w:t xml:space="preserve">. Dans le cas qui nous intéresse, nous, </w:t>
      </w:r>
      <w:r w:rsidRPr="00C91FBD">
        <w:rPr>
          <w:rFonts w:asciiTheme="majorHAnsi" w:eastAsia="Times New Roman" w:hAnsiTheme="majorHAnsi" w:cs="Times New Roman"/>
          <w:sz w:val="22"/>
          <w:u w:val="single"/>
        </w:rPr>
        <w:t>ce qu’on remarque c’est qu’il y aurait un</w:t>
      </w:r>
      <w:r w:rsidR="006F0762">
        <w:rPr>
          <w:rFonts w:asciiTheme="majorHAnsi" w:eastAsia="Times New Roman" w:hAnsiTheme="majorHAnsi" w:cs="Times New Roman"/>
          <w:sz w:val="22"/>
          <w:u w:val="single"/>
        </w:rPr>
        <w:t>…</w:t>
      </w:r>
      <w:r w:rsidRPr="00C91FBD">
        <w:rPr>
          <w:rFonts w:asciiTheme="majorHAnsi" w:eastAsia="Times New Roman" w:hAnsiTheme="majorHAnsi" w:cs="Times New Roman"/>
          <w:sz w:val="22"/>
          <w:u w:val="single"/>
        </w:rPr>
        <w:t xml:space="preserve"> vraiment un risque</w:t>
      </w:r>
      <w:r w:rsidRPr="00C91FBD">
        <w:rPr>
          <w:rFonts w:asciiTheme="majorHAnsi" w:eastAsia="Times New Roman" w:hAnsiTheme="majorHAnsi" w:cs="Times New Roman"/>
          <w:sz w:val="22"/>
        </w:rPr>
        <w:t>, là, justement, s’il y avait un bloc dédié de plus de zéro mégawatt (0</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MW), que c’est justement pour éviter l’évaluation des cinq mégawatts (5</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MW) et plus, que justement la clientèle, là, pourrait se</w:t>
      </w:r>
      <w:r w:rsidR="006F0762">
        <w:rPr>
          <w:rFonts w:asciiTheme="majorHAnsi" w:eastAsia="Times New Roman" w:hAnsiTheme="majorHAnsi" w:cs="Times New Roman"/>
          <w:sz w:val="22"/>
        </w:rPr>
        <w:t>…</w:t>
      </w:r>
      <w:r w:rsidRPr="00C91FBD">
        <w:rPr>
          <w:rFonts w:asciiTheme="majorHAnsi" w:eastAsia="Times New Roman" w:hAnsiTheme="majorHAnsi" w:cs="Times New Roman"/>
          <w:sz w:val="22"/>
        </w:rPr>
        <w:t xml:space="preserve"> s’adapter en soumettant des projets de moins</w:t>
      </w:r>
      <w:r w:rsidR="006F0762">
        <w:rPr>
          <w:rFonts w:asciiTheme="majorHAnsi" w:eastAsia="Times New Roman" w:hAnsiTheme="majorHAnsi" w:cs="Times New Roman"/>
          <w:sz w:val="22"/>
        </w:rPr>
        <w:t>…</w:t>
      </w:r>
      <w:r w:rsidRPr="00C91FBD">
        <w:rPr>
          <w:rFonts w:asciiTheme="majorHAnsi" w:eastAsia="Times New Roman" w:hAnsiTheme="majorHAnsi" w:cs="Times New Roman"/>
          <w:sz w:val="22"/>
        </w:rPr>
        <w:t xml:space="preserve"> des demandes de raccordement pour des projets de moins de cinq mégawatts (5</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MW).</w:t>
      </w:r>
    </w:p>
    <w:p w14:paraId="1A270E88" w14:textId="1E52D3A5"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t xml:space="preserve">[243] </w:t>
      </w:r>
      <w:r w:rsidRPr="00C91FBD">
        <w:rPr>
          <w:rFonts w:asciiTheme="majorHAnsi" w:eastAsia="Times New Roman" w:hAnsiTheme="majorHAnsi" w:cs="Times New Roman"/>
          <w:sz w:val="22"/>
          <w:u w:val="single"/>
        </w:rPr>
        <w:t>Connaissez-vous les coûts que doit supporter un promoteur</w:t>
      </w:r>
      <w:r w:rsidRPr="00C91FBD">
        <w:rPr>
          <w:rFonts w:asciiTheme="majorHAnsi" w:eastAsia="Times New Roman" w:hAnsiTheme="majorHAnsi" w:cs="Times New Roman"/>
          <w:sz w:val="22"/>
        </w:rPr>
        <w:t xml:space="preserve"> pour un projet de cinq mégawatts (5</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MW) par opposition à un projet de plus de cinq mégawatts (5</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 xml:space="preserve">MW)? </w:t>
      </w:r>
    </w:p>
    <w:p w14:paraId="67652496" w14:textId="1F87A862"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t>R. Je</w:t>
      </w:r>
      <w:r w:rsidR="006F0762">
        <w:rPr>
          <w:rFonts w:asciiTheme="majorHAnsi" w:eastAsia="Times New Roman" w:hAnsiTheme="majorHAnsi" w:cs="Times New Roman"/>
          <w:sz w:val="22"/>
        </w:rPr>
        <w:t>…</w:t>
      </w:r>
      <w:r w:rsidRPr="00C91FBD">
        <w:rPr>
          <w:rFonts w:asciiTheme="majorHAnsi" w:eastAsia="Times New Roman" w:hAnsiTheme="majorHAnsi" w:cs="Times New Roman"/>
          <w:sz w:val="22"/>
        </w:rPr>
        <w:t xml:space="preserve"> </w:t>
      </w:r>
      <w:r w:rsidRPr="00C91FBD">
        <w:rPr>
          <w:rFonts w:asciiTheme="majorHAnsi" w:eastAsia="Times New Roman" w:hAnsiTheme="majorHAnsi" w:cs="Times New Roman"/>
          <w:sz w:val="22"/>
          <w:u w:val="single"/>
        </w:rPr>
        <w:t>non, je n’ai pas les coûts exacts</w:t>
      </w:r>
      <w:r w:rsidRPr="00C91FBD">
        <w:rPr>
          <w:rFonts w:asciiTheme="majorHAnsi" w:eastAsia="Times New Roman" w:hAnsiTheme="majorHAnsi" w:cs="Times New Roman"/>
          <w:sz w:val="22"/>
        </w:rPr>
        <w:t>.</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w:t>
      </w:r>
    </w:p>
    <w:p w14:paraId="2E397CA3" w14:textId="77777777" w:rsidR="00C91FBD" w:rsidRPr="00C91FBD" w:rsidRDefault="00C91FBD" w:rsidP="00C91FBD">
      <w:pPr>
        <w:ind w:left="1440" w:right="720" w:firstLine="0"/>
        <w:jc w:val="right"/>
        <w:rPr>
          <w:rFonts w:asciiTheme="majorHAnsi" w:eastAsia="Times New Roman" w:hAnsiTheme="majorHAnsi" w:cs="Times New Roman"/>
          <w:sz w:val="22"/>
        </w:rPr>
      </w:pPr>
      <w:r w:rsidRPr="00C91FBD">
        <w:rPr>
          <w:rFonts w:asciiTheme="majorHAnsi" w:eastAsia="Times New Roman" w:hAnsiTheme="majorHAnsi" w:cs="Times New Roman"/>
          <w:sz w:val="22"/>
        </w:rPr>
        <w:t>[Nous soulignons]</w:t>
      </w:r>
    </w:p>
    <w:tbl>
      <w:tblPr>
        <w:tblW w:w="8958" w:type="dxa"/>
        <w:tblInd w:w="648" w:type="dxa"/>
        <w:tblLook w:val="00A0" w:firstRow="1" w:lastRow="0" w:firstColumn="1" w:lastColumn="0" w:noHBand="0" w:noVBand="0"/>
      </w:tblPr>
      <w:tblGrid>
        <w:gridCol w:w="7182"/>
        <w:gridCol w:w="1776"/>
      </w:tblGrid>
      <w:tr w:rsidR="00F05C88" w:rsidRPr="00726152" w14:paraId="56C4EE2C" w14:textId="77777777" w:rsidTr="00F05C88">
        <w:tc>
          <w:tcPr>
            <w:tcW w:w="7182" w:type="dxa"/>
          </w:tcPr>
          <w:p w14:paraId="0FA396CB" w14:textId="319AA095" w:rsidR="00F05C88" w:rsidRPr="00726152" w:rsidRDefault="00F05C88" w:rsidP="00DB6A1A">
            <w:pPr>
              <w:spacing w:before="120" w:after="120" w:line="240" w:lineRule="auto"/>
              <w:ind w:left="72" w:firstLine="0"/>
              <w:rPr>
                <w:rFonts w:ascii="Times New Roman" w:eastAsia="Times New Roman" w:hAnsi="Times New Roman" w:cs="Times New Roman"/>
                <w:color w:val="000000"/>
                <w:szCs w:val="24"/>
              </w:rPr>
            </w:pPr>
            <w:r w:rsidRPr="00C91FBD">
              <w:rPr>
                <w:rFonts w:ascii="Times New Roman" w:eastAsia="Times New Roman" w:hAnsi="Times New Roman" w:cs="Times New Roman"/>
                <w:color w:val="000000"/>
                <w:szCs w:val="24"/>
              </w:rPr>
              <w:t>Notes sténographiques de l’audience du 12</w:t>
            </w:r>
            <w:r w:rsidR="006F0762">
              <w:rPr>
                <w:rFonts w:ascii="Times New Roman" w:eastAsia="Times New Roman" w:hAnsi="Times New Roman" w:cs="Times New Roman"/>
                <w:color w:val="000000"/>
                <w:szCs w:val="24"/>
              </w:rPr>
              <w:t> </w:t>
            </w:r>
            <w:r w:rsidRPr="00C91FBD">
              <w:rPr>
                <w:rFonts w:ascii="Times New Roman" w:eastAsia="Times New Roman" w:hAnsi="Times New Roman" w:cs="Times New Roman"/>
                <w:color w:val="000000"/>
                <w:szCs w:val="24"/>
              </w:rPr>
              <w:t>juin</w:t>
            </w:r>
            <w:r w:rsidR="006F0762">
              <w:rPr>
                <w:rFonts w:ascii="Times New Roman" w:eastAsia="Times New Roman" w:hAnsi="Times New Roman" w:cs="Times New Roman"/>
                <w:color w:val="000000"/>
                <w:szCs w:val="24"/>
              </w:rPr>
              <w:t> </w:t>
            </w:r>
            <w:r w:rsidRPr="00C91FBD">
              <w:rPr>
                <w:rFonts w:ascii="Times New Roman" w:eastAsia="Times New Roman" w:hAnsi="Times New Roman" w:cs="Times New Roman"/>
                <w:color w:val="000000"/>
                <w:szCs w:val="24"/>
              </w:rPr>
              <w:t>2023, pages 273 à 275.</w:t>
            </w:r>
          </w:p>
        </w:tc>
        <w:tc>
          <w:tcPr>
            <w:tcW w:w="1776" w:type="dxa"/>
            <w:vAlign w:val="bottom"/>
          </w:tcPr>
          <w:p w14:paraId="11DC9821" w14:textId="68E20338" w:rsidR="00F05C88" w:rsidRPr="00726152" w:rsidRDefault="00F05C88" w:rsidP="00DB6A1A">
            <w:pPr>
              <w:spacing w:before="120" w:after="120" w:line="240" w:lineRule="auto"/>
              <w:ind w:left="0" w:firstLine="0"/>
              <w:jc w:val="center"/>
              <w:rPr>
                <w:rFonts w:ascii="Times New Roman" w:eastAsia="Times New Roman" w:hAnsi="Times New Roman" w:cs="Times New Roman"/>
                <w:b/>
                <w:color w:val="000000"/>
              </w:rPr>
            </w:pPr>
            <w:r>
              <w:rPr>
                <w:rFonts w:ascii="Times New Roman" w:eastAsia="Arial" w:hAnsi="Times New Roman" w:cs="Times New Roman"/>
                <w:b/>
                <w:bCs/>
                <w:color w:val="000000"/>
              </w:rPr>
              <w:t>A-0010</w:t>
            </w:r>
          </w:p>
        </w:tc>
      </w:tr>
    </w:tbl>
    <w:p w14:paraId="0EA69437" w14:textId="29744DD7" w:rsidR="00C91FBD" w:rsidRPr="00C91FBD" w:rsidRDefault="00C91FBD" w:rsidP="00C91FBD">
      <w:pPr>
        <w:pStyle w:val="NumA1"/>
      </w:pPr>
      <w:r w:rsidRPr="00C91FBD">
        <w:t>À la lumière de ce témoignage, nous devons constater que le Distributeur ne dispose d’aucune preuve contemporaine permettant de supporter l’argument relatif au fractionnement. Le Distributeur invoque un risque théorique en utilisant une affirmation générale découlant du dossier</w:t>
      </w:r>
      <w:r w:rsidR="006F0762">
        <w:t> </w:t>
      </w:r>
      <w:r w:rsidRPr="00C91FBD">
        <w:t>R-4045-2018, argument présenté il y a près de 5 ans.</w:t>
      </w:r>
    </w:p>
    <w:p w14:paraId="2790AC18" w14:textId="6A3041D5" w:rsidR="00C91FBD" w:rsidRPr="00C91FBD" w:rsidRDefault="00C91FBD" w:rsidP="00C91FBD">
      <w:pPr>
        <w:pStyle w:val="NumA1"/>
      </w:pPr>
      <w:r w:rsidRPr="00C91FBD">
        <w:t>De plus, le Distributeur, en répondant à l’engagement 5 lors de l’audience du 13</w:t>
      </w:r>
      <w:r w:rsidR="006F0762">
        <w:t> </w:t>
      </w:r>
      <w:r w:rsidRPr="00C91FBD">
        <w:t>juin</w:t>
      </w:r>
      <w:r w:rsidR="006F0762">
        <w:t> </w:t>
      </w:r>
      <w:r w:rsidRPr="00C91FBD">
        <w:t>2023, démontre que les projets de moins de 5</w:t>
      </w:r>
      <w:r w:rsidR="006F0762">
        <w:t> </w:t>
      </w:r>
      <w:r w:rsidRPr="00C91FBD">
        <w:t>MW sont marginaux en termes de nombre de MWs</w:t>
      </w:r>
      <w:r w:rsidR="006F0762">
        <w:t> </w:t>
      </w:r>
      <w:r w:rsidRPr="00C91FBD">
        <w:t>:</w:t>
      </w:r>
    </w:p>
    <w:p w14:paraId="7426CB57" w14:textId="1F45C6B5"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t>«</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Oui, Monsieur le Président, effectivement, j’ai la main levée, parce qu’on va être en mesure de répondre verbalement à trois engagements. Donc, si on est prêts, on commencerait avec l’engagement numéro 5 qui est de</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 fournir les chiffres actuels de consommation énergétique pour la catégorie de consommateurs CB associée à des projets de moins de cinq mégawatts (5</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 xml:space="preserve">MW). Je laisse la parole à monsieur Lavigne. </w:t>
      </w:r>
    </w:p>
    <w:p w14:paraId="0F53B268" w14:textId="7E33EBBA"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t>M.</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MARC-ANDRÉ</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LAVIGNE :</w:t>
      </w:r>
    </w:p>
    <w:p w14:paraId="18F0058B" w14:textId="2E4B754B"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t xml:space="preserve">R. Oui. Alors, nous avons en date du trente et un (31) mars deux mille vingt-trois (2023) cent quatre </w:t>
      </w:r>
      <w:r w:rsidRPr="00C91FBD">
        <w:rPr>
          <w:rFonts w:asciiTheme="majorHAnsi" w:eastAsia="Times New Roman" w:hAnsiTheme="majorHAnsi" w:cs="Times New Roman"/>
          <w:sz w:val="22"/>
          <w:u w:val="single"/>
        </w:rPr>
        <w:t>(104) abonnements pour un total de dix-sept mégawatts (17</w:t>
      </w:r>
      <w:r w:rsidR="006F0762">
        <w:rPr>
          <w:rFonts w:asciiTheme="majorHAnsi" w:eastAsia="Times New Roman" w:hAnsiTheme="majorHAnsi" w:cs="Times New Roman"/>
          <w:sz w:val="22"/>
          <w:u w:val="single"/>
        </w:rPr>
        <w:t> </w:t>
      </w:r>
      <w:r w:rsidRPr="00C91FBD">
        <w:rPr>
          <w:rFonts w:asciiTheme="majorHAnsi" w:eastAsia="Times New Roman" w:hAnsiTheme="majorHAnsi" w:cs="Times New Roman"/>
          <w:sz w:val="22"/>
          <w:u w:val="single"/>
        </w:rPr>
        <w:t>MW) d’appel de puissance</w:t>
      </w:r>
      <w:r w:rsidRPr="00C91FBD">
        <w:rPr>
          <w:rFonts w:asciiTheme="majorHAnsi" w:eastAsia="Times New Roman" w:hAnsiTheme="majorHAnsi" w:cs="Times New Roman"/>
          <w:sz w:val="22"/>
        </w:rPr>
        <w:t>.</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w:t>
      </w:r>
    </w:p>
    <w:p w14:paraId="4B115D18" w14:textId="77777777" w:rsidR="00C91FBD" w:rsidRPr="00C91FBD" w:rsidRDefault="00C91FBD" w:rsidP="00C91FBD">
      <w:pPr>
        <w:ind w:left="1440" w:right="720" w:firstLine="0"/>
        <w:jc w:val="right"/>
        <w:rPr>
          <w:rFonts w:asciiTheme="majorHAnsi" w:eastAsia="Times New Roman" w:hAnsiTheme="majorHAnsi" w:cs="Times New Roman"/>
          <w:sz w:val="22"/>
        </w:rPr>
      </w:pPr>
      <w:r w:rsidRPr="00C91FBD">
        <w:rPr>
          <w:rFonts w:asciiTheme="majorHAnsi" w:eastAsia="Times New Roman" w:hAnsiTheme="majorHAnsi" w:cs="Times New Roman"/>
          <w:sz w:val="22"/>
        </w:rPr>
        <w:t>[Nous soulignons]</w:t>
      </w:r>
    </w:p>
    <w:tbl>
      <w:tblPr>
        <w:tblW w:w="8958" w:type="dxa"/>
        <w:tblInd w:w="648" w:type="dxa"/>
        <w:tblLook w:val="00A0" w:firstRow="1" w:lastRow="0" w:firstColumn="1" w:lastColumn="0" w:noHBand="0" w:noVBand="0"/>
      </w:tblPr>
      <w:tblGrid>
        <w:gridCol w:w="7182"/>
        <w:gridCol w:w="1776"/>
      </w:tblGrid>
      <w:tr w:rsidR="00F05C88" w:rsidRPr="00726152" w14:paraId="494D626F" w14:textId="77777777" w:rsidTr="00F05C88">
        <w:tc>
          <w:tcPr>
            <w:tcW w:w="7182" w:type="dxa"/>
          </w:tcPr>
          <w:p w14:paraId="4C1F5280" w14:textId="5658A6A4" w:rsidR="00F05C88" w:rsidRPr="00726152" w:rsidRDefault="00F05C88" w:rsidP="00DB6A1A">
            <w:pPr>
              <w:spacing w:before="120" w:after="120" w:line="240" w:lineRule="auto"/>
              <w:ind w:left="72" w:firstLine="0"/>
              <w:rPr>
                <w:rFonts w:ascii="Times New Roman" w:eastAsia="Times New Roman" w:hAnsi="Times New Roman" w:cs="Times New Roman"/>
                <w:color w:val="000000"/>
                <w:szCs w:val="24"/>
              </w:rPr>
            </w:pPr>
            <w:r w:rsidRPr="00C91FBD">
              <w:rPr>
                <w:rFonts w:ascii="Times New Roman" w:eastAsia="Times New Roman" w:hAnsi="Times New Roman" w:cs="Times New Roman"/>
                <w:color w:val="000000"/>
                <w:szCs w:val="24"/>
              </w:rPr>
              <w:lastRenderedPageBreak/>
              <w:t>Notes sténographiques de l’audience du 13</w:t>
            </w:r>
            <w:r w:rsidR="006F0762">
              <w:rPr>
                <w:rFonts w:ascii="Times New Roman" w:eastAsia="Times New Roman" w:hAnsi="Times New Roman" w:cs="Times New Roman"/>
                <w:color w:val="000000"/>
                <w:szCs w:val="24"/>
              </w:rPr>
              <w:t> </w:t>
            </w:r>
            <w:r w:rsidRPr="00C91FBD">
              <w:rPr>
                <w:rFonts w:ascii="Times New Roman" w:eastAsia="Times New Roman" w:hAnsi="Times New Roman" w:cs="Times New Roman"/>
                <w:color w:val="000000"/>
                <w:szCs w:val="24"/>
              </w:rPr>
              <w:t>juin</w:t>
            </w:r>
            <w:r w:rsidR="006F0762">
              <w:rPr>
                <w:rFonts w:ascii="Times New Roman" w:eastAsia="Times New Roman" w:hAnsi="Times New Roman" w:cs="Times New Roman"/>
                <w:color w:val="000000"/>
                <w:szCs w:val="24"/>
              </w:rPr>
              <w:t> </w:t>
            </w:r>
            <w:r w:rsidRPr="00C91FBD">
              <w:rPr>
                <w:rFonts w:ascii="Times New Roman" w:eastAsia="Times New Roman" w:hAnsi="Times New Roman" w:cs="Times New Roman"/>
                <w:color w:val="000000"/>
                <w:szCs w:val="24"/>
              </w:rPr>
              <w:t>2023, page 131, lignes 10 à 23.</w:t>
            </w:r>
          </w:p>
        </w:tc>
        <w:tc>
          <w:tcPr>
            <w:tcW w:w="1776" w:type="dxa"/>
            <w:vAlign w:val="bottom"/>
          </w:tcPr>
          <w:p w14:paraId="68ACD3FC" w14:textId="14004D41" w:rsidR="00F05C88" w:rsidRPr="00726152" w:rsidRDefault="00F05C88" w:rsidP="00DB6A1A">
            <w:pPr>
              <w:spacing w:before="120" w:after="120" w:line="240" w:lineRule="auto"/>
              <w:ind w:left="0" w:firstLine="0"/>
              <w:jc w:val="center"/>
              <w:rPr>
                <w:rFonts w:ascii="Times New Roman" w:eastAsia="Times New Roman" w:hAnsi="Times New Roman" w:cs="Times New Roman"/>
                <w:b/>
                <w:color w:val="000000"/>
              </w:rPr>
            </w:pPr>
            <w:r>
              <w:rPr>
                <w:rFonts w:ascii="Times New Roman" w:eastAsia="Arial" w:hAnsi="Times New Roman" w:cs="Times New Roman"/>
                <w:b/>
                <w:bCs/>
                <w:color w:val="000000"/>
              </w:rPr>
              <w:t>A-0053</w:t>
            </w:r>
          </w:p>
        </w:tc>
      </w:tr>
    </w:tbl>
    <w:p w14:paraId="11A6BB9E" w14:textId="1F873879" w:rsidR="00C91FBD" w:rsidRPr="00C91FBD" w:rsidRDefault="00C91FBD" w:rsidP="00C91FBD">
      <w:pPr>
        <w:pStyle w:val="NumA1"/>
      </w:pPr>
      <w:r w:rsidRPr="00C91FBD">
        <w:t>De l’autre côté, Bitfarms a présenté une preuve solide démontrant, chiffres à l’appui, que le risque de fractionnement des projets était marginal. À ce titre, le témoin de Bitfarms s’est exprimé ainsi lors de l’audience du 15</w:t>
      </w:r>
      <w:r w:rsidR="006F0762">
        <w:t> </w:t>
      </w:r>
      <w:r w:rsidRPr="00C91FBD">
        <w:t>juin</w:t>
      </w:r>
      <w:r w:rsidR="006F0762">
        <w:t> </w:t>
      </w:r>
      <w:r w:rsidRPr="00C91FBD">
        <w:t>2023</w:t>
      </w:r>
      <w:r w:rsidR="006F0762">
        <w:t> </w:t>
      </w:r>
      <w:r w:rsidRPr="00C91FBD">
        <w:t>:</w:t>
      </w:r>
    </w:p>
    <w:p w14:paraId="44786647" w14:textId="471CDA78"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t>«</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 xml:space="preserve">De notre point de vue, </w:t>
      </w:r>
      <w:r w:rsidRPr="00C91FBD">
        <w:rPr>
          <w:rFonts w:asciiTheme="majorHAnsi" w:eastAsia="Times New Roman" w:hAnsiTheme="majorHAnsi" w:cs="Times New Roman"/>
          <w:sz w:val="22"/>
          <w:u w:val="single"/>
        </w:rPr>
        <w:t>c’est impossible aujourd’hui, dans le contexte économique actuel du réseau Bitcoin, de maintenir une opération qui n’a pas une certaine échelle</w:t>
      </w:r>
      <w:r w:rsidRPr="00C91FBD">
        <w:rPr>
          <w:rFonts w:asciiTheme="majorHAnsi" w:eastAsia="Times New Roman" w:hAnsiTheme="majorHAnsi" w:cs="Times New Roman"/>
          <w:sz w:val="22"/>
        </w:rPr>
        <w:t>. Les économies d’échelle sont cruciales pour</w:t>
      </w:r>
      <w:r w:rsidR="006F0762">
        <w:rPr>
          <w:rFonts w:asciiTheme="majorHAnsi" w:eastAsia="Times New Roman" w:hAnsiTheme="majorHAnsi" w:cs="Times New Roman"/>
          <w:sz w:val="22"/>
        </w:rPr>
        <w:t>…</w:t>
      </w:r>
      <w:r w:rsidRPr="00C91FBD">
        <w:rPr>
          <w:rFonts w:asciiTheme="majorHAnsi" w:eastAsia="Times New Roman" w:hAnsiTheme="majorHAnsi" w:cs="Times New Roman"/>
          <w:sz w:val="22"/>
        </w:rPr>
        <w:t xml:space="preserve"> pour pouvoir opérer dans le réseau et lorsqu’on pense, entre autres, à certains enthousiastes qui adorent les cryptos et qui peuvent avoir mis quelques serveurs, bon, dans leur garage ou dans leur maison, ce n’est pas une opération qui, de notre point de vue, peut être pérenne et qui peut se développer dans une entreprise structurée et structurante, et qui peut être de façon fiable un consommateur d’énergie, quitte à participer, même, au délestage. </w:t>
      </w:r>
      <w:r w:rsidRPr="00C91FBD">
        <w:rPr>
          <w:rFonts w:asciiTheme="majorHAnsi" w:eastAsia="Times New Roman" w:hAnsiTheme="majorHAnsi" w:cs="Times New Roman"/>
          <w:sz w:val="22"/>
          <w:u w:val="single"/>
        </w:rPr>
        <w:t>En conclusion, de notre point de vue des opérations aujourd’hui qui seraient aux alentours de deux à trois mégawatts (2-3</w:t>
      </w:r>
      <w:r w:rsidR="006F0762">
        <w:rPr>
          <w:rFonts w:asciiTheme="majorHAnsi" w:eastAsia="Times New Roman" w:hAnsiTheme="majorHAnsi" w:cs="Times New Roman"/>
          <w:sz w:val="22"/>
          <w:u w:val="single"/>
        </w:rPr>
        <w:t> </w:t>
      </w:r>
      <w:r w:rsidRPr="00C91FBD">
        <w:rPr>
          <w:rFonts w:asciiTheme="majorHAnsi" w:eastAsia="Times New Roman" w:hAnsiTheme="majorHAnsi" w:cs="Times New Roman"/>
          <w:sz w:val="22"/>
          <w:u w:val="single"/>
        </w:rPr>
        <w:t>MW), moins de cinq mégawatts (5</w:t>
      </w:r>
      <w:r w:rsidR="006F0762">
        <w:rPr>
          <w:rFonts w:asciiTheme="majorHAnsi" w:eastAsia="Times New Roman" w:hAnsiTheme="majorHAnsi" w:cs="Times New Roman"/>
          <w:sz w:val="22"/>
          <w:u w:val="single"/>
        </w:rPr>
        <w:t> </w:t>
      </w:r>
      <w:r w:rsidRPr="00C91FBD">
        <w:rPr>
          <w:rFonts w:asciiTheme="majorHAnsi" w:eastAsia="Times New Roman" w:hAnsiTheme="majorHAnsi" w:cs="Times New Roman"/>
          <w:sz w:val="22"/>
          <w:u w:val="single"/>
        </w:rPr>
        <w:t>MW), ne sont pas des opérations qui peuvent être pérennes</w:t>
      </w:r>
      <w:r w:rsidRPr="00C91FBD">
        <w:rPr>
          <w:rFonts w:asciiTheme="majorHAnsi" w:eastAsia="Times New Roman" w:hAnsiTheme="majorHAnsi" w:cs="Times New Roman"/>
          <w:sz w:val="22"/>
        </w:rPr>
        <w:t>.</w:t>
      </w:r>
    </w:p>
    <w:p w14:paraId="59F88F61" w14:textId="77777777"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t>[…]</w:t>
      </w:r>
    </w:p>
    <w:p w14:paraId="2FA1510F" w14:textId="2C2B0A9E" w:rsidR="00C91FBD" w:rsidRPr="00C91FBD" w:rsidRDefault="00C91FBD" w:rsidP="00C91FBD">
      <w:pPr>
        <w:ind w:left="1440" w:right="720" w:firstLine="0"/>
        <w:rPr>
          <w:rFonts w:asciiTheme="majorHAnsi" w:eastAsia="Times New Roman" w:hAnsiTheme="majorHAnsi" w:cs="Times New Roman"/>
          <w:sz w:val="22"/>
        </w:rPr>
      </w:pPr>
      <w:r w:rsidRPr="00C91FBD">
        <w:rPr>
          <w:rFonts w:asciiTheme="majorHAnsi" w:eastAsia="Times New Roman" w:hAnsiTheme="majorHAnsi" w:cs="Times New Roman"/>
          <w:sz w:val="22"/>
        </w:rPr>
        <w:t>Et pour pouvoir construire une entreprise autour de ça, ça prend une taille qui, à notre avis, va bien au-delà des cinq mégawatts (5</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 xml:space="preserve">MW). </w:t>
      </w:r>
      <w:r w:rsidRPr="00C91FBD">
        <w:rPr>
          <w:rFonts w:asciiTheme="majorHAnsi" w:eastAsia="Times New Roman" w:hAnsiTheme="majorHAnsi" w:cs="Times New Roman"/>
          <w:sz w:val="22"/>
          <w:u w:val="single"/>
        </w:rPr>
        <w:t>On serait très, très, très surpris que le bloc soit attribué dans des morceaux qui vont en bas de cinq mégawatts (5</w:t>
      </w:r>
      <w:r w:rsidR="006F0762">
        <w:rPr>
          <w:rFonts w:asciiTheme="majorHAnsi" w:eastAsia="Times New Roman" w:hAnsiTheme="majorHAnsi" w:cs="Times New Roman"/>
          <w:sz w:val="22"/>
          <w:u w:val="single"/>
        </w:rPr>
        <w:t> </w:t>
      </w:r>
      <w:r w:rsidRPr="00C91FBD">
        <w:rPr>
          <w:rFonts w:asciiTheme="majorHAnsi" w:eastAsia="Times New Roman" w:hAnsiTheme="majorHAnsi" w:cs="Times New Roman"/>
          <w:sz w:val="22"/>
          <w:u w:val="single"/>
        </w:rPr>
        <w:t>MW)</w:t>
      </w:r>
      <w:r w:rsidRPr="00C91FBD">
        <w:rPr>
          <w:rFonts w:asciiTheme="majorHAnsi" w:eastAsia="Times New Roman" w:hAnsiTheme="majorHAnsi" w:cs="Times New Roman"/>
          <w:sz w:val="22"/>
        </w:rPr>
        <w:t>.</w:t>
      </w:r>
      <w:r w:rsidR="006F0762">
        <w:rPr>
          <w:rFonts w:asciiTheme="majorHAnsi" w:eastAsia="Times New Roman" w:hAnsiTheme="majorHAnsi" w:cs="Times New Roman"/>
          <w:sz w:val="22"/>
        </w:rPr>
        <w:t> </w:t>
      </w:r>
      <w:r w:rsidRPr="00C91FBD">
        <w:rPr>
          <w:rFonts w:asciiTheme="majorHAnsi" w:eastAsia="Times New Roman" w:hAnsiTheme="majorHAnsi" w:cs="Times New Roman"/>
          <w:sz w:val="22"/>
        </w:rPr>
        <w:t>»</w:t>
      </w:r>
    </w:p>
    <w:p w14:paraId="5AAF779A" w14:textId="77777777" w:rsidR="00C91FBD" w:rsidRPr="00C91FBD" w:rsidRDefault="00C91FBD" w:rsidP="00C91FBD">
      <w:pPr>
        <w:ind w:left="1440" w:right="720" w:firstLine="0"/>
        <w:jc w:val="right"/>
        <w:rPr>
          <w:rFonts w:asciiTheme="majorHAnsi" w:eastAsia="Times New Roman" w:hAnsiTheme="majorHAnsi" w:cs="Times New Roman"/>
          <w:sz w:val="22"/>
        </w:rPr>
      </w:pPr>
      <w:r w:rsidRPr="00C91FBD">
        <w:rPr>
          <w:rFonts w:asciiTheme="majorHAnsi" w:eastAsia="Times New Roman" w:hAnsiTheme="majorHAnsi" w:cs="Times New Roman"/>
          <w:sz w:val="22"/>
        </w:rPr>
        <w:t>[Nous soulignons]</w:t>
      </w:r>
    </w:p>
    <w:tbl>
      <w:tblPr>
        <w:tblW w:w="8958" w:type="dxa"/>
        <w:tblInd w:w="648" w:type="dxa"/>
        <w:tblLook w:val="00A0" w:firstRow="1" w:lastRow="0" w:firstColumn="1" w:lastColumn="0" w:noHBand="0" w:noVBand="0"/>
      </w:tblPr>
      <w:tblGrid>
        <w:gridCol w:w="7182"/>
        <w:gridCol w:w="1776"/>
      </w:tblGrid>
      <w:tr w:rsidR="00F05C88" w:rsidRPr="00726152" w14:paraId="6B124E05" w14:textId="77777777" w:rsidTr="00F05C88">
        <w:tc>
          <w:tcPr>
            <w:tcW w:w="7182" w:type="dxa"/>
          </w:tcPr>
          <w:p w14:paraId="400C8D68" w14:textId="6B17D774" w:rsidR="00F05C88" w:rsidRPr="00726152" w:rsidRDefault="00F05C88" w:rsidP="00DB6A1A">
            <w:pPr>
              <w:spacing w:before="120" w:after="120" w:line="240" w:lineRule="auto"/>
              <w:ind w:left="72" w:firstLine="0"/>
              <w:rPr>
                <w:rFonts w:ascii="Times New Roman" w:eastAsia="Times New Roman" w:hAnsi="Times New Roman" w:cs="Times New Roman"/>
                <w:color w:val="000000"/>
                <w:szCs w:val="24"/>
              </w:rPr>
            </w:pPr>
            <w:r w:rsidRPr="00C91FBD">
              <w:rPr>
                <w:rFonts w:ascii="Times New Roman" w:eastAsia="Times New Roman" w:hAnsi="Times New Roman" w:cs="Times New Roman"/>
                <w:color w:val="000000"/>
                <w:szCs w:val="24"/>
              </w:rPr>
              <w:t>Notes sténographiques de l’audience du 15</w:t>
            </w:r>
            <w:r w:rsidR="006F0762">
              <w:rPr>
                <w:rFonts w:ascii="Times New Roman" w:eastAsia="Times New Roman" w:hAnsi="Times New Roman" w:cs="Times New Roman"/>
                <w:color w:val="000000"/>
                <w:szCs w:val="24"/>
              </w:rPr>
              <w:t> </w:t>
            </w:r>
            <w:r w:rsidRPr="00C91FBD">
              <w:rPr>
                <w:rFonts w:ascii="Times New Roman" w:eastAsia="Times New Roman" w:hAnsi="Times New Roman" w:cs="Times New Roman"/>
                <w:color w:val="000000"/>
                <w:szCs w:val="24"/>
              </w:rPr>
              <w:t>juin</w:t>
            </w:r>
            <w:r w:rsidR="006F0762">
              <w:rPr>
                <w:rFonts w:ascii="Times New Roman" w:eastAsia="Times New Roman" w:hAnsi="Times New Roman" w:cs="Times New Roman"/>
                <w:color w:val="000000"/>
                <w:szCs w:val="24"/>
              </w:rPr>
              <w:t> </w:t>
            </w:r>
            <w:r w:rsidRPr="00C91FBD">
              <w:rPr>
                <w:rFonts w:ascii="Times New Roman" w:eastAsia="Times New Roman" w:hAnsi="Times New Roman" w:cs="Times New Roman"/>
                <w:color w:val="000000"/>
                <w:szCs w:val="24"/>
              </w:rPr>
              <w:t>2023, pages 41 à 43.</w:t>
            </w:r>
          </w:p>
        </w:tc>
        <w:tc>
          <w:tcPr>
            <w:tcW w:w="1776" w:type="dxa"/>
            <w:vAlign w:val="bottom"/>
          </w:tcPr>
          <w:p w14:paraId="3C9995BD" w14:textId="742061AB" w:rsidR="00F05C88" w:rsidRPr="00726152" w:rsidRDefault="00F05C88" w:rsidP="00DB6A1A">
            <w:pPr>
              <w:spacing w:before="120" w:after="120" w:line="240" w:lineRule="auto"/>
              <w:ind w:left="0" w:firstLine="0"/>
              <w:jc w:val="center"/>
              <w:rPr>
                <w:rFonts w:ascii="Times New Roman" w:eastAsia="Times New Roman" w:hAnsi="Times New Roman" w:cs="Times New Roman"/>
                <w:b/>
                <w:color w:val="000000"/>
              </w:rPr>
            </w:pPr>
            <w:r>
              <w:rPr>
                <w:rFonts w:ascii="Times New Roman" w:eastAsia="Arial" w:hAnsi="Times New Roman" w:cs="Times New Roman"/>
                <w:b/>
                <w:bCs/>
                <w:color w:val="000000"/>
              </w:rPr>
              <w:t>A-0058</w:t>
            </w:r>
          </w:p>
        </w:tc>
      </w:tr>
    </w:tbl>
    <w:p w14:paraId="5D15434D" w14:textId="479021D7" w:rsidR="00C91FBD" w:rsidRPr="00C91FBD" w:rsidRDefault="00C91FBD" w:rsidP="00C91FBD">
      <w:pPr>
        <w:pStyle w:val="NumA1"/>
      </w:pPr>
      <w:r w:rsidRPr="00C91FBD">
        <w:t xml:space="preserve">Sur la base de ce qui précède, </w:t>
      </w:r>
      <w:r w:rsidR="00F05C88">
        <w:t>HIVE</w:t>
      </w:r>
      <w:r w:rsidRPr="00C91FBD">
        <w:t xml:space="preserve"> soumet que l’argument du Distributeur sur le fractionnement ne devrait pas être retenu par la Régie. Cet argument n’est supporté par aucun</w:t>
      </w:r>
      <w:r w:rsidR="006F0762">
        <w:t>e</w:t>
      </w:r>
      <w:r w:rsidRPr="00C91FBD">
        <w:t xml:space="preserve"> preuve. Par ailleurs, il est contredit par une preuve quantitative et qualitative solide présentée par un joueur crédible de l’industrie</w:t>
      </w:r>
      <w:r w:rsidR="00F05C88">
        <w:t>;</w:t>
      </w:r>
    </w:p>
    <w:p w14:paraId="7B823360" w14:textId="7850564D" w:rsidR="009B4317" w:rsidRDefault="00F05C88" w:rsidP="00F1699A">
      <w:pPr>
        <w:pStyle w:val="NumA1"/>
      </w:pPr>
      <w:r>
        <w:t>La proposition de modification tarifaire p</w:t>
      </w:r>
      <w:r w:rsidR="009B4317">
        <w:t>ermettrait de</w:t>
      </w:r>
      <w:r w:rsidR="009847D1">
        <w:t> </w:t>
      </w:r>
      <w:r w:rsidR="009B4317">
        <w:t>:</w:t>
      </w:r>
    </w:p>
    <w:p w14:paraId="4CF9DE8A" w14:textId="6B950D02" w:rsidR="009B4317" w:rsidRDefault="009B4317" w:rsidP="009B4317">
      <w:pPr>
        <w:pStyle w:val="ParaNum11"/>
        <w:numPr>
          <w:ilvl w:val="0"/>
          <w:numId w:val="19"/>
        </w:numPr>
      </w:pPr>
      <w:r>
        <w:t>Conserver le Solde du Bloc réservé au bénéfice des clients du Tarifs CB et se conformer à la fois aux décisions rendues par la Régie dans le dossier</w:t>
      </w:r>
      <w:r w:rsidR="009847D1">
        <w:t> </w:t>
      </w:r>
      <w:r>
        <w:t>R-4045-2018 et au Décret;</w:t>
      </w:r>
    </w:p>
    <w:p w14:paraId="28DB26EE" w14:textId="53273957" w:rsidR="009B4317" w:rsidRDefault="009B4317" w:rsidP="009B4317">
      <w:pPr>
        <w:pStyle w:val="ParaNum11"/>
        <w:numPr>
          <w:ilvl w:val="0"/>
          <w:numId w:val="19"/>
        </w:numPr>
      </w:pPr>
      <w:r>
        <w:t>Éviter une modification à l’article</w:t>
      </w:r>
      <w:r w:rsidR="009847D1">
        <w:t> </w:t>
      </w:r>
      <w:r>
        <w:t>7.2 des Tarifs du Distributeur et donc respecter les dispositions de l’article</w:t>
      </w:r>
      <w:r w:rsidR="009847D1">
        <w:t> </w:t>
      </w:r>
      <w:r>
        <w:t>48.2 de la LR</w:t>
      </w:r>
      <w:r w:rsidR="00F05C88">
        <w:t>E</w:t>
      </w:r>
      <w:r>
        <w:t>;</w:t>
      </w:r>
    </w:p>
    <w:p w14:paraId="7A714748" w14:textId="6B740A33" w:rsidR="009B4317" w:rsidRDefault="009B4317" w:rsidP="009B4317">
      <w:pPr>
        <w:pStyle w:val="ParaNum11"/>
        <w:numPr>
          <w:ilvl w:val="0"/>
          <w:numId w:val="19"/>
        </w:numPr>
      </w:pPr>
      <w:r>
        <w:lastRenderedPageBreak/>
        <w:t>Reconnaître que le Solde du Bloc réservé peut être assujetti à la procédure d’allocation prévue à la Loi</w:t>
      </w:r>
      <w:r w:rsidR="009847D1">
        <w:t> </w:t>
      </w:r>
      <w:r>
        <w:t>2;</w:t>
      </w:r>
    </w:p>
    <w:p w14:paraId="66C898A7" w14:textId="7ED7E433" w:rsidR="009B4317" w:rsidRDefault="009B4317" w:rsidP="009B4317">
      <w:pPr>
        <w:pStyle w:val="ParaNum11"/>
        <w:numPr>
          <w:ilvl w:val="0"/>
          <w:numId w:val="19"/>
        </w:numPr>
      </w:pPr>
      <w:r>
        <w:t>Clarifier l’application du Tarif CB à la puissance autorisée suite à la délivrance d’une autorisation par le ministre conformément à la procédure d’allocation prévue à la Loi</w:t>
      </w:r>
      <w:r w:rsidR="009847D1">
        <w:t> </w:t>
      </w:r>
      <w:r>
        <w:t>2 et évacuer l’application du tarif dissuasif à cette puissance autorisée.</w:t>
      </w:r>
    </w:p>
    <w:p w14:paraId="1F5E1A14" w14:textId="38F60D6E" w:rsidR="002F320E" w:rsidRDefault="009B4317" w:rsidP="00F1699A">
      <w:pPr>
        <w:pStyle w:val="NumA1"/>
      </w:pPr>
      <w:r w:rsidRPr="00217248">
        <w:t>Cette proposition est pragmatique, répond aux préoccupations des Clients CB, est conforme au cadre réglementaire applicable et permet à la Régie d’assure</w:t>
      </w:r>
      <w:r>
        <w:t>r</w:t>
      </w:r>
      <w:r w:rsidRPr="00217248">
        <w:t xml:space="preserve"> la conciliation entre l’intérêt public, la protection des consommateurs et un traitement équitable </w:t>
      </w:r>
      <w:r>
        <w:t>du Distributeur.</w:t>
      </w:r>
    </w:p>
    <w:p w14:paraId="526DF4A6" w14:textId="77777777" w:rsidR="006F0762" w:rsidRDefault="006F0762" w:rsidP="006F0762">
      <w:pPr>
        <w:pStyle w:val="NumA1"/>
        <w:numPr>
          <w:ilvl w:val="0"/>
          <w:numId w:val="0"/>
        </w:numPr>
        <w:ind w:left="720"/>
      </w:pPr>
    </w:p>
    <w:p w14:paraId="2C04FFB1" w14:textId="5F4F6D47" w:rsidR="002F320E" w:rsidRPr="00A87F7D" w:rsidRDefault="00A87F7D" w:rsidP="002F320E">
      <w:pPr>
        <w:pStyle w:val="NumA1"/>
        <w:numPr>
          <w:ilvl w:val="0"/>
          <w:numId w:val="0"/>
        </w:numPr>
        <w:ind w:left="720"/>
        <w:rPr>
          <w:b/>
          <w:bCs/>
        </w:rPr>
      </w:pPr>
      <w:r w:rsidRPr="00A87F7D">
        <w:rPr>
          <w:b/>
          <w:bCs/>
        </w:rPr>
        <w:t>NOS CONCLUSIONS SONT À LA PAGE SUIVANTE</w:t>
      </w:r>
      <w:r w:rsidR="006F0762">
        <w:rPr>
          <w:b/>
          <w:bCs/>
        </w:rPr>
        <w:t>.</w:t>
      </w:r>
    </w:p>
    <w:p w14:paraId="3306A49C" w14:textId="77777777" w:rsidR="002F320E" w:rsidRDefault="002F320E">
      <w:pPr>
        <w:rPr>
          <w:rFonts w:eastAsia="Times New Roman" w:cstheme="minorHAnsi"/>
        </w:rPr>
      </w:pPr>
      <w:r>
        <w:br w:type="page"/>
      </w:r>
    </w:p>
    <w:p w14:paraId="070BBF89" w14:textId="0E4F98B7" w:rsidR="000460D1" w:rsidRDefault="009A6C89" w:rsidP="00BC6BDB">
      <w:pPr>
        <w:pStyle w:val="NumA2"/>
        <w:keepNext/>
      </w:pPr>
      <w:r w:rsidRPr="00705BB3">
        <w:lastRenderedPageBreak/>
        <w:t>conclusion</w:t>
      </w:r>
      <w:r w:rsidR="00A87F7D">
        <w:t>S</w:t>
      </w:r>
    </w:p>
    <w:p w14:paraId="14409DD2" w14:textId="0F73FDDF" w:rsidR="002654D7" w:rsidRDefault="006048E3" w:rsidP="00BC6BDB">
      <w:pPr>
        <w:pStyle w:val="NumA1"/>
        <w:keepNext/>
        <w:numPr>
          <w:ilvl w:val="0"/>
          <w:numId w:val="0"/>
        </w:numPr>
        <w:ind w:left="709"/>
      </w:pPr>
      <w:r>
        <w:t>HIVE</w:t>
      </w:r>
      <w:r w:rsidR="00BC7AB2">
        <w:t xml:space="preserve"> demande donc</w:t>
      </w:r>
      <w:r w:rsidR="002654D7">
        <w:t xml:space="preserve"> à la Régie </w:t>
      </w:r>
      <w:r w:rsidR="606231ED">
        <w:t xml:space="preserve">de </w:t>
      </w:r>
      <w:r w:rsidR="00DB1763" w:rsidRPr="003A7A1B">
        <w:rPr>
          <w:b/>
          <w:bCs/>
        </w:rPr>
        <w:t>REJETER</w:t>
      </w:r>
      <w:r w:rsidR="00DB1763">
        <w:t xml:space="preserve"> </w:t>
      </w:r>
      <w:r w:rsidR="606231ED">
        <w:t>la demande du Distributeur</w:t>
      </w:r>
      <w:r w:rsidR="00D93D4B">
        <w:t>;</w:t>
      </w:r>
    </w:p>
    <w:p w14:paraId="6FDF15CC" w14:textId="0B3BE70A" w:rsidR="007D7789" w:rsidRDefault="007D7789" w:rsidP="00BC6BDB">
      <w:pPr>
        <w:pStyle w:val="NumA1"/>
        <w:keepNext/>
        <w:numPr>
          <w:ilvl w:val="0"/>
          <w:numId w:val="0"/>
        </w:numPr>
        <w:ind w:left="709"/>
      </w:pPr>
      <w:r>
        <w:t>HIVE</w:t>
      </w:r>
      <w:r w:rsidRPr="007D7789">
        <w:t xml:space="preserve"> demande à la Régie de </w:t>
      </w:r>
      <w:r w:rsidR="009B4317" w:rsidRPr="009243DB">
        <w:rPr>
          <w:b/>
          <w:bCs/>
        </w:rPr>
        <w:t>MODIFIER</w:t>
      </w:r>
      <w:r w:rsidR="009B4317">
        <w:t xml:space="preserve"> la définition du «</w:t>
      </w:r>
      <w:r w:rsidR="006F0762">
        <w:t> </w:t>
      </w:r>
      <w:r w:rsidR="009B4317">
        <w:t>bloc réservé</w:t>
      </w:r>
      <w:r w:rsidR="006F0762">
        <w:t> </w:t>
      </w:r>
      <w:r w:rsidR="009B4317">
        <w:t>» prévue aux Conditions de service.</w:t>
      </w:r>
    </w:p>
    <w:p w14:paraId="2E9F1815" w14:textId="07D35095" w:rsidR="00760EC0" w:rsidRDefault="00760EC0" w:rsidP="00BC6BDB">
      <w:pPr>
        <w:pStyle w:val="NumA1"/>
        <w:keepNext/>
        <w:numPr>
          <w:ilvl w:val="0"/>
          <w:numId w:val="0"/>
        </w:numPr>
        <w:ind w:left="709"/>
      </w:pPr>
      <w:r w:rsidRPr="003A7A1B">
        <w:t>Le</w:t>
      </w:r>
      <w:r>
        <w:t xml:space="preserve"> tout, respectueusement soumis.</w:t>
      </w:r>
    </w:p>
    <w:p w14:paraId="504384DE" w14:textId="29122FFE" w:rsidR="000460D1" w:rsidRDefault="009A6C89" w:rsidP="009C23DD">
      <w:pPr>
        <w:pStyle w:val="AdminL1"/>
        <w:numPr>
          <w:ilvl w:val="0"/>
          <w:numId w:val="0"/>
        </w:numPr>
        <w:tabs>
          <w:tab w:val="left" w:pos="4320"/>
        </w:tabs>
        <w:spacing w:line="240" w:lineRule="auto"/>
        <w:ind w:left="4320"/>
        <w:rPr>
          <w:rFonts w:asciiTheme="minorHAnsi" w:hAnsiTheme="minorHAnsi" w:cstheme="minorHAnsi"/>
          <w:szCs w:val="24"/>
        </w:rPr>
      </w:pPr>
      <w:r>
        <w:rPr>
          <w:rFonts w:asciiTheme="minorHAnsi" w:hAnsiTheme="minorHAnsi" w:cstheme="minorHAnsi"/>
          <w:szCs w:val="24"/>
        </w:rPr>
        <w:t xml:space="preserve">Montréal, le </w:t>
      </w:r>
      <w:r w:rsidR="007D7789">
        <w:rPr>
          <w:rFonts w:asciiTheme="minorHAnsi" w:hAnsiTheme="minorHAnsi" w:cstheme="minorHAnsi"/>
          <w:szCs w:val="24"/>
        </w:rPr>
        <w:t>21</w:t>
      </w:r>
      <w:r w:rsidR="009847D1">
        <w:rPr>
          <w:rFonts w:asciiTheme="minorHAnsi" w:hAnsiTheme="minorHAnsi" w:cstheme="minorHAnsi"/>
          <w:szCs w:val="24"/>
        </w:rPr>
        <w:t> </w:t>
      </w:r>
      <w:r w:rsidR="007D7789">
        <w:rPr>
          <w:rFonts w:asciiTheme="minorHAnsi" w:hAnsiTheme="minorHAnsi" w:cstheme="minorHAnsi"/>
          <w:szCs w:val="24"/>
        </w:rPr>
        <w:t>juin</w:t>
      </w:r>
      <w:r w:rsidR="009847D1">
        <w:rPr>
          <w:rFonts w:asciiTheme="minorHAnsi" w:hAnsiTheme="minorHAnsi" w:cstheme="minorHAnsi"/>
          <w:szCs w:val="24"/>
        </w:rPr>
        <w:t> </w:t>
      </w:r>
      <w:r w:rsidR="007D7789">
        <w:rPr>
          <w:rFonts w:asciiTheme="minorHAnsi" w:hAnsiTheme="minorHAnsi" w:cstheme="minorHAnsi"/>
          <w:szCs w:val="24"/>
        </w:rPr>
        <w:t>2023</w:t>
      </w:r>
    </w:p>
    <w:p w14:paraId="494D27FE" w14:textId="77777777" w:rsidR="000460D1" w:rsidRPr="00DA4B37" w:rsidRDefault="009A6C89" w:rsidP="009C23DD">
      <w:pPr>
        <w:pStyle w:val="AdminL1"/>
        <w:numPr>
          <w:ilvl w:val="0"/>
          <w:numId w:val="0"/>
        </w:numPr>
        <w:pBdr>
          <w:bottom w:val="single" w:sz="4" w:space="1" w:color="auto"/>
        </w:pBdr>
        <w:tabs>
          <w:tab w:val="left" w:pos="4320"/>
        </w:tabs>
        <w:spacing w:line="240" w:lineRule="auto"/>
        <w:ind w:left="4320"/>
        <w:rPr>
          <w:rFonts w:ascii="Bradley Hand ITC" w:hAnsi="Bradley Hand ITC" w:cstheme="minorHAnsi"/>
        </w:rPr>
      </w:pPr>
      <w:r w:rsidRPr="00DA4B37">
        <w:rPr>
          <w:rFonts w:ascii="Bradley Hand ITC" w:hAnsi="Bradley Hand ITC" w:cstheme="minorHAnsi"/>
        </w:rPr>
        <w:t>(s) Fasken Martineau</w:t>
      </w:r>
    </w:p>
    <w:p w14:paraId="300411F7" w14:textId="77777777" w:rsidR="000460D1" w:rsidRPr="007E6469" w:rsidRDefault="009A6C89" w:rsidP="00DA4B37">
      <w:pPr>
        <w:pStyle w:val="AdminL1"/>
        <w:numPr>
          <w:ilvl w:val="0"/>
          <w:numId w:val="0"/>
        </w:numPr>
        <w:tabs>
          <w:tab w:val="left" w:pos="4320"/>
        </w:tabs>
        <w:spacing w:after="0" w:line="240" w:lineRule="auto"/>
        <w:ind w:left="4320"/>
        <w:jc w:val="left"/>
        <w:rPr>
          <w:rFonts w:cstheme="minorHAnsi"/>
          <w:b/>
          <w:szCs w:val="24"/>
        </w:rPr>
      </w:pPr>
      <w:r w:rsidRPr="007E6469">
        <w:rPr>
          <w:rFonts w:cstheme="minorHAnsi"/>
          <w:b/>
          <w:szCs w:val="24"/>
        </w:rPr>
        <w:t>FASKEN MARTINEAU DuMOULIN S.E.N.C.R.L.</w:t>
      </w:r>
    </w:p>
    <w:p w14:paraId="3FBFF0CB" w14:textId="57931738" w:rsidR="00D34CE8" w:rsidRPr="00CC18FC" w:rsidRDefault="009A6C89" w:rsidP="00DA4B37">
      <w:pPr>
        <w:pStyle w:val="AdminL1"/>
        <w:numPr>
          <w:ilvl w:val="0"/>
          <w:numId w:val="0"/>
        </w:numPr>
        <w:tabs>
          <w:tab w:val="left" w:pos="4320"/>
        </w:tabs>
        <w:spacing w:before="120" w:line="240" w:lineRule="auto"/>
        <w:ind w:left="4320"/>
        <w:jc w:val="left"/>
        <w:rPr>
          <w:rFonts w:cstheme="minorHAnsi"/>
        </w:rPr>
      </w:pPr>
      <w:r w:rsidRPr="007E6469">
        <w:rPr>
          <w:rFonts w:asciiTheme="minorHAnsi" w:hAnsiTheme="minorHAnsi" w:cstheme="minorHAnsi"/>
          <w:szCs w:val="24"/>
        </w:rPr>
        <w:t>Procureur</w:t>
      </w:r>
      <w:r w:rsidR="00DA4B37">
        <w:rPr>
          <w:rFonts w:asciiTheme="minorHAnsi" w:hAnsiTheme="minorHAnsi" w:cstheme="minorHAnsi"/>
          <w:szCs w:val="24"/>
        </w:rPr>
        <w:t>s</w:t>
      </w:r>
      <w:r>
        <w:rPr>
          <w:rFonts w:cstheme="minorHAnsi"/>
        </w:rPr>
        <w:t xml:space="preserve"> de l’intervenante </w:t>
      </w:r>
      <w:r w:rsidR="00DA4B37">
        <w:rPr>
          <w:rFonts w:cstheme="minorHAnsi"/>
        </w:rPr>
        <w:br/>
      </w:r>
      <w:r w:rsidR="00D76EA7" w:rsidRPr="00BC592D">
        <w:t>HIVE BLOCKCHAIN TECHNOLOGIES LTD</w:t>
      </w:r>
    </w:p>
    <w:sectPr w:rsidR="00D34CE8" w:rsidRPr="00CC18F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96" w:left="1440"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E40F" w14:textId="77777777" w:rsidR="00A97768" w:rsidRDefault="00A97768">
      <w:r>
        <w:separator/>
      </w:r>
    </w:p>
  </w:endnote>
  <w:endnote w:type="continuationSeparator" w:id="0">
    <w:p w14:paraId="02DE707D" w14:textId="77777777" w:rsidR="00A97768" w:rsidRDefault="00A97768">
      <w:r>
        <w:continuationSeparator/>
      </w:r>
    </w:p>
  </w:endnote>
  <w:endnote w:type="continuationNotice" w:id="1">
    <w:p w14:paraId="282A08D1" w14:textId="77777777" w:rsidR="00A97768" w:rsidRDefault="00A9776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Gras">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C53F" w14:textId="55AC3F52" w:rsidR="000460D1" w:rsidRDefault="009A6C89">
    <w:pPr>
      <w:pStyle w:val="Pieddepage"/>
    </w:pPr>
    <w:r>
      <w:t>115805.00191/106606359.1</w:t>
    </w:r>
  </w:p>
  <w:p w14:paraId="4C06195C" w14:textId="605D084F" w:rsidR="00996B8D" w:rsidRDefault="00D8255A" w:rsidP="00996B8D">
    <w:pPr>
      <w:pStyle w:val="DocID"/>
    </w:pPr>
    <w:fldSimple w:instr=" DOCPROPERTY DOCXDOCID DMS=InterwovenIManage Format=&lt;&lt;CLT&gt;&gt;.&lt;&lt;MTR&gt;&gt;/&lt;&lt;NUM&gt;&gt;.&lt;&lt;VER&gt;&gt; PRESERVELOCATION \* MERGEFORMAT ">
      <w:r w:rsidR="000846BB">
        <w:t>323195.00001/300153719.3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954305"/>
      <w:docPartObj>
        <w:docPartGallery w:val="Page Numbers (Bottom of Page)"/>
        <w:docPartUnique/>
      </w:docPartObj>
    </w:sdtPr>
    <w:sdtEndPr/>
    <w:sdtContent>
      <w:p w14:paraId="1D4CFCD3" w14:textId="77777777" w:rsidR="000460D1" w:rsidRDefault="009A6C89">
        <w:pPr>
          <w:pStyle w:val="Pieddepage"/>
          <w:jc w:val="center"/>
        </w:pPr>
        <w:r>
          <w:fldChar w:fldCharType="begin"/>
        </w:r>
        <w:r>
          <w:instrText>PAGE   \* MERGEFORMAT</w:instrText>
        </w:r>
        <w:r>
          <w:fldChar w:fldCharType="separate"/>
        </w:r>
        <w:r>
          <w:rPr>
            <w:noProof/>
            <w:lang w:val="fr-FR"/>
          </w:rPr>
          <w:t>13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927E" w14:textId="77777777" w:rsidR="006F0762" w:rsidRDefault="006F07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51E2" w14:textId="77777777" w:rsidR="00A97768" w:rsidRDefault="00A97768">
      <w:r>
        <w:separator/>
      </w:r>
    </w:p>
  </w:footnote>
  <w:footnote w:type="continuationSeparator" w:id="0">
    <w:p w14:paraId="24614061" w14:textId="77777777" w:rsidR="00A97768" w:rsidRDefault="00A97768">
      <w:r>
        <w:continuationSeparator/>
      </w:r>
    </w:p>
  </w:footnote>
  <w:footnote w:type="continuationNotice" w:id="1">
    <w:p w14:paraId="1F2820C5" w14:textId="77777777" w:rsidR="00A97768" w:rsidRDefault="00A9776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E667" w14:textId="77777777" w:rsidR="006F0762" w:rsidRDefault="006F07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C06B" w14:textId="5EDA78D9" w:rsidR="000460D1" w:rsidRDefault="000460D1">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0368" w14:textId="77777777" w:rsidR="006F0762" w:rsidRDefault="006F07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2C4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DA1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D8B8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5471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0EC0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A894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7ED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709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7CD2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BAD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A5DCE"/>
    <w:multiLevelType w:val="multilevel"/>
    <w:tmpl w:val="462C81B6"/>
    <w:lvl w:ilvl="0">
      <w:start w:val="1"/>
      <w:numFmt w:val="decimal"/>
      <w:lvlRestart w:val="0"/>
      <w:pStyle w:val="ParaNum2FL1"/>
      <w:lvlText w:val="%1."/>
      <w:lvlJc w:val="left"/>
      <w:pPr>
        <w:tabs>
          <w:tab w:val="num" w:pos="720"/>
        </w:tabs>
        <w:ind w:left="720" w:hanging="720"/>
      </w:pPr>
      <w:rPr>
        <w:rFonts w:ascii="Times New Roman" w:hAnsi="Times New Roman" w:cs="Times New Roman" w:hint="default"/>
        <w:b w:val="0"/>
        <w:i w:val="0"/>
        <w:caps w:val="0"/>
        <w:smallCaps w:val="0"/>
        <w:sz w:val="24"/>
        <w:u w:val="none"/>
      </w:rPr>
    </w:lvl>
    <w:lvl w:ilvl="1">
      <w:start w:val="1"/>
      <w:numFmt w:val="lowerLetter"/>
      <w:pStyle w:val="ParaNum2FL2"/>
      <w:lvlText w:val="%2)"/>
      <w:lvlJc w:val="left"/>
      <w:pPr>
        <w:tabs>
          <w:tab w:val="num" w:pos="1440"/>
        </w:tabs>
        <w:ind w:left="1440" w:hanging="720"/>
      </w:pPr>
      <w:rPr>
        <w:rFonts w:ascii="Times New Roman" w:hAnsi="Times New Roman" w:cs="Times New Roman" w:hint="default"/>
        <w:b w:val="0"/>
        <w:i w:val="0"/>
        <w:caps w:val="0"/>
        <w:smallCaps w:val="0"/>
        <w:sz w:val="24"/>
        <w:u w:val="none"/>
      </w:rPr>
    </w:lvl>
    <w:lvl w:ilvl="2">
      <w:start w:val="1"/>
      <w:numFmt w:val="lowerRoman"/>
      <w:pStyle w:val="ParaNum2FL3"/>
      <w:lvlText w:val="%3)"/>
      <w:lvlJc w:val="left"/>
      <w:pPr>
        <w:tabs>
          <w:tab w:val="num" w:pos="2160"/>
        </w:tabs>
        <w:ind w:left="2160" w:hanging="720"/>
      </w:pPr>
      <w:rPr>
        <w:rFonts w:ascii="Times New Roman" w:hAnsi="Times New Roman" w:cs="Times New Roman"/>
        <w:b w:val="0"/>
        <w:i w:val="0"/>
        <w:caps w:val="0"/>
        <w:smallCaps w:val="0"/>
        <w:sz w:val="24"/>
        <w:u w:val="none"/>
      </w:rPr>
    </w:lvl>
    <w:lvl w:ilvl="3">
      <w:start w:val="1"/>
      <w:numFmt w:val="upperLetter"/>
      <w:pStyle w:val="ParaNum2FL4"/>
      <w:lvlText w:val="%4)"/>
      <w:lvlJc w:val="left"/>
      <w:pPr>
        <w:tabs>
          <w:tab w:val="num" w:pos="2880"/>
        </w:tabs>
        <w:ind w:left="2880" w:hanging="720"/>
      </w:pPr>
      <w:rPr>
        <w:rFonts w:ascii="Times New Roman" w:hAnsi="Times New Roman" w:cs="Times New Roman"/>
        <w:b w:val="0"/>
        <w:i w:val="0"/>
        <w:caps w:val="0"/>
        <w:smallCaps w:val="0"/>
        <w:sz w:val="24"/>
        <w:u w:val="none"/>
      </w:rPr>
    </w:lvl>
    <w:lvl w:ilvl="4">
      <w:start w:val="1"/>
      <w:numFmt w:val="upperRoman"/>
      <w:pStyle w:val="ParaNum2FL5"/>
      <w:lvlText w:val="%5)"/>
      <w:lvlJc w:val="left"/>
      <w:pPr>
        <w:tabs>
          <w:tab w:val="num" w:pos="3600"/>
        </w:tabs>
        <w:ind w:left="3600" w:hanging="720"/>
      </w:pPr>
      <w:rPr>
        <w:rFonts w:ascii="Times New Roman" w:hAnsi="Times New Roman" w:cs="Times New Roman"/>
        <w:b w:val="0"/>
        <w:i w:val="0"/>
        <w:caps w:val="0"/>
        <w:smallCaps w:val="0"/>
        <w:sz w:val="24"/>
        <w:u w:val="none"/>
      </w:rPr>
    </w:lvl>
    <w:lvl w:ilvl="5">
      <w:start w:val="1"/>
      <w:numFmt w:val="decimal"/>
      <w:pStyle w:val="ParaNum2FL6"/>
      <w:lvlText w:val="%6)"/>
      <w:lvlJc w:val="left"/>
      <w:pPr>
        <w:tabs>
          <w:tab w:val="num" w:pos="4320"/>
        </w:tabs>
        <w:ind w:left="4320" w:hanging="720"/>
      </w:pPr>
      <w:rPr>
        <w:rFonts w:ascii="Times New Roman" w:hAnsi="Times New Roman" w:cs="Times New Roman"/>
        <w:b w:val="0"/>
        <w:i w:val="0"/>
        <w:caps w:val="0"/>
        <w:smallCaps w:val="0"/>
        <w:sz w:val="24"/>
        <w:u w:val="none"/>
      </w:rPr>
    </w:lvl>
    <w:lvl w:ilvl="6">
      <w:start w:val="1"/>
      <w:numFmt w:val="lowerLetter"/>
      <w:pStyle w:val="ParaNum2FL7"/>
      <w:lvlText w:val="%7."/>
      <w:lvlJc w:val="left"/>
      <w:pPr>
        <w:tabs>
          <w:tab w:val="num" w:pos="5040"/>
        </w:tabs>
        <w:ind w:left="5040" w:hanging="720"/>
      </w:pPr>
      <w:rPr>
        <w:rFonts w:ascii="Times New Roman" w:hAnsi="Times New Roman" w:cs="Times New Roman"/>
        <w:b w:val="0"/>
        <w:i w:val="0"/>
        <w:caps w:val="0"/>
        <w:smallCaps w:val="0"/>
        <w:sz w:val="24"/>
        <w:u w:val="none"/>
      </w:rPr>
    </w:lvl>
    <w:lvl w:ilvl="7">
      <w:start w:val="1"/>
      <w:numFmt w:val="lowerRoman"/>
      <w:pStyle w:val="ParaNum2FL8"/>
      <w:lvlText w:val="%8."/>
      <w:lvlJc w:val="left"/>
      <w:pPr>
        <w:tabs>
          <w:tab w:val="num" w:pos="5760"/>
        </w:tabs>
        <w:ind w:left="5760" w:hanging="720"/>
      </w:pPr>
      <w:rPr>
        <w:rFonts w:ascii="Times New Roman" w:hAnsi="Times New Roman" w:cs="Times New Roman"/>
        <w:b w:val="0"/>
        <w:i w:val="0"/>
        <w:caps w:val="0"/>
        <w:smallCaps w:val="0"/>
        <w:sz w:val="24"/>
        <w:u w:val="none"/>
      </w:rPr>
    </w:lvl>
    <w:lvl w:ilvl="8">
      <w:start w:val="1"/>
      <w:numFmt w:val="upperLetter"/>
      <w:pStyle w:val="ParaNum2FL9"/>
      <w:lvlText w:val="%9."/>
      <w:lvlJc w:val="left"/>
      <w:pPr>
        <w:tabs>
          <w:tab w:val="num" w:pos="6480"/>
        </w:tabs>
        <w:ind w:left="6480" w:hanging="720"/>
      </w:pPr>
      <w:rPr>
        <w:rFonts w:ascii="Times New Roman" w:hAnsi="Times New Roman" w:cs="Times New Roman"/>
        <w:b w:val="0"/>
        <w:i w:val="0"/>
        <w:caps w:val="0"/>
        <w:smallCaps w:val="0"/>
        <w:sz w:val="24"/>
        <w:u w:val="none"/>
      </w:rPr>
    </w:lvl>
  </w:abstractNum>
  <w:abstractNum w:abstractNumId="11" w15:restartNumberingAfterBreak="0">
    <w:nsid w:val="14622EF0"/>
    <w:multiLevelType w:val="multilevel"/>
    <w:tmpl w:val="AD78673E"/>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upperRoman"/>
      <w:lvlRestart w:val="0"/>
      <w:pStyle w:val="NumA2"/>
      <w:lvlText w:val="%2."/>
      <w:lvlJc w:val="left"/>
      <w:pPr>
        <w:tabs>
          <w:tab w:val="num" w:pos="720"/>
        </w:tabs>
        <w:ind w:left="720" w:hanging="720"/>
      </w:pPr>
      <w:rPr>
        <w:b/>
        <w:i w:val="0"/>
        <w:u w:val="none"/>
      </w:rPr>
    </w:lvl>
    <w:lvl w:ilvl="2">
      <w:start w:val="1"/>
      <w:numFmt w:val="upperLetter"/>
      <w:lvlRestart w:val="0"/>
      <w:pStyle w:val="NumA3"/>
      <w:lvlText w:val="%3)"/>
      <w:lvlJc w:val="left"/>
      <w:pPr>
        <w:tabs>
          <w:tab w:val="num" w:pos="1440"/>
        </w:tabs>
        <w:ind w:left="1440" w:hanging="720"/>
      </w:pPr>
      <w:rPr>
        <w:b/>
        <w:i w:val="0"/>
        <w:u w:val="none"/>
      </w:rPr>
    </w:lvl>
    <w:lvl w:ilvl="3">
      <w:start w:val="1"/>
      <w:numFmt w:val="lowerRoman"/>
      <w:lvlRestart w:val="0"/>
      <w:pStyle w:val="NumA4"/>
      <w:lvlText w:val="%4."/>
      <w:lvlJc w:val="left"/>
      <w:pPr>
        <w:tabs>
          <w:tab w:val="num" w:pos="1800"/>
        </w:tabs>
        <w:ind w:left="1800" w:hanging="720"/>
      </w:pPr>
      <w:rPr>
        <w:b w:val="0"/>
        <w:i w:val="0"/>
        <w:u w:val="none"/>
      </w:rPr>
    </w:lvl>
    <w:lvl w:ilvl="4">
      <w:start w:val="1"/>
      <w:numFmt w:val="lowerLetter"/>
      <w:pStyle w:val="NumA5"/>
      <w:lvlText w:val="%5)"/>
      <w:lvlJc w:val="left"/>
      <w:pPr>
        <w:tabs>
          <w:tab w:val="num" w:pos="2520"/>
        </w:tabs>
        <w:ind w:left="252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2" w15:restartNumberingAfterBreak="0">
    <w:nsid w:val="15C613A8"/>
    <w:multiLevelType w:val="multilevel"/>
    <w:tmpl w:val="A2AE6F2E"/>
    <w:name w:val="zzmpAdmin||Admin|2|1|0|1|2|32||1|0|0||1|0|0||1|2|45||1|2|37||1|0|0||1|0|0||1|0|0||1|0|0||"/>
    <w:lvl w:ilvl="0">
      <w:start w:val="1"/>
      <w:numFmt w:val="decimal"/>
      <w:lvlRestart w:val="0"/>
      <w:pStyle w:val="AdminL1"/>
      <w:lvlText w:val="%1."/>
      <w:lvlJc w:val="left"/>
      <w:pPr>
        <w:tabs>
          <w:tab w:val="num" w:pos="1440"/>
        </w:tabs>
        <w:ind w:left="1440" w:hanging="720"/>
      </w:pPr>
      <w:rPr>
        <w:rFonts w:ascii="Times New Roman" w:hAnsi="Times New Roman" w:cs="Times New Roman"/>
        <w:b w:val="0"/>
        <w:i w:val="0"/>
        <w:caps w:val="0"/>
        <w:smallCaps w:val="0"/>
        <w:sz w:val="24"/>
        <w:u w:val="none"/>
      </w:rPr>
    </w:lvl>
    <w:lvl w:ilvl="1">
      <w:start w:val="1"/>
      <w:numFmt w:val="lowerLetter"/>
      <w:pStyle w:val="AdminL2"/>
      <w:lvlText w:val="%2)"/>
      <w:lvlJc w:val="left"/>
      <w:pPr>
        <w:tabs>
          <w:tab w:val="num" w:pos="2160"/>
        </w:tabs>
        <w:ind w:left="2160" w:hanging="720"/>
      </w:pPr>
      <w:rPr>
        <w:rFonts w:ascii="Times New Roman" w:hAnsi="Times New Roman" w:cs="Times New Roman" w:hint="default"/>
        <w:b w:val="0"/>
        <w:i w:val="0"/>
        <w:caps w:val="0"/>
        <w:smallCaps w:val="0"/>
        <w:sz w:val="24"/>
        <w:u w:val="none"/>
      </w:rPr>
    </w:lvl>
    <w:lvl w:ilvl="2">
      <w:start w:val="1"/>
      <w:numFmt w:val="bullet"/>
      <w:lvlRestart w:val="0"/>
      <w:pStyle w:val="AdminL3"/>
      <w:lvlText w:val="·"/>
      <w:lvlJc w:val="left"/>
      <w:pPr>
        <w:tabs>
          <w:tab w:val="num" w:pos="2160"/>
        </w:tabs>
        <w:ind w:left="2160" w:hanging="720"/>
      </w:pPr>
      <w:rPr>
        <w:rFonts w:ascii="Symbol" w:hAnsi="Symbol" w:hint="default"/>
        <w:b/>
        <w:i w:val="0"/>
        <w:caps w:val="0"/>
        <w:smallCaps w:val="0"/>
        <w:sz w:val="24"/>
        <w:u w:val="none"/>
      </w:rPr>
    </w:lvl>
    <w:lvl w:ilvl="3">
      <w:start w:val="1"/>
      <w:numFmt w:val="upperRoman"/>
      <w:lvlRestart w:val="0"/>
      <w:pStyle w:val="AdminL4"/>
      <w:lvlText w:val="%4."/>
      <w:lvlJc w:val="left"/>
      <w:pPr>
        <w:tabs>
          <w:tab w:val="num" w:pos="720"/>
        </w:tabs>
        <w:ind w:left="720" w:hanging="720"/>
      </w:pPr>
      <w:rPr>
        <w:rFonts w:ascii="Times New Roman" w:hAnsi="Times New Roman" w:cs="Times New Roman" w:hint="default"/>
        <w:b/>
        <w:i w:val="0"/>
        <w:caps w:val="0"/>
        <w:smallCaps w:val="0"/>
        <w:sz w:val="24"/>
        <w:u w:val="none"/>
      </w:rPr>
    </w:lvl>
    <w:lvl w:ilvl="4">
      <w:start w:val="1"/>
      <w:numFmt w:val="lowerLetter"/>
      <w:lvlRestart w:val="0"/>
      <w:pStyle w:val="AdminL5"/>
      <w:lvlText w:val="%5."/>
      <w:lvlJc w:val="left"/>
      <w:pPr>
        <w:tabs>
          <w:tab w:val="num" w:pos="1440"/>
        </w:tabs>
        <w:ind w:left="1440" w:hanging="720"/>
      </w:pPr>
      <w:rPr>
        <w:rFonts w:ascii="Times New Roman" w:hAnsi="Times New Roman" w:cs="Times New Roman" w:hint="default"/>
        <w:b/>
        <w:i w:val="0"/>
        <w:caps w:val="0"/>
        <w:smallCaps w:val="0"/>
        <w:sz w:val="24"/>
        <w:u w:val="none"/>
      </w:rPr>
    </w:lvl>
    <w:lvl w:ilvl="5">
      <w:start w:val="1"/>
      <w:numFmt w:val="none"/>
      <w:lvlRestart w:val="0"/>
      <w:pStyle w:val="AdminL6"/>
      <w:lvlText w:val="-"/>
      <w:lvlJc w:val="left"/>
      <w:pPr>
        <w:tabs>
          <w:tab w:val="num" w:pos="4320"/>
        </w:tabs>
        <w:ind w:left="4320" w:hanging="720"/>
      </w:pPr>
      <w:rPr>
        <w:rFonts w:ascii="Symbol" w:hAnsi="Symbol" w:hint="default"/>
        <w:b w:val="0"/>
        <w:i w:val="0"/>
        <w:caps w:val="0"/>
        <w:smallCaps w:val="0"/>
        <w:sz w:val="28"/>
        <w:u w:val="none"/>
      </w:rPr>
    </w:lvl>
    <w:lvl w:ilvl="6">
      <w:start w:val="1"/>
      <w:numFmt w:val="none"/>
      <w:lvlRestart w:val="0"/>
      <w:pStyle w:val="AdminL7"/>
      <w:lvlText w:val="-"/>
      <w:lvlJc w:val="left"/>
      <w:pPr>
        <w:tabs>
          <w:tab w:val="num" w:pos="5040"/>
        </w:tabs>
        <w:ind w:left="5040" w:hanging="720"/>
      </w:pPr>
      <w:rPr>
        <w:rFonts w:ascii="Symbol" w:hAnsi="Symbol" w:hint="default"/>
        <w:b w:val="0"/>
        <w:i w:val="0"/>
        <w:caps w:val="0"/>
        <w:smallCaps w:val="0"/>
        <w:sz w:val="28"/>
        <w:u w:val="none"/>
      </w:rPr>
    </w:lvl>
    <w:lvl w:ilvl="7">
      <w:start w:val="1"/>
      <w:numFmt w:val="none"/>
      <w:lvlRestart w:val="0"/>
      <w:pStyle w:val="AdminL8"/>
      <w:lvlText w:val="-"/>
      <w:lvlJc w:val="left"/>
      <w:pPr>
        <w:tabs>
          <w:tab w:val="num" w:pos="5760"/>
        </w:tabs>
        <w:ind w:left="5760" w:hanging="720"/>
      </w:pPr>
      <w:rPr>
        <w:rFonts w:ascii="Symbol" w:hAnsi="Symbol" w:hint="default"/>
        <w:b w:val="0"/>
        <w:i w:val="0"/>
        <w:caps w:val="0"/>
        <w:smallCaps w:val="0"/>
        <w:sz w:val="28"/>
        <w:u w:val="none"/>
      </w:rPr>
    </w:lvl>
    <w:lvl w:ilvl="8">
      <w:start w:val="1"/>
      <w:numFmt w:val="none"/>
      <w:lvlRestart w:val="0"/>
      <w:pStyle w:val="AdminL9"/>
      <w:lvlText w:val="-"/>
      <w:lvlJc w:val="left"/>
      <w:pPr>
        <w:tabs>
          <w:tab w:val="num" w:pos="6480"/>
        </w:tabs>
        <w:ind w:left="6480" w:hanging="720"/>
      </w:pPr>
      <w:rPr>
        <w:rFonts w:ascii="Symbol" w:hAnsi="Symbol" w:hint="default"/>
        <w:b w:val="0"/>
        <w:i w:val="0"/>
        <w:caps w:val="0"/>
        <w:smallCaps w:val="0"/>
        <w:sz w:val="28"/>
        <w:u w:val="none"/>
      </w:rPr>
    </w:lvl>
  </w:abstractNum>
  <w:abstractNum w:abstractNumId="13" w15:restartNumberingAfterBreak="0">
    <w:nsid w:val="19191B34"/>
    <w:multiLevelType w:val="multilevel"/>
    <w:tmpl w:val="35EC301A"/>
    <w:lvl w:ilvl="0">
      <w:start w:val="1"/>
      <w:numFmt w:val="upperRoman"/>
      <w:pStyle w:val="WoodsLitige1"/>
      <w:lvlText w:val="%1."/>
      <w:lvlJc w:val="left"/>
      <w:pPr>
        <w:tabs>
          <w:tab w:val="num" w:pos="720"/>
        </w:tabs>
        <w:ind w:left="720" w:hanging="720"/>
      </w:pPr>
      <w:rPr>
        <w:rFonts w:ascii="Times New Roman Gras" w:hAnsi="Times New Roman Gras" w:hint="default"/>
        <w:b/>
        <w:i w:val="0"/>
        <w:sz w:val="24"/>
        <w:szCs w:val="24"/>
      </w:rPr>
    </w:lvl>
    <w:lvl w:ilvl="1">
      <w:start w:val="1"/>
      <w:numFmt w:val="upperLetter"/>
      <w:pStyle w:val="WoodsLitige2"/>
      <w:lvlText w:val="%2)"/>
      <w:lvlJc w:val="left"/>
      <w:pPr>
        <w:tabs>
          <w:tab w:val="num" w:pos="1440"/>
        </w:tabs>
        <w:ind w:left="1440" w:hanging="720"/>
      </w:pPr>
      <w:rPr>
        <w:rFonts w:ascii="Times New Roman Gras" w:hAnsi="Times New Roman Gras" w:hint="default"/>
        <w:b/>
        <w:i w:val="0"/>
        <w:sz w:val="24"/>
        <w:szCs w:val="24"/>
      </w:rPr>
    </w:lvl>
    <w:lvl w:ilvl="2">
      <w:start w:val="1"/>
      <w:numFmt w:val="decimal"/>
      <w:pStyle w:val="WoodsLitige3"/>
      <w:lvlText w:val="%3)"/>
      <w:lvlJc w:val="left"/>
      <w:pPr>
        <w:tabs>
          <w:tab w:val="num" w:pos="2160"/>
        </w:tabs>
        <w:ind w:left="2160" w:hanging="720"/>
      </w:pPr>
      <w:rPr>
        <w:rFonts w:ascii="Times New Roman" w:hAnsi="Times New Roman" w:hint="default"/>
        <w:sz w:val="24"/>
        <w:szCs w:val="24"/>
      </w:rPr>
    </w:lvl>
    <w:lvl w:ilvl="3">
      <w:start w:val="1"/>
      <w:numFmt w:val="lowerLetter"/>
      <w:pStyle w:val="WoodsLitige4"/>
      <w:lvlText w:val="(%4)"/>
      <w:lvlJc w:val="left"/>
      <w:pPr>
        <w:tabs>
          <w:tab w:val="num" w:pos="2880"/>
        </w:tabs>
        <w:ind w:left="2880" w:hanging="720"/>
      </w:pPr>
      <w:rPr>
        <w:rFonts w:ascii="Times New Roman Gras" w:hAnsi="Times New Roman Gras" w:hint="default"/>
        <w:b/>
        <w:i w:val="0"/>
        <w:sz w:val="24"/>
        <w:szCs w:val="24"/>
      </w:rPr>
    </w:lvl>
    <w:lvl w:ilvl="4">
      <w:start w:val="1"/>
      <w:numFmt w:val="lowerRoman"/>
      <w:pStyle w:val="WoodsLitige5"/>
      <w:lvlText w:val="%5]"/>
      <w:lvlJc w:val="right"/>
      <w:pPr>
        <w:tabs>
          <w:tab w:val="num" w:pos="3600"/>
        </w:tabs>
        <w:ind w:left="3600" w:hanging="360"/>
      </w:pPr>
      <w:rPr>
        <w:rFonts w:ascii="Times New Roman Gras" w:hAnsi="Times New Roman Gras" w:hint="default"/>
        <w:b/>
        <w:i/>
        <w:sz w:val="24"/>
        <w:szCs w:val="24"/>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4" w15:restartNumberingAfterBreak="0">
    <w:nsid w:val="26E37D6E"/>
    <w:multiLevelType w:val="multilevel"/>
    <w:tmpl w:val="2F507FE0"/>
    <w:styleLink w:val="z-listHeading"/>
    <w:lvl w:ilvl="0">
      <w:start w:val="1"/>
      <w:numFmt w:val="none"/>
      <w:lvlRestart w:val="0"/>
      <w:pStyle w:val="Titre1"/>
      <w:suff w:val="nothing"/>
      <w:lvlText w:val=""/>
      <w:lvlJc w:val="left"/>
      <w:pPr>
        <w:tabs>
          <w:tab w:val="num" w:pos="0"/>
        </w:tabs>
        <w:ind w:left="0" w:firstLine="0"/>
      </w:pPr>
      <w:rPr>
        <w:b w:val="0"/>
        <w:i w:val="0"/>
        <w:u w:val="none"/>
      </w:rPr>
    </w:lvl>
    <w:lvl w:ilvl="1">
      <w:start w:val="1"/>
      <w:numFmt w:val="none"/>
      <w:pStyle w:val="Titre2"/>
      <w:suff w:val="nothing"/>
      <w:lvlText w:val=""/>
      <w:lvlJc w:val="left"/>
      <w:pPr>
        <w:tabs>
          <w:tab w:val="num" w:pos="0"/>
        </w:tabs>
        <w:ind w:left="0" w:firstLine="0"/>
      </w:pPr>
      <w:rPr>
        <w:b w:val="0"/>
        <w:i w:val="0"/>
        <w:u w:val="none"/>
      </w:rPr>
    </w:lvl>
    <w:lvl w:ilvl="2">
      <w:start w:val="1"/>
      <w:numFmt w:val="none"/>
      <w:pStyle w:val="Titre3"/>
      <w:suff w:val="nothing"/>
      <w:lvlText w:val=""/>
      <w:lvlJc w:val="left"/>
      <w:pPr>
        <w:tabs>
          <w:tab w:val="num" w:pos="0"/>
        </w:tabs>
        <w:ind w:left="0" w:firstLine="0"/>
      </w:pPr>
      <w:rPr>
        <w:b w:val="0"/>
        <w:i w:val="0"/>
        <w:u w:val="none"/>
      </w:rPr>
    </w:lvl>
    <w:lvl w:ilvl="3">
      <w:start w:val="1"/>
      <w:numFmt w:val="none"/>
      <w:pStyle w:val="Titre4"/>
      <w:suff w:val="nothing"/>
      <w:lvlText w:val=""/>
      <w:lvlJc w:val="left"/>
      <w:pPr>
        <w:tabs>
          <w:tab w:val="num" w:pos="0"/>
        </w:tabs>
        <w:ind w:left="0" w:firstLine="0"/>
      </w:pPr>
      <w:rPr>
        <w:b w:val="0"/>
        <w:i w:val="0"/>
        <w:u w:val="none"/>
      </w:rPr>
    </w:lvl>
    <w:lvl w:ilvl="4">
      <w:start w:val="1"/>
      <w:numFmt w:val="none"/>
      <w:pStyle w:val="Titre5"/>
      <w:suff w:val="nothing"/>
      <w:lvlText w:val=""/>
      <w:lvlJc w:val="left"/>
      <w:pPr>
        <w:tabs>
          <w:tab w:val="num" w:pos="0"/>
        </w:tabs>
        <w:ind w:left="0" w:firstLine="0"/>
      </w:pPr>
      <w:rPr>
        <w:b w:val="0"/>
        <w:i w:val="0"/>
        <w:u w:val="none"/>
      </w:rPr>
    </w:lvl>
    <w:lvl w:ilvl="5">
      <w:start w:val="1"/>
      <w:numFmt w:val="none"/>
      <w:pStyle w:val="Titre6"/>
      <w:suff w:val="nothing"/>
      <w:lvlText w:val=""/>
      <w:lvlJc w:val="left"/>
      <w:pPr>
        <w:tabs>
          <w:tab w:val="num" w:pos="0"/>
        </w:tabs>
        <w:ind w:left="0" w:firstLine="0"/>
      </w:pPr>
      <w:rPr>
        <w:b w:val="0"/>
        <w:i w:val="0"/>
        <w:u w:val="none"/>
      </w:rPr>
    </w:lvl>
    <w:lvl w:ilvl="6">
      <w:start w:val="1"/>
      <w:numFmt w:val="none"/>
      <w:pStyle w:val="Titre7"/>
      <w:suff w:val="nothing"/>
      <w:lvlText w:val=""/>
      <w:lvlJc w:val="left"/>
      <w:pPr>
        <w:tabs>
          <w:tab w:val="num" w:pos="0"/>
        </w:tabs>
        <w:ind w:left="0" w:firstLine="0"/>
      </w:pPr>
      <w:rPr>
        <w:b w:val="0"/>
        <w:i w:val="0"/>
        <w:u w:val="none"/>
      </w:rPr>
    </w:lvl>
    <w:lvl w:ilvl="7">
      <w:start w:val="1"/>
      <w:numFmt w:val="none"/>
      <w:pStyle w:val="Titre8"/>
      <w:suff w:val="nothing"/>
      <w:lvlText w:val=""/>
      <w:lvlJc w:val="left"/>
      <w:pPr>
        <w:tabs>
          <w:tab w:val="num" w:pos="0"/>
        </w:tabs>
        <w:ind w:left="0" w:firstLine="0"/>
      </w:pPr>
      <w:rPr>
        <w:b w:val="0"/>
        <w:i w:val="0"/>
        <w:u w:val="none"/>
      </w:rPr>
    </w:lvl>
    <w:lvl w:ilvl="8">
      <w:start w:val="1"/>
      <w:numFmt w:val="none"/>
      <w:pStyle w:val="Titre9"/>
      <w:suff w:val="nothing"/>
      <w:lvlText w:val=""/>
      <w:lvlJc w:val="left"/>
      <w:pPr>
        <w:tabs>
          <w:tab w:val="num" w:pos="0"/>
        </w:tabs>
        <w:ind w:left="0" w:firstLine="0"/>
      </w:pPr>
      <w:rPr>
        <w:b w:val="0"/>
        <w:i w:val="0"/>
        <w:u w:val="none"/>
      </w:rPr>
    </w:lvl>
  </w:abstractNum>
  <w:abstractNum w:abstractNumId="15" w15:restartNumberingAfterBreak="0">
    <w:nsid w:val="2E7448C9"/>
    <w:multiLevelType w:val="hybridMultilevel"/>
    <w:tmpl w:val="0E22794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30BE267D"/>
    <w:multiLevelType w:val="hybridMultilevel"/>
    <w:tmpl w:val="A75AB862"/>
    <w:lvl w:ilvl="0" w:tplc="86DC1944">
      <w:start w:val="1"/>
      <w:numFmt w:val="bullet"/>
      <w:lvlText w:val="-"/>
      <w:lvlJc w:val="left"/>
      <w:pPr>
        <w:ind w:left="1800" w:hanging="360"/>
      </w:pPr>
      <w:rPr>
        <w:rFonts w:ascii="Times New Roman" w:eastAsia="Times New Roman"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7" w15:restartNumberingAfterBreak="0">
    <w:nsid w:val="32BF0E46"/>
    <w:multiLevelType w:val="hybridMultilevel"/>
    <w:tmpl w:val="69D2197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33FB68B9"/>
    <w:multiLevelType w:val="multilevel"/>
    <w:tmpl w:val="C6DA283C"/>
    <w:name w:val="zzmpParaNum2||Para Num 2|2|1|0|1|0|0||1|0|0||1|0|0||1|0|0||1|0|0||1|0|0||1|0|0||1|0|0||1|0|0||"/>
    <w:lvl w:ilvl="0">
      <w:start w:val="1"/>
      <w:numFmt w:val="decimal"/>
      <w:pStyle w:val="ParaNum2L1"/>
      <w:lvlText w:val="%1."/>
      <w:lvlJc w:val="left"/>
      <w:pPr>
        <w:tabs>
          <w:tab w:val="num" w:pos="720"/>
        </w:tabs>
        <w:ind w:left="720" w:hanging="720"/>
      </w:pPr>
      <w:rPr>
        <w:rFonts w:ascii="Times New Roman" w:hAnsi="Times New Roman" w:cs="Times New Roman"/>
        <w:b w:val="0"/>
        <w:i w:val="0"/>
        <w:caps w:val="0"/>
        <w:smallCaps w:val="0"/>
        <w:strike w:val="0"/>
        <w:dstrike w:val="0"/>
        <w:color w:val="auto"/>
        <w:sz w:val="24"/>
        <w:u w:val="none"/>
        <w:effect w:val="none"/>
      </w:rPr>
    </w:lvl>
    <w:lvl w:ilvl="1">
      <w:start w:val="1"/>
      <w:numFmt w:val="lowerLetter"/>
      <w:pStyle w:val="ParaNum2L2"/>
      <w:lvlText w:val="(%2)"/>
      <w:lvlJc w:val="left"/>
      <w:pPr>
        <w:tabs>
          <w:tab w:val="num" w:pos="1440"/>
        </w:tabs>
        <w:ind w:left="1440" w:hanging="720"/>
      </w:pPr>
      <w:rPr>
        <w:rFonts w:ascii="Times New Roman" w:hAnsi="Times New Roman" w:cs="Times New Roman"/>
        <w:b w:val="0"/>
        <w:i w:val="0"/>
        <w:caps w:val="0"/>
        <w:smallCaps w:val="0"/>
        <w:strike w:val="0"/>
        <w:dstrike w:val="0"/>
        <w:color w:val="auto"/>
        <w:sz w:val="24"/>
        <w:u w:val="none"/>
        <w:effect w:val="none"/>
      </w:rPr>
    </w:lvl>
    <w:lvl w:ilvl="2">
      <w:start w:val="1"/>
      <w:numFmt w:val="lowerRoman"/>
      <w:pStyle w:val="ParaNum2L3"/>
      <w:lvlText w:val="(%3)"/>
      <w:lvlJc w:val="left"/>
      <w:pPr>
        <w:tabs>
          <w:tab w:val="num" w:pos="2160"/>
        </w:tabs>
        <w:ind w:left="2160" w:hanging="720"/>
      </w:pPr>
      <w:rPr>
        <w:rFonts w:ascii="Times New Roman" w:hAnsi="Times New Roman" w:cs="Times New Roman"/>
        <w:b w:val="0"/>
        <w:i w:val="0"/>
        <w:caps w:val="0"/>
        <w:smallCaps w:val="0"/>
        <w:strike w:val="0"/>
        <w:dstrike w:val="0"/>
        <w:color w:val="auto"/>
        <w:sz w:val="24"/>
        <w:u w:val="none"/>
        <w:effect w:val="none"/>
      </w:rPr>
    </w:lvl>
    <w:lvl w:ilvl="3">
      <w:start w:val="1"/>
      <w:numFmt w:val="upperLetter"/>
      <w:pStyle w:val="ParaNum2L4"/>
      <w:lvlText w:val="(%4)"/>
      <w:lvlJc w:val="left"/>
      <w:pPr>
        <w:tabs>
          <w:tab w:val="num" w:pos="2880"/>
        </w:tabs>
        <w:ind w:left="2880" w:hanging="720"/>
      </w:pPr>
      <w:rPr>
        <w:rFonts w:ascii="Times New Roman" w:hAnsi="Times New Roman" w:cs="Times New Roman"/>
        <w:b w:val="0"/>
        <w:i w:val="0"/>
        <w:caps w:val="0"/>
        <w:smallCaps w:val="0"/>
        <w:strike w:val="0"/>
        <w:dstrike w:val="0"/>
        <w:color w:val="auto"/>
        <w:sz w:val="24"/>
        <w:u w:val="none"/>
        <w:effect w:val="none"/>
      </w:rPr>
    </w:lvl>
    <w:lvl w:ilvl="4">
      <w:start w:val="1"/>
      <w:numFmt w:val="upperRoman"/>
      <w:pStyle w:val="ParaNum2L5"/>
      <w:lvlText w:val="(%5)"/>
      <w:lvlJc w:val="left"/>
      <w:pPr>
        <w:tabs>
          <w:tab w:val="num" w:pos="3600"/>
        </w:tabs>
        <w:ind w:left="3600" w:hanging="720"/>
      </w:pPr>
      <w:rPr>
        <w:rFonts w:ascii="Times New Roman" w:hAnsi="Times New Roman" w:cs="Times New Roman"/>
        <w:b w:val="0"/>
        <w:i w:val="0"/>
        <w:caps w:val="0"/>
        <w:smallCaps w:val="0"/>
        <w:strike w:val="0"/>
        <w:dstrike w:val="0"/>
        <w:color w:val="auto"/>
        <w:sz w:val="24"/>
        <w:u w:val="none"/>
        <w:effect w:val="none"/>
      </w:rPr>
    </w:lvl>
    <w:lvl w:ilvl="5">
      <w:start w:val="1"/>
      <w:numFmt w:val="decimal"/>
      <w:pStyle w:val="ParaNum2L6"/>
      <w:lvlText w:val="(%6)"/>
      <w:lvlJc w:val="left"/>
      <w:pPr>
        <w:tabs>
          <w:tab w:val="num" w:pos="4320"/>
        </w:tabs>
        <w:ind w:left="4320" w:hanging="720"/>
      </w:pPr>
      <w:rPr>
        <w:rFonts w:ascii="Times New Roman" w:hAnsi="Times New Roman" w:cs="Times New Roman"/>
        <w:b w:val="0"/>
        <w:i w:val="0"/>
        <w:caps w:val="0"/>
        <w:smallCaps w:val="0"/>
        <w:strike w:val="0"/>
        <w:dstrike w:val="0"/>
        <w:color w:val="auto"/>
        <w:sz w:val="24"/>
        <w:u w:val="none"/>
        <w:effect w:val="none"/>
      </w:rPr>
    </w:lvl>
    <w:lvl w:ilvl="6">
      <w:start w:val="1"/>
      <w:numFmt w:val="lowerLetter"/>
      <w:pStyle w:val="ParaNum2L7"/>
      <w:lvlText w:val="%7."/>
      <w:lvlJc w:val="left"/>
      <w:pPr>
        <w:tabs>
          <w:tab w:val="num" w:pos="5040"/>
        </w:tabs>
        <w:ind w:left="5040" w:hanging="720"/>
      </w:pPr>
      <w:rPr>
        <w:rFonts w:ascii="Times New Roman" w:hAnsi="Times New Roman" w:cs="Times New Roman"/>
        <w:b w:val="0"/>
        <w:i w:val="0"/>
        <w:caps w:val="0"/>
        <w:smallCaps w:val="0"/>
        <w:strike w:val="0"/>
        <w:dstrike w:val="0"/>
        <w:color w:val="auto"/>
        <w:sz w:val="24"/>
        <w:u w:val="none"/>
        <w:effect w:val="none"/>
      </w:rPr>
    </w:lvl>
    <w:lvl w:ilvl="7">
      <w:start w:val="1"/>
      <w:numFmt w:val="lowerRoman"/>
      <w:pStyle w:val="ParaNum2L8"/>
      <w:lvlText w:val="%8."/>
      <w:lvlJc w:val="left"/>
      <w:pPr>
        <w:tabs>
          <w:tab w:val="num" w:pos="5760"/>
        </w:tabs>
        <w:ind w:left="5760" w:hanging="720"/>
      </w:pPr>
      <w:rPr>
        <w:rFonts w:ascii="Times New Roman" w:hAnsi="Times New Roman" w:cs="Times New Roman"/>
        <w:b w:val="0"/>
        <w:i w:val="0"/>
        <w:caps w:val="0"/>
        <w:smallCaps w:val="0"/>
        <w:strike w:val="0"/>
        <w:dstrike w:val="0"/>
        <w:color w:val="auto"/>
        <w:sz w:val="24"/>
        <w:u w:val="none"/>
        <w:effect w:val="none"/>
      </w:rPr>
    </w:lvl>
    <w:lvl w:ilvl="8">
      <w:start w:val="1"/>
      <w:numFmt w:val="upperLetter"/>
      <w:pStyle w:val="ParaNum2L9"/>
      <w:lvlText w:val="%9."/>
      <w:lvlJc w:val="left"/>
      <w:pPr>
        <w:tabs>
          <w:tab w:val="num" w:pos="6480"/>
        </w:tabs>
        <w:ind w:left="6480" w:hanging="720"/>
      </w:pPr>
      <w:rPr>
        <w:rFonts w:ascii="Times New Roman" w:hAnsi="Times New Roman" w:cs="Times New Roman"/>
        <w:b w:val="0"/>
        <w:i w:val="0"/>
        <w:caps w:val="0"/>
        <w:smallCaps w:val="0"/>
        <w:strike w:val="0"/>
        <w:dstrike w:val="0"/>
        <w:color w:val="auto"/>
        <w:sz w:val="24"/>
        <w:u w:val="none"/>
        <w:effect w:val="none"/>
      </w:rPr>
    </w:lvl>
  </w:abstractNum>
  <w:abstractNum w:abstractNumId="19" w15:restartNumberingAfterBreak="0">
    <w:nsid w:val="4DE626AA"/>
    <w:multiLevelType w:val="multilevel"/>
    <w:tmpl w:val="27C4ED7C"/>
    <w:styleLink w:val="z-listNumB"/>
    <w:lvl w:ilvl="0">
      <w:start w:val="1"/>
      <w:numFmt w:val="decimal"/>
      <w:lvlRestart w:val="0"/>
      <w:pStyle w:val="NumB1"/>
      <w:suff w:val="nothing"/>
      <w:lvlText w:val="Onglet %1"/>
      <w:lvlJc w:val="left"/>
      <w:pPr>
        <w:tabs>
          <w:tab w:val="num" w:pos="0"/>
        </w:tabs>
      </w:pPr>
      <w:rPr>
        <w:rFonts w:cs="Times New Roman"/>
        <w:b/>
        <w:i w:val="0"/>
        <w:u w:val="none"/>
      </w:rPr>
    </w:lvl>
    <w:lvl w:ilvl="1">
      <w:start w:val="1"/>
      <w:numFmt w:val="decimal"/>
      <w:pStyle w:val="NumB2"/>
      <w:lvlText w:val="%1.%2"/>
      <w:lvlJc w:val="left"/>
      <w:pPr>
        <w:tabs>
          <w:tab w:val="num" w:pos="720"/>
        </w:tabs>
        <w:ind w:left="720" w:hanging="720"/>
      </w:pPr>
      <w:rPr>
        <w:rFonts w:cs="Times New Roman"/>
        <w:b/>
        <w:i w:val="0"/>
        <w:u w:val="none"/>
      </w:rPr>
    </w:lvl>
    <w:lvl w:ilvl="2">
      <w:start w:val="1"/>
      <w:numFmt w:val="decimal"/>
      <w:pStyle w:val="NumB3"/>
      <w:lvlText w:val="%1.%2.%3"/>
      <w:lvlJc w:val="left"/>
      <w:pPr>
        <w:tabs>
          <w:tab w:val="num" w:pos="720"/>
        </w:tabs>
        <w:ind w:left="720" w:hanging="720"/>
      </w:pPr>
      <w:rPr>
        <w:rFonts w:cs="Times New Roman"/>
        <w:b w:val="0"/>
        <w:i w:val="0"/>
        <w:u w:val="none"/>
      </w:rPr>
    </w:lvl>
    <w:lvl w:ilvl="3">
      <w:start w:val="1"/>
      <w:numFmt w:val="lowerLetter"/>
      <w:pStyle w:val="NumB4"/>
      <w:lvlText w:val="%4)"/>
      <w:lvlJc w:val="left"/>
      <w:pPr>
        <w:tabs>
          <w:tab w:val="num" w:pos="1440"/>
        </w:tabs>
        <w:ind w:left="1440" w:hanging="720"/>
      </w:pPr>
      <w:rPr>
        <w:rFonts w:cs="Times New Roman"/>
        <w:b w:val="0"/>
        <w:i w:val="0"/>
        <w:u w:val="none"/>
      </w:rPr>
    </w:lvl>
    <w:lvl w:ilvl="4">
      <w:start w:val="1"/>
      <w:numFmt w:val="lowerRoman"/>
      <w:pStyle w:val="NumB5"/>
      <w:lvlText w:val="%5)"/>
      <w:lvlJc w:val="left"/>
      <w:pPr>
        <w:tabs>
          <w:tab w:val="num" w:pos="2160"/>
        </w:tabs>
        <w:ind w:left="2160" w:hanging="720"/>
      </w:pPr>
      <w:rPr>
        <w:rFonts w:cs="Times New Roman"/>
        <w:b w:val="0"/>
        <w:i w:val="0"/>
        <w:u w:val="none"/>
      </w:rPr>
    </w:lvl>
    <w:lvl w:ilvl="5">
      <w:start w:val="1"/>
      <w:numFmt w:val="upperLetter"/>
      <w:pStyle w:val="NumB6"/>
      <w:lvlText w:val="%6)"/>
      <w:lvlJc w:val="left"/>
      <w:pPr>
        <w:tabs>
          <w:tab w:val="num" w:pos="2880"/>
        </w:tabs>
        <w:ind w:left="2880" w:hanging="720"/>
      </w:pPr>
      <w:rPr>
        <w:rFonts w:cs="Times New Roman"/>
        <w:b w:val="0"/>
        <w:i w:val="0"/>
        <w:u w:val="none"/>
      </w:rPr>
    </w:lvl>
    <w:lvl w:ilvl="6">
      <w:start w:val="1"/>
      <w:numFmt w:val="upperRoman"/>
      <w:pStyle w:val="NumB7"/>
      <w:lvlText w:val="%7)"/>
      <w:lvlJc w:val="left"/>
      <w:pPr>
        <w:tabs>
          <w:tab w:val="num" w:pos="3600"/>
        </w:tabs>
        <w:ind w:left="3600" w:hanging="720"/>
      </w:pPr>
      <w:rPr>
        <w:rFonts w:cs="Times New Roman"/>
        <w:b w:val="0"/>
        <w:i w:val="0"/>
        <w:u w:val="none"/>
      </w:rPr>
    </w:lvl>
    <w:lvl w:ilvl="7">
      <w:start w:val="1"/>
      <w:numFmt w:val="decimal"/>
      <w:pStyle w:val="NumB8"/>
      <w:lvlText w:val="%8)"/>
      <w:lvlJc w:val="left"/>
      <w:pPr>
        <w:tabs>
          <w:tab w:val="num" w:pos="4320"/>
        </w:tabs>
        <w:ind w:left="4320" w:hanging="720"/>
      </w:pPr>
      <w:rPr>
        <w:rFonts w:cs="Times New Roman"/>
        <w:b w:val="0"/>
        <w:i w:val="0"/>
        <w:u w:val="none"/>
      </w:rPr>
    </w:lvl>
    <w:lvl w:ilvl="8">
      <w:start w:val="1"/>
      <w:numFmt w:val="lowerLetter"/>
      <w:pStyle w:val="NumB9"/>
      <w:lvlText w:val="%9."/>
      <w:lvlJc w:val="left"/>
      <w:pPr>
        <w:tabs>
          <w:tab w:val="num" w:pos="5040"/>
        </w:tabs>
        <w:ind w:left="5040" w:hanging="720"/>
      </w:pPr>
      <w:rPr>
        <w:rFonts w:cs="Times New Roman"/>
        <w:b w:val="0"/>
        <w:i w:val="0"/>
        <w:u w:val="none"/>
      </w:rPr>
    </w:lvl>
  </w:abstractNum>
  <w:abstractNum w:abstractNumId="20" w15:restartNumberingAfterBreak="0">
    <w:nsid w:val="504D6635"/>
    <w:multiLevelType w:val="multilevel"/>
    <w:tmpl w:val="902C550C"/>
    <w:name w:val="Bullet"/>
    <w:lvl w:ilvl="0">
      <w:start w:val="1"/>
      <w:numFmt w:val="bullet"/>
      <w:lvlRestart w:val="0"/>
      <w:lvlText w:val=""/>
      <w:lvlJc w:val="left"/>
      <w:pPr>
        <w:tabs>
          <w:tab w:val="num" w:pos="720"/>
        </w:tabs>
        <w:ind w:left="720" w:hanging="720"/>
      </w:pPr>
      <w:rPr>
        <w:rFonts w:ascii="Symbol" w:hAnsi="Symbol" w:hint="default"/>
        <w:b w:val="0"/>
        <w:i w:val="0"/>
      </w:rPr>
    </w:lvl>
    <w:lvl w:ilvl="1">
      <w:start w:val="1"/>
      <w:numFmt w:val="bullet"/>
      <w:lvlText w:val=""/>
      <w:lvlJc w:val="left"/>
      <w:pPr>
        <w:tabs>
          <w:tab w:val="num" w:pos="1440"/>
        </w:tabs>
        <w:ind w:left="1440" w:hanging="720"/>
      </w:pPr>
      <w:rPr>
        <w:rFonts w:ascii="Symbol" w:hAnsi="Symbol" w:hint="default"/>
        <w:b w:val="0"/>
        <w:i w:val="0"/>
      </w:rPr>
    </w:lvl>
    <w:lvl w:ilvl="2">
      <w:start w:val="1"/>
      <w:numFmt w:val="bullet"/>
      <w:lvlText w:val=""/>
      <w:lvlJc w:val="left"/>
      <w:pPr>
        <w:tabs>
          <w:tab w:val="num" w:pos="2160"/>
        </w:tabs>
        <w:ind w:left="2160" w:hanging="720"/>
      </w:pPr>
      <w:rPr>
        <w:rFonts w:ascii="Symbol" w:hAnsi="Symbol" w:hint="default"/>
        <w:b w:val="0"/>
        <w:i w:val="0"/>
      </w:rPr>
    </w:lvl>
    <w:lvl w:ilvl="3">
      <w:start w:val="1"/>
      <w:numFmt w:val="bullet"/>
      <w:lvlText w:val=""/>
      <w:lvlJc w:val="left"/>
      <w:pPr>
        <w:tabs>
          <w:tab w:val="num" w:pos="2880"/>
        </w:tabs>
        <w:ind w:left="2880" w:hanging="720"/>
      </w:pPr>
      <w:rPr>
        <w:rFonts w:ascii="Symbol" w:hAnsi="Symbol" w:hint="default"/>
        <w:b w:val="0"/>
        <w:i w:val="0"/>
      </w:rPr>
    </w:lvl>
    <w:lvl w:ilvl="4">
      <w:start w:val="1"/>
      <w:numFmt w:val="bullet"/>
      <w:lvlText w:val=""/>
      <w:lvlJc w:val="left"/>
      <w:pPr>
        <w:tabs>
          <w:tab w:val="num" w:pos="3600"/>
        </w:tabs>
        <w:ind w:left="3600" w:hanging="720"/>
      </w:pPr>
      <w:rPr>
        <w:rFonts w:ascii="Symbol" w:hAnsi="Symbol" w:hint="default"/>
        <w:b w:val="0"/>
        <w:i w:val="0"/>
      </w:rPr>
    </w:lvl>
    <w:lvl w:ilvl="5">
      <w:start w:val="1"/>
      <w:numFmt w:val="bullet"/>
      <w:lvlText w:val=""/>
      <w:lvlJc w:val="left"/>
      <w:pPr>
        <w:tabs>
          <w:tab w:val="num" w:pos="4320"/>
        </w:tabs>
        <w:ind w:left="4320" w:hanging="720"/>
      </w:pPr>
      <w:rPr>
        <w:rFonts w:ascii="Symbol" w:hAnsi="Symbol" w:hint="default"/>
        <w:b w:val="0"/>
        <w:i w:val="0"/>
      </w:rPr>
    </w:lvl>
    <w:lvl w:ilvl="6">
      <w:start w:val="1"/>
      <w:numFmt w:val="bullet"/>
      <w:lvlText w:val=""/>
      <w:lvlJc w:val="left"/>
      <w:pPr>
        <w:tabs>
          <w:tab w:val="num" w:pos="5040"/>
        </w:tabs>
        <w:ind w:left="5040" w:hanging="720"/>
      </w:pPr>
      <w:rPr>
        <w:rFonts w:ascii="Symbol" w:hAnsi="Symbol" w:hint="default"/>
        <w:b w:val="0"/>
        <w:i w:val="0"/>
      </w:rPr>
    </w:lvl>
    <w:lvl w:ilvl="7">
      <w:start w:val="1"/>
      <w:numFmt w:val="bullet"/>
      <w:lvlText w:val=""/>
      <w:lvlJc w:val="left"/>
      <w:pPr>
        <w:tabs>
          <w:tab w:val="num" w:pos="5760"/>
        </w:tabs>
        <w:ind w:left="5760" w:hanging="720"/>
      </w:pPr>
      <w:rPr>
        <w:rFonts w:ascii="Symbol" w:hAnsi="Symbol" w:hint="default"/>
        <w:b w:val="0"/>
        <w:i w:val="0"/>
      </w:rPr>
    </w:lvl>
    <w:lvl w:ilvl="8">
      <w:start w:val="1"/>
      <w:numFmt w:val="bullet"/>
      <w:lvlText w:val=""/>
      <w:lvlJc w:val="left"/>
      <w:pPr>
        <w:tabs>
          <w:tab w:val="num" w:pos="6480"/>
        </w:tabs>
        <w:ind w:left="6480" w:hanging="720"/>
      </w:pPr>
      <w:rPr>
        <w:rFonts w:ascii="Symbol" w:hAnsi="Symbol" w:hint="default"/>
        <w:b w:val="0"/>
        <w:i w:val="0"/>
      </w:rPr>
    </w:lvl>
  </w:abstractNum>
  <w:abstractNum w:abstractNumId="21" w15:restartNumberingAfterBreak="0">
    <w:nsid w:val="55321BC8"/>
    <w:multiLevelType w:val="multilevel"/>
    <w:tmpl w:val="EE224BB2"/>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abstractNum w:abstractNumId="22" w15:restartNumberingAfterBreak="0">
    <w:nsid w:val="57616BEB"/>
    <w:multiLevelType w:val="hybridMultilevel"/>
    <w:tmpl w:val="D938DEF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57941B54"/>
    <w:multiLevelType w:val="multilevel"/>
    <w:tmpl w:val="ECCCD82E"/>
    <w:lvl w:ilvl="0">
      <w:start w:val="1"/>
      <w:numFmt w:val="decimal"/>
      <w:lvlRestart w:val="0"/>
      <w:pStyle w:val="ParaNum11"/>
      <w:lvlText w:val="%1."/>
      <w:lvlJc w:val="left"/>
      <w:pPr>
        <w:tabs>
          <w:tab w:val="num" w:pos="720"/>
        </w:tabs>
        <w:ind w:left="720" w:hanging="720"/>
      </w:pPr>
      <w:rPr>
        <w:b w:val="0"/>
        <w:i w:val="0"/>
        <w:caps w:val="0"/>
        <w:strike w:val="0"/>
        <w:dstrike w:val="0"/>
        <w:vanish w:val="0"/>
        <w:color w:val="000000" w:themeColor="text1"/>
        <w:sz w:val="24"/>
        <w:u w:val="none"/>
        <w:vertAlign w:val="baseline"/>
      </w:rPr>
    </w:lvl>
    <w:lvl w:ilvl="1">
      <w:start w:val="1"/>
      <w:numFmt w:val="lowerLetter"/>
      <w:pStyle w:val="ParaNum12"/>
      <w:lvlText w:val="(%2)"/>
      <w:lvlJc w:val="left"/>
      <w:pPr>
        <w:tabs>
          <w:tab w:val="num" w:pos="1440"/>
        </w:tabs>
        <w:ind w:left="1440" w:hanging="720"/>
      </w:pPr>
      <w:rPr>
        <w:b w:val="0"/>
        <w:i w:val="0"/>
        <w:caps w:val="0"/>
        <w:strike w:val="0"/>
        <w:dstrike w:val="0"/>
        <w:vanish w:val="0"/>
        <w:color w:val="000000" w:themeColor="text1"/>
        <w:sz w:val="24"/>
        <w:u w:val="none"/>
        <w:vertAlign w:val="baseline"/>
      </w:rPr>
    </w:lvl>
    <w:lvl w:ilvl="2">
      <w:start w:val="1"/>
      <w:numFmt w:val="lowerRoman"/>
      <w:pStyle w:val="ParaNum13"/>
      <w:lvlText w:val="(%3)"/>
      <w:lvlJc w:val="left"/>
      <w:pPr>
        <w:tabs>
          <w:tab w:val="num" w:pos="2160"/>
        </w:tabs>
        <w:ind w:left="2160" w:hanging="720"/>
      </w:pPr>
      <w:rPr>
        <w:b w:val="0"/>
        <w:i w:val="0"/>
        <w:caps w:val="0"/>
        <w:strike w:val="0"/>
        <w:dstrike w:val="0"/>
        <w:vanish w:val="0"/>
        <w:color w:val="000000" w:themeColor="text1"/>
        <w:sz w:val="24"/>
        <w:u w:val="none"/>
        <w:vertAlign w:val="baseline"/>
      </w:rPr>
    </w:lvl>
    <w:lvl w:ilvl="3">
      <w:start w:val="1"/>
      <w:numFmt w:val="upperLetter"/>
      <w:pStyle w:val="ParaNum14"/>
      <w:lvlText w:val="(%4)"/>
      <w:lvlJc w:val="left"/>
      <w:pPr>
        <w:tabs>
          <w:tab w:val="num" w:pos="2880"/>
        </w:tabs>
        <w:ind w:left="2880" w:hanging="720"/>
      </w:pPr>
      <w:rPr>
        <w:b w:val="0"/>
        <w:i w:val="0"/>
        <w:caps w:val="0"/>
        <w:strike w:val="0"/>
        <w:dstrike w:val="0"/>
        <w:vanish w:val="0"/>
        <w:color w:val="000000" w:themeColor="text1"/>
        <w:sz w:val="24"/>
        <w:u w:val="none"/>
        <w:vertAlign w:val="baseline"/>
      </w:rPr>
    </w:lvl>
    <w:lvl w:ilvl="4">
      <w:start w:val="1"/>
      <w:numFmt w:val="upperRoman"/>
      <w:pStyle w:val="ParaNum15"/>
      <w:lvlText w:val="(%5)"/>
      <w:lvlJc w:val="left"/>
      <w:pPr>
        <w:tabs>
          <w:tab w:val="num" w:pos="3600"/>
        </w:tabs>
        <w:ind w:left="3600" w:hanging="720"/>
      </w:pPr>
      <w:rPr>
        <w:b w:val="0"/>
        <w:i w:val="0"/>
        <w:caps w:val="0"/>
        <w:strike w:val="0"/>
        <w:dstrike w:val="0"/>
        <w:vanish w:val="0"/>
        <w:color w:val="000000" w:themeColor="text1"/>
        <w:sz w:val="24"/>
        <w:u w:val="none"/>
        <w:vertAlign w:val="baseline"/>
      </w:rPr>
    </w:lvl>
    <w:lvl w:ilvl="5">
      <w:start w:val="1"/>
      <w:numFmt w:val="decimal"/>
      <w:pStyle w:val="ParaNum16"/>
      <w:lvlText w:val="(%6)"/>
      <w:lvlJc w:val="left"/>
      <w:pPr>
        <w:tabs>
          <w:tab w:val="num" w:pos="4320"/>
        </w:tabs>
        <w:ind w:left="4320" w:hanging="720"/>
      </w:pPr>
      <w:rPr>
        <w:b w:val="0"/>
        <w:i w:val="0"/>
        <w:caps w:val="0"/>
        <w:strike w:val="0"/>
        <w:dstrike w:val="0"/>
        <w:vanish w:val="0"/>
        <w:color w:val="000000" w:themeColor="text1"/>
        <w:sz w:val="24"/>
        <w:u w:val="none"/>
        <w:vertAlign w:val="baseline"/>
      </w:rPr>
    </w:lvl>
    <w:lvl w:ilvl="6">
      <w:start w:val="1"/>
      <w:numFmt w:val="lowerLetter"/>
      <w:pStyle w:val="ParaNum17"/>
      <w:lvlText w:val="%7."/>
      <w:lvlJc w:val="left"/>
      <w:pPr>
        <w:tabs>
          <w:tab w:val="num" w:pos="5040"/>
        </w:tabs>
        <w:ind w:left="5040" w:hanging="720"/>
      </w:pPr>
      <w:rPr>
        <w:b w:val="0"/>
        <w:i w:val="0"/>
        <w:caps w:val="0"/>
        <w:strike w:val="0"/>
        <w:dstrike w:val="0"/>
        <w:vanish w:val="0"/>
        <w:color w:val="000000" w:themeColor="text1"/>
        <w:sz w:val="24"/>
        <w:u w:val="none"/>
        <w:vertAlign w:val="baseline"/>
      </w:rPr>
    </w:lvl>
    <w:lvl w:ilvl="7">
      <w:start w:val="1"/>
      <w:numFmt w:val="lowerRoman"/>
      <w:pStyle w:val="ParaNum18"/>
      <w:lvlText w:val="%8."/>
      <w:lvlJc w:val="left"/>
      <w:pPr>
        <w:tabs>
          <w:tab w:val="num" w:pos="5760"/>
        </w:tabs>
        <w:ind w:left="5760" w:hanging="720"/>
      </w:pPr>
      <w:rPr>
        <w:b w:val="0"/>
        <w:i w:val="0"/>
        <w:caps w:val="0"/>
        <w:strike w:val="0"/>
        <w:dstrike w:val="0"/>
        <w:vanish w:val="0"/>
        <w:color w:val="000000" w:themeColor="text1"/>
        <w:sz w:val="24"/>
        <w:u w:val="none"/>
        <w:vertAlign w:val="baseline"/>
      </w:rPr>
    </w:lvl>
    <w:lvl w:ilvl="8">
      <w:start w:val="1"/>
      <w:numFmt w:val="upperLetter"/>
      <w:pStyle w:val="ParaNum19"/>
      <w:lvlText w:val="%9."/>
      <w:lvlJc w:val="left"/>
      <w:pPr>
        <w:tabs>
          <w:tab w:val="num" w:pos="6480"/>
        </w:tabs>
        <w:ind w:left="6480" w:hanging="720"/>
      </w:pPr>
      <w:rPr>
        <w:b w:val="0"/>
        <w:i w:val="0"/>
        <w:caps w:val="0"/>
        <w:strike w:val="0"/>
        <w:dstrike w:val="0"/>
        <w:vanish w:val="0"/>
        <w:color w:val="000000" w:themeColor="text1"/>
        <w:sz w:val="24"/>
        <w:u w:val="none"/>
        <w:vertAlign w:val="baseline"/>
      </w:rPr>
    </w:lvl>
  </w:abstractNum>
  <w:abstractNum w:abstractNumId="24" w15:restartNumberingAfterBreak="0">
    <w:nsid w:val="5B2A33A9"/>
    <w:multiLevelType w:val="multilevel"/>
    <w:tmpl w:val="28F49616"/>
    <w:lvl w:ilvl="0">
      <w:start w:val="1"/>
      <w:numFmt w:val="upperRoman"/>
      <w:pStyle w:val="Pleading1L1"/>
      <w:lvlText w:val="%1."/>
      <w:lvlJc w:val="left"/>
      <w:pPr>
        <w:tabs>
          <w:tab w:val="num" w:pos="720"/>
        </w:tabs>
        <w:ind w:left="720" w:hanging="720"/>
      </w:pPr>
      <w:rPr>
        <w:rFonts w:ascii="Arial" w:hAnsi="Arial"/>
        <w:b/>
        <w:i w:val="0"/>
        <w:caps w:val="0"/>
        <w:smallCaps w:val="0"/>
        <w:strike w:val="0"/>
        <w:dstrike w:val="0"/>
        <w:vanish w:val="0"/>
        <w:color w:val="00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lvlText w:val="%2."/>
      <w:lvlJc w:val="left"/>
      <w:pPr>
        <w:tabs>
          <w:tab w:val="num" w:pos="1440"/>
        </w:tabs>
        <w:ind w:left="1440" w:hanging="72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160"/>
        </w:tabs>
        <w:ind w:left="2160" w:hanging="72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26C7C80"/>
    <w:multiLevelType w:val="singleLevel"/>
    <w:tmpl w:val="206E826E"/>
    <w:lvl w:ilvl="0">
      <w:start w:val="1"/>
      <w:numFmt w:val="bullet"/>
      <w:pStyle w:val="listMultiColumn"/>
      <w:lvlText w:val=""/>
      <w:lvlJc w:val="left"/>
      <w:pPr>
        <w:tabs>
          <w:tab w:val="num" w:pos="360"/>
        </w:tabs>
        <w:ind w:left="360" w:hanging="360"/>
      </w:pPr>
      <w:rPr>
        <w:rFonts w:ascii="Symbol" w:hAnsi="Symbol" w:hint="default"/>
      </w:rPr>
    </w:lvl>
  </w:abstractNum>
  <w:num w:numId="1" w16cid:durableId="119957095">
    <w:abstractNumId w:val="21"/>
  </w:num>
  <w:num w:numId="2" w16cid:durableId="1525168957">
    <w:abstractNumId w:val="14"/>
  </w:num>
  <w:num w:numId="3" w16cid:durableId="1606813081">
    <w:abstractNumId w:val="24"/>
  </w:num>
  <w:num w:numId="4" w16cid:durableId="577442010">
    <w:abstractNumId w:val="12"/>
  </w:num>
  <w:num w:numId="5" w16cid:durableId="583225914">
    <w:abstractNumId w:val="25"/>
  </w:num>
  <w:num w:numId="6" w16cid:durableId="314652081">
    <w:abstractNumId w:val="11"/>
    <w:lvlOverride w:ilvl="0">
      <w:lvl w:ilvl="0">
        <w:start w:val="1"/>
        <w:numFmt w:val="decimal"/>
        <w:lvlRestart w:val="0"/>
        <w:pStyle w:val="NumA1"/>
        <w:lvlText w:val="%1."/>
        <w:lvlJc w:val="left"/>
        <w:pPr>
          <w:tabs>
            <w:tab w:val="num" w:pos="720"/>
          </w:tabs>
          <w:ind w:left="720" w:hanging="720"/>
        </w:pPr>
        <w:rPr>
          <w:b w:val="0"/>
          <w:i w:val="0"/>
          <w:u w:val="none"/>
        </w:rPr>
      </w:lvl>
    </w:lvlOverride>
    <w:lvlOverride w:ilvl="1">
      <w:lvl w:ilvl="1">
        <w:start w:val="1"/>
        <w:numFmt w:val="upperRoman"/>
        <w:lvlRestart w:val="0"/>
        <w:pStyle w:val="NumA2"/>
        <w:lvlText w:val="%2."/>
        <w:lvlJc w:val="left"/>
        <w:pPr>
          <w:tabs>
            <w:tab w:val="num" w:pos="720"/>
          </w:tabs>
          <w:ind w:left="720" w:hanging="720"/>
        </w:pPr>
        <w:rPr>
          <w:b/>
          <w:i w:val="0"/>
          <w:u w:val="none"/>
        </w:rPr>
      </w:lvl>
    </w:lvlOverride>
    <w:lvlOverride w:ilvl="2">
      <w:lvl w:ilvl="2">
        <w:start w:val="1"/>
        <w:numFmt w:val="upperLetter"/>
        <w:lvlRestart w:val="0"/>
        <w:pStyle w:val="NumA3"/>
        <w:lvlText w:val="%3)"/>
        <w:lvlJc w:val="left"/>
        <w:pPr>
          <w:tabs>
            <w:tab w:val="num" w:pos="1440"/>
          </w:tabs>
          <w:ind w:left="1440" w:hanging="720"/>
        </w:pPr>
        <w:rPr>
          <w:b/>
          <w:i w:val="0"/>
          <w:u w:val="none"/>
        </w:rPr>
      </w:lvl>
    </w:lvlOverride>
    <w:lvlOverride w:ilvl="3">
      <w:lvl w:ilvl="3">
        <w:start w:val="1"/>
        <w:numFmt w:val="lowerRoman"/>
        <w:lvlRestart w:val="0"/>
        <w:pStyle w:val="NumA4"/>
        <w:lvlText w:val="%4."/>
        <w:lvlJc w:val="left"/>
        <w:pPr>
          <w:tabs>
            <w:tab w:val="num" w:pos="1800"/>
          </w:tabs>
          <w:ind w:left="1800" w:hanging="720"/>
        </w:pPr>
        <w:rPr>
          <w:b w:val="0"/>
          <w:i w:val="0"/>
          <w:u w:val="none"/>
        </w:rPr>
      </w:lvl>
    </w:lvlOverride>
    <w:lvlOverride w:ilvl="4">
      <w:lvl w:ilvl="4">
        <w:start w:val="1"/>
        <w:numFmt w:val="lowerLetter"/>
        <w:pStyle w:val="NumA5"/>
        <w:lvlText w:val="%5)"/>
        <w:lvlJc w:val="left"/>
        <w:pPr>
          <w:tabs>
            <w:tab w:val="num" w:pos="2520"/>
          </w:tabs>
          <w:ind w:left="2520" w:hanging="720"/>
        </w:pPr>
        <w:rPr>
          <w:b w:val="0"/>
          <w:i w:val="0"/>
          <w:u w:val="none"/>
        </w:rPr>
      </w:lvl>
    </w:lvlOverride>
    <w:lvlOverride w:ilvl="5">
      <w:lvl w:ilvl="5">
        <w:start w:val="1"/>
        <w:numFmt w:val="decimal"/>
        <w:pStyle w:val="NumA6"/>
        <w:lvlText w:val="%6)"/>
        <w:lvlJc w:val="left"/>
        <w:pPr>
          <w:tabs>
            <w:tab w:val="num" w:pos="4320"/>
          </w:tabs>
          <w:ind w:left="4320" w:hanging="720"/>
        </w:pPr>
        <w:rPr>
          <w:b w:val="0"/>
          <w:i w:val="0"/>
          <w:u w:val="none"/>
        </w:rPr>
      </w:lvl>
    </w:lvlOverride>
    <w:lvlOverride w:ilvl="6">
      <w:lvl w:ilvl="6">
        <w:start w:val="1"/>
        <w:numFmt w:val="lowerLetter"/>
        <w:pStyle w:val="NumA7"/>
        <w:lvlText w:val="%7."/>
        <w:lvlJc w:val="left"/>
        <w:pPr>
          <w:tabs>
            <w:tab w:val="num" w:pos="5040"/>
          </w:tabs>
          <w:ind w:left="5040" w:hanging="720"/>
        </w:pPr>
        <w:rPr>
          <w:b w:val="0"/>
          <w:i w:val="0"/>
          <w:u w:val="none"/>
        </w:rPr>
      </w:lvl>
    </w:lvlOverride>
    <w:lvlOverride w:ilvl="7">
      <w:lvl w:ilvl="7">
        <w:start w:val="1"/>
        <w:numFmt w:val="lowerRoman"/>
        <w:pStyle w:val="NumA8"/>
        <w:lvlText w:val="%8."/>
        <w:lvlJc w:val="left"/>
        <w:pPr>
          <w:tabs>
            <w:tab w:val="num" w:pos="5760"/>
          </w:tabs>
          <w:ind w:left="5760" w:hanging="720"/>
        </w:pPr>
        <w:rPr>
          <w:b w:val="0"/>
          <w:i w:val="0"/>
          <w:u w:val="none"/>
        </w:rPr>
      </w:lvl>
    </w:lvlOverride>
    <w:lvlOverride w:ilvl="8">
      <w:lvl w:ilvl="8">
        <w:start w:val="1"/>
        <w:numFmt w:val="upperLetter"/>
        <w:pStyle w:val="NumA9"/>
        <w:lvlText w:val="%9."/>
        <w:lvlJc w:val="left"/>
        <w:pPr>
          <w:tabs>
            <w:tab w:val="num" w:pos="6480"/>
          </w:tabs>
          <w:ind w:left="6480" w:hanging="720"/>
        </w:pPr>
        <w:rPr>
          <w:b w:val="0"/>
          <w:i w:val="0"/>
          <w:u w:val="none"/>
        </w:rPr>
      </w:lvl>
    </w:lvlOverride>
  </w:num>
  <w:num w:numId="7" w16cid:durableId="328294094">
    <w:abstractNumId w:val="13"/>
  </w:num>
  <w:num w:numId="8" w16cid:durableId="137382470">
    <w:abstractNumId w:val="11"/>
    <w:lvlOverride w:ilvl="0">
      <w:lvl w:ilvl="0">
        <w:start w:val="1"/>
        <w:numFmt w:val="decimal"/>
        <w:lvlRestart w:val="0"/>
        <w:pStyle w:val="NumA1"/>
        <w:lvlText w:val="%1."/>
        <w:lvlJc w:val="left"/>
        <w:pPr>
          <w:tabs>
            <w:tab w:val="num" w:pos="720"/>
          </w:tabs>
          <w:ind w:left="720" w:hanging="720"/>
        </w:pPr>
        <w:rPr>
          <w:b w:val="0"/>
          <w:i w:val="0"/>
          <w:u w:val="none"/>
        </w:rPr>
      </w:lvl>
    </w:lvlOverride>
  </w:num>
  <w:num w:numId="9" w16cid:durableId="19504283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74129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1226634">
    <w:abstractNumId w:val="19"/>
  </w:num>
  <w:num w:numId="12" w16cid:durableId="1663504782">
    <w:abstractNumId w:val="10"/>
  </w:num>
  <w:num w:numId="13" w16cid:durableId="1925871050">
    <w:abstractNumId w:val="11"/>
    <w:lvlOverride w:ilvl="0">
      <w:lvl w:ilvl="0">
        <w:start w:val="1"/>
        <w:numFmt w:val="decimal"/>
        <w:lvlRestart w:val="0"/>
        <w:pStyle w:val="NumA1"/>
        <w:lvlText w:val="%1."/>
        <w:lvlJc w:val="left"/>
        <w:pPr>
          <w:tabs>
            <w:tab w:val="num" w:pos="720"/>
          </w:tabs>
          <w:ind w:left="720" w:hanging="720"/>
        </w:pPr>
        <w:rPr>
          <w:b w:val="0"/>
          <w:i w:val="0"/>
          <w:u w:val="none"/>
        </w:rPr>
      </w:lvl>
    </w:lvlOverride>
    <w:lvlOverride w:ilvl="1">
      <w:lvl w:ilvl="1">
        <w:start w:val="1"/>
        <w:numFmt w:val="upperRoman"/>
        <w:lvlRestart w:val="0"/>
        <w:pStyle w:val="NumA2"/>
        <w:lvlText w:val="%2."/>
        <w:lvlJc w:val="left"/>
        <w:pPr>
          <w:tabs>
            <w:tab w:val="num" w:pos="720"/>
          </w:tabs>
          <w:ind w:left="720" w:hanging="720"/>
        </w:pPr>
        <w:rPr>
          <w:b/>
          <w:i w:val="0"/>
          <w:u w:val="none"/>
        </w:rPr>
      </w:lvl>
    </w:lvlOverride>
    <w:lvlOverride w:ilvl="2">
      <w:lvl w:ilvl="2">
        <w:start w:val="1"/>
        <w:numFmt w:val="upperLetter"/>
        <w:lvlRestart w:val="0"/>
        <w:pStyle w:val="NumA3"/>
        <w:lvlText w:val="%3)"/>
        <w:lvlJc w:val="left"/>
        <w:pPr>
          <w:tabs>
            <w:tab w:val="num" w:pos="1440"/>
          </w:tabs>
          <w:ind w:left="1440" w:hanging="720"/>
        </w:pPr>
        <w:rPr>
          <w:b/>
          <w:i w:val="0"/>
          <w:u w:val="none"/>
        </w:rPr>
      </w:lvl>
    </w:lvlOverride>
    <w:lvlOverride w:ilvl="3">
      <w:lvl w:ilvl="3">
        <w:start w:val="1"/>
        <w:numFmt w:val="lowerRoman"/>
        <w:lvlRestart w:val="0"/>
        <w:pStyle w:val="NumA4"/>
        <w:lvlText w:val="%4."/>
        <w:lvlJc w:val="left"/>
        <w:pPr>
          <w:tabs>
            <w:tab w:val="num" w:pos="1800"/>
          </w:tabs>
          <w:ind w:left="1800" w:hanging="720"/>
        </w:pPr>
        <w:rPr>
          <w:b w:val="0"/>
          <w:i w:val="0"/>
          <w:u w:val="none"/>
        </w:rPr>
      </w:lvl>
    </w:lvlOverride>
    <w:lvlOverride w:ilvl="4">
      <w:lvl w:ilvl="4">
        <w:start w:val="1"/>
        <w:numFmt w:val="lowerLetter"/>
        <w:pStyle w:val="NumA5"/>
        <w:lvlText w:val="%5)"/>
        <w:lvlJc w:val="left"/>
        <w:pPr>
          <w:tabs>
            <w:tab w:val="num" w:pos="2520"/>
          </w:tabs>
          <w:ind w:left="2520" w:hanging="720"/>
        </w:pPr>
        <w:rPr>
          <w:b w:val="0"/>
          <w:i w:val="0"/>
          <w:u w:val="none"/>
        </w:rPr>
      </w:lvl>
    </w:lvlOverride>
    <w:lvlOverride w:ilvl="5">
      <w:lvl w:ilvl="5">
        <w:start w:val="1"/>
        <w:numFmt w:val="decimal"/>
        <w:pStyle w:val="NumA6"/>
        <w:lvlText w:val="%6)"/>
        <w:lvlJc w:val="left"/>
        <w:pPr>
          <w:tabs>
            <w:tab w:val="num" w:pos="4320"/>
          </w:tabs>
          <w:ind w:left="4320" w:hanging="720"/>
        </w:pPr>
        <w:rPr>
          <w:b w:val="0"/>
          <w:i w:val="0"/>
          <w:u w:val="none"/>
        </w:rPr>
      </w:lvl>
    </w:lvlOverride>
    <w:lvlOverride w:ilvl="6">
      <w:lvl w:ilvl="6">
        <w:start w:val="1"/>
        <w:numFmt w:val="lowerLetter"/>
        <w:pStyle w:val="NumA7"/>
        <w:lvlText w:val="%7."/>
        <w:lvlJc w:val="left"/>
        <w:pPr>
          <w:tabs>
            <w:tab w:val="num" w:pos="5040"/>
          </w:tabs>
          <w:ind w:left="5040" w:hanging="720"/>
        </w:pPr>
        <w:rPr>
          <w:b w:val="0"/>
          <w:i w:val="0"/>
          <w:u w:val="none"/>
        </w:rPr>
      </w:lvl>
    </w:lvlOverride>
    <w:lvlOverride w:ilvl="7">
      <w:lvl w:ilvl="7">
        <w:start w:val="1"/>
        <w:numFmt w:val="lowerRoman"/>
        <w:pStyle w:val="NumA8"/>
        <w:lvlText w:val="%8."/>
        <w:lvlJc w:val="left"/>
        <w:pPr>
          <w:tabs>
            <w:tab w:val="num" w:pos="5760"/>
          </w:tabs>
          <w:ind w:left="5760" w:hanging="720"/>
        </w:pPr>
        <w:rPr>
          <w:b w:val="0"/>
          <w:i w:val="0"/>
          <w:u w:val="none"/>
        </w:rPr>
      </w:lvl>
    </w:lvlOverride>
    <w:lvlOverride w:ilvl="8">
      <w:lvl w:ilvl="8">
        <w:start w:val="1"/>
        <w:numFmt w:val="upperLetter"/>
        <w:pStyle w:val="NumA9"/>
        <w:lvlText w:val="%9."/>
        <w:lvlJc w:val="left"/>
        <w:pPr>
          <w:tabs>
            <w:tab w:val="num" w:pos="6480"/>
          </w:tabs>
          <w:ind w:left="6480" w:hanging="720"/>
        </w:pPr>
        <w:rPr>
          <w:b w:val="0"/>
          <w:i w:val="0"/>
          <w:u w:val="none"/>
        </w:rPr>
      </w:lvl>
    </w:lvlOverride>
  </w:num>
  <w:num w:numId="14" w16cid:durableId="1725369508">
    <w:abstractNumId w:val="23"/>
  </w:num>
  <w:num w:numId="15" w16cid:durableId="1266691851">
    <w:abstractNumId w:val="11"/>
    <w:lvlOverride w:ilvl="0">
      <w:startOverride w:val="1"/>
      <w:lvl w:ilvl="0">
        <w:start w:val="1"/>
        <w:numFmt w:val="decimal"/>
        <w:lvlRestart w:val="0"/>
        <w:pStyle w:val="NumA1"/>
        <w:lvlText w:val="%1."/>
        <w:lvlJc w:val="left"/>
        <w:pPr>
          <w:tabs>
            <w:tab w:val="num" w:pos="720"/>
          </w:tabs>
          <w:ind w:left="720" w:hanging="720"/>
        </w:pPr>
        <w:rPr>
          <w:b w:val="0"/>
          <w:i w:val="0"/>
          <w:u w:val="none"/>
        </w:rPr>
      </w:lvl>
    </w:lvlOverride>
    <w:lvlOverride w:ilvl="1">
      <w:startOverride w:val="1"/>
      <w:lvl w:ilvl="1">
        <w:start w:val="1"/>
        <w:numFmt w:val="upperRoman"/>
        <w:lvlRestart w:val="0"/>
        <w:pStyle w:val="NumA2"/>
        <w:lvlText w:val="%2."/>
        <w:lvlJc w:val="left"/>
        <w:pPr>
          <w:tabs>
            <w:tab w:val="num" w:pos="720"/>
          </w:tabs>
          <w:ind w:left="720" w:hanging="720"/>
        </w:pPr>
        <w:rPr>
          <w:b/>
          <w:i w:val="0"/>
          <w:u w:val="none"/>
        </w:rPr>
      </w:lvl>
    </w:lvlOverride>
    <w:lvlOverride w:ilvl="2">
      <w:startOverride w:val="1"/>
      <w:lvl w:ilvl="2">
        <w:start w:val="1"/>
        <w:numFmt w:val="upperLetter"/>
        <w:lvlRestart w:val="0"/>
        <w:pStyle w:val="NumA3"/>
        <w:lvlText w:val="%3)"/>
        <w:lvlJc w:val="left"/>
        <w:pPr>
          <w:tabs>
            <w:tab w:val="num" w:pos="1440"/>
          </w:tabs>
          <w:ind w:left="1440" w:hanging="720"/>
        </w:pPr>
        <w:rPr>
          <w:b/>
          <w:i w:val="0"/>
          <w:u w:val="none"/>
        </w:rPr>
      </w:lvl>
    </w:lvlOverride>
    <w:lvlOverride w:ilvl="3">
      <w:startOverride w:val="1"/>
      <w:lvl w:ilvl="3">
        <w:start w:val="1"/>
        <w:numFmt w:val="lowerRoman"/>
        <w:lvlRestart w:val="0"/>
        <w:pStyle w:val="NumA4"/>
        <w:lvlText w:val="%4."/>
        <w:lvlJc w:val="left"/>
        <w:pPr>
          <w:tabs>
            <w:tab w:val="num" w:pos="1800"/>
          </w:tabs>
          <w:ind w:left="1800" w:hanging="720"/>
        </w:pPr>
        <w:rPr>
          <w:b w:val="0"/>
          <w:i w:val="0"/>
          <w:u w:val="none"/>
        </w:rPr>
      </w:lvl>
    </w:lvlOverride>
    <w:lvlOverride w:ilvl="4">
      <w:startOverride w:val="1"/>
      <w:lvl w:ilvl="4">
        <w:start w:val="1"/>
        <w:numFmt w:val="lowerLetter"/>
        <w:pStyle w:val="NumA5"/>
        <w:lvlText w:val="%5)"/>
        <w:lvlJc w:val="left"/>
        <w:pPr>
          <w:tabs>
            <w:tab w:val="num" w:pos="2520"/>
          </w:tabs>
          <w:ind w:left="2520" w:hanging="720"/>
        </w:pPr>
        <w:rPr>
          <w:b w:val="0"/>
          <w:i w:val="0"/>
          <w:u w:val="none"/>
        </w:rPr>
      </w:lvl>
    </w:lvlOverride>
    <w:lvlOverride w:ilvl="5">
      <w:startOverride w:val="1"/>
      <w:lvl w:ilvl="5">
        <w:start w:val="1"/>
        <w:numFmt w:val="decimal"/>
        <w:pStyle w:val="NumA6"/>
        <w:lvlText w:val="%6)"/>
        <w:lvlJc w:val="left"/>
        <w:pPr>
          <w:tabs>
            <w:tab w:val="num" w:pos="4320"/>
          </w:tabs>
          <w:ind w:left="4320" w:hanging="720"/>
        </w:pPr>
        <w:rPr>
          <w:b w:val="0"/>
          <w:i w:val="0"/>
          <w:u w:val="none"/>
        </w:rPr>
      </w:lvl>
    </w:lvlOverride>
    <w:lvlOverride w:ilvl="6">
      <w:startOverride w:val="1"/>
      <w:lvl w:ilvl="6">
        <w:start w:val="1"/>
        <w:numFmt w:val="lowerLetter"/>
        <w:pStyle w:val="NumA7"/>
        <w:lvlText w:val="%7."/>
        <w:lvlJc w:val="left"/>
        <w:pPr>
          <w:tabs>
            <w:tab w:val="num" w:pos="5040"/>
          </w:tabs>
          <w:ind w:left="5040" w:hanging="720"/>
        </w:pPr>
        <w:rPr>
          <w:b w:val="0"/>
          <w:i w:val="0"/>
          <w:u w:val="none"/>
        </w:rPr>
      </w:lvl>
    </w:lvlOverride>
    <w:lvlOverride w:ilvl="7">
      <w:startOverride w:val="1"/>
      <w:lvl w:ilvl="7">
        <w:start w:val="1"/>
        <w:numFmt w:val="lowerRoman"/>
        <w:pStyle w:val="NumA8"/>
        <w:lvlText w:val="%8."/>
        <w:lvlJc w:val="left"/>
        <w:pPr>
          <w:tabs>
            <w:tab w:val="num" w:pos="5760"/>
          </w:tabs>
          <w:ind w:left="5760" w:hanging="720"/>
        </w:pPr>
        <w:rPr>
          <w:b w:val="0"/>
          <w:i w:val="0"/>
          <w:u w:val="none"/>
        </w:rPr>
      </w:lvl>
    </w:lvlOverride>
    <w:lvlOverride w:ilvl="8">
      <w:startOverride w:val="1"/>
      <w:lvl w:ilvl="8">
        <w:start w:val="1"/>
        <w:numFmt w:val="upperLetter"/>
        <w:pStyle w:val="NumA9"/>
        <w:lvlText w:val="%9."/>
        <w:lvlJc w:val="left"/>
        <w:pPr>
          <w:tabs>
            <w:tab w:val="num" w:pos="6480"/>
          </w:tabs>
          <w:ind w:left="6480" w:hanging="720"/>
        </w:pPr>
        <w:rPr>
          <w:b w:val="0"/>
          <w:i w:val="0"/>
          <w:u w:val="none"/>
        </w:rPr>
      </w:lvl>
    </w:lvlOverride>
  </w:num>
  <w:num w:numId="16" w16cid:durableId="401290662">
    <w:abstractNumId w:val="11"/>
    <w:lvlOverride w:ilvl="0">
      <w:startOverride w:val="1"/>
      <w:lvl w:ilvl="0">
        <w:start w:val="1"/>
        <w:numFmt w:val="decimal"/>
        <w:lvlRestart w:val="0"/>
        <w:pStyle w:val="NumA1"/>
        <w:lvlText w:val="%1."/>
        <w:lvlJc w:val="left"/>
        <w:pPr>
          <w:tabs>
            <w:tab w:val="num" w:pos="720"/>
          </w:tabs>
          <w:ind w:left="720" w:hanging="720"/>
        </w:pPr>
        <w:rPr>
          <w:b w:val="0"/>
          <w:i w:val="0"/>
          <w:u w:val="none"/>
        </w:rPr>
      </w:lvl>
    </w:lvlOverride>
    <w:lvlOverride w:ilvl="1">
      <w:startOverride w:val="1"/>
      <w:lvl w:ilvl="1">
        <w:start w:val="1"/>
        <w:numFmt w:val="upperRoman"/>
        <w:lvlRestart w:val="0"/>
        <w:pStyle w:val="NumA2"/>
        <w:lvlText w:val="%2."/>
        <w:lvlJc w:val="left"/>
        <w:pPr>
          <w:tabs>
            <w:tab w:val="num" w:pos="720"/>
          </w:tabs>
          <w:ind w:left="720" w:hanging="720"/>
        </w:pPr>
        <w:rPr>
          <w:b/>
          <w:i w:val="0"/>
          <w:u w:val="none"/>
        </w:rPr>
      </w:lvl>
    </w:lvlOverride>
    <w:lvlOverride w:ilvl="2">
      <w:startOverride w:val="1"/>
      <w:lvl w:ilvl="2">
        <w:start w:val="1"/>
        <w:numFmt w:val="upperLetter"/>
        <w:lvlRestart w:val="0"/>
        <w:pStyle w:val="NumA3"/>
        <w:lvlText w:val="%3)"/>
        <w:lvlJc w:val="left"/>
        <w:pPr>
          <w:tabs>
            <w:tab w:val="num" w:pos="1440"/>
          </w:tabs>
          <w:ind w:left="1440" w:hanging="720"/>
        </w:pPr>
        <w:rPr>
          <w:b/>
          <w:i w:val="0"/>
          <w:u w:val="none"/>
        </w:rPr>
      </w:lvl>
    </w:lvlOverride>
    <w:lvlOverride w:ilvl="3">
      <w:startOverride w:val="1"/>
      <w:lvl w:ilvl="3">
        <w:start w:val="1"/>
        <w:numFmt w:val="lowerRoman"/>
        <w:lvlRestart w:val="0"/>
        <w:pStyle w:val="NumA4"/>
        <w:lvlText w:val="%4."/>
        <w:lvlJc w:val="left"/>
        <w:pPr>
          <w:tabs>
            <w:tab w:val="num" w:pos="1800"/>
          </w:tabs>
          <w:ind w:left="1800" w:hanging="720"/>
        </w:pPr>
        <w:rPr>
          <w:b w:val="0"/>
          <w:i w:val="0"/>
          <w:u w:val="none"/>
        </w:rPr>
      </w:lvl>
    </w:lvlOverride>
    <w:lvlOverride w:ilvl="4">
      <w:startOverride w:val="1"/>
      <w:lvl w:ilvl="4">
        <w:start w:val="1"/>
        <w:numFmt w:val="lowerLetter"/>
        <w:pStyle w:val="NumA5"/>
        <w:lvlText w:val="%5)"/>
        <w:lvlJc w:val="left"/>
        <w:pPr>
          <w:tabs>
            <w:tab w:val="num" w:pos="2520"/>
          </w:tabs>
          <w:ind w:left="2520" w:hanging="720"/>
        </w:pPr>
        <w:rPr>
          <w:b w:val="0"/>
          <w:i w:val="0"/>
          <w:u w:val="none"/>
        </w:rPr>
      </w:lvl>
    </w:lvlOverride>
    <w:lvlOverride w:ilvl="5">
      <w:startOverride w:val="1"/>
      <w:lvl w:ilvl="5">
        <w:start w:val="1"/>
        <w:numFmt w:val="decimal"/>
        <w:pStyle w:val="NumA6"/>
        <w:lvlText w:val="%6)"/>
        <w:lvlJc w:val="left"/>
        <w:pPr>
          <w:tabs>
            <w:tab w:val="num" w:pos="4320"/>
          </w:tabs>
          <w:ind w:left="4320" w:hanging="720"/>
        </w:pPr>
        <w:rPr>
          <w:b w:val="0"/>
          <w:i w:val="0"/>
          <w:u w:val="none"/>
        </w:rPr>
      </w:lvl>
    </w:lvlOverride>
    <w:lvlOverride w:ilvl="6">
      <w:startOverride w:val="1"/>
      <w:lvl w:ilvl="6">
        <w:start w:val="1"/>
        <w:numFmt w:val="lowerLetter"/>
        <w:pStyle w:val="NumA7"/>
        <w:lvlText w:val="%7."/>
        <w:lvlJc w:val="left"/>
        <w:pPr>
          <w:tabs>
            <w:tab w:val="num" w:pos="5040"/>
          </w:tabs>
          <w:ind w:left="5040" w:hanging="720"/>
        </w:pPr>
        <w:rPr>
          <w:b w:val="0"/>
          <w:i w:val="0"/>
          <w:u w:val="none"/>
        </w:rPr>
      </w:lvl>
    </w:lvlOverride>
    <w:lvlOverride w:ilvl="7">
      <w:startOverride w:val="1"/>
      <w:lvl w:ilvl="7">
        <w:start w:val="1"/>
        <w:numFmt w:val="lowerRoman"/>
        <w:pStyle w:val="NumA8"/>
        <w:lvlText w:val="%8."/>
        <w:lvlJc w:val="left"/>
        <w:pPr>
          <w:tabs>
            <w:tab w:val="num" w:pos="5760"/>
          </w:tabs>
          <w:ind w:left="5760" w:hanging="720"/>
        </w:pPr>
        <w:rPr>
          <w:b w:val="0"/>
          <w:i w:val="0"/>
          <w:u w:val="none"/>
        </w:rPr>
      </w:lvl>
    </w:lvlOverride>
    <w:lvlOverride w:ilvl="8">
      <w:startOverride w:val="1"/>
      <w:lvl w:ilvl="8">
        <w:start w:val="1"/>
        <w:numFmt w:val="upperLetter"/>
        <w:pStyle w:val="NumA9"/>
        <w:lvlText w:val="%9."/>
        <w:lvlJc w:val="left"/>
        <w:pPr>
          <w:tabs>
            <w:tab w:val="num" w:pos="6480"/>
          </w:tabs>
          <w:ind w:left="6480" w:hanging="720"/>
        </w:pPr>
        <w:rPr>
          <w:b w:val="0"/>
          <w:i w:val="0"/>
          <w:u w:val="none"/>
        </w:rPr>
      </w:lvl>
    </w:lvlOverride>
  </w:num>
  <w:num w:numId="17" w16cid:durableId="2085057230">
    <w:abstractNumId w:val="16"/>
  </w:num>
  <w:num w:numId="18" w16cid:durableId="441068771">
    <w:abstractNumId w:val="15"/>
  </w:num>
  <w:num w:numId="19" w16cid:durableId="1408772529">
    <w:abstractNumId w:val="17"/>
  </w:num>
  <w:num w:numId="20" w16cid:durableId="1976569809">
    <w:abstractNumId w:val="11"/>
    <w:lvlOverride w:ilvl="0">
      <w:lvl w:ilvl="0">
        <w:start w:val="1"/>
        <w:numFmt w:val="decimal"/>
        <w:pStyle w:val="NumA1"/>
        <w:lvlText w:val="%1."/>
        <w:lvlJc w:val="left"/>
        <w:pPr>
          <w:ind w:left="360" w:hanging="360"/>
        </w:pPr>
        <w:rPr>
          <w:i w:val="0"/>
          <w:iCs w:val="0"/>
        </w:rPr>
      </w:lvl>
    </w:lvlOverride>
    <w:lvlOverride w:ilvl="1">
      <w:lvl w:ilvl="1">
        <w:start w:val="1"/>
        <w:numFmt w:val="lowerLetter"/>
        <w:pStyle w:val="NumA2"/>
        <w:lvlText w:val="%2."/>
        <w:lvlJc w:val="left"/>
        <w:pPr>
          <w:ind w:left="1080" w:hanging="360"/>
        </w:pPr>
      </w:lvl>
    </w:lvlOverride>
    <w:lvlOverride w:ilvl="2">
      <w:lvl w:ilvl="2">
        <w:start w:val="1"/>
        <w:numFmt w:val="lowerRoman"/>
        <w:pStyle w:val="NumA3"/>
        <w:lvlText w:val="%3."/>
        <w:lvlJc w:val="right"/>
        <w:pPr>
          <w:ind w:left="1800" w:hanging="180"/>
        </w:pPr>
      </w:lvl>
    </w:lvlOverride>
    <w:lvlOverride w:ilvl="3">
      <w:lvl w:ilvl="3">
        <w:start w:val="1"/>
        <w:numFmt w:val="decimal"/>
        <w:pStyle w:val="NumA4"/>
        <w:lvlText w:val="%4."/>
        <w:lvlJc w:val="left"/>
        <w:pPr>
          <w:ind w:left="2520" w:hanging="360"/>
        </w:pPr>
      </w:lvl>
    </w:lvlOverride>
    <w:lvlOverride w:ilvl="4">
      <w:lvl w:ilvl="4" w:tentative="1">
        <w:start w:val="1"/>
        <w:numFmt w:val="lowerLetter"/>
        <w:pStyle w:val="NumA5"/>
        <w:lvlText w:val="%5."/>
        <w:lvlJc w:val="left"/>
        <w:pPr>
          <w:ind w:left="3240" w:hanging="360"/>
        </w:pPr>
      </w:lvl>
    </w:lvlOverride>
    <w:lvlOverride w:ilvl="5">
      <w:lvl w:ilvl="5" w:tentative="1">
        <w:start w:val="1"/>
        <w:numFmt w:val="lowerRoman"/>
        <w:pStyle w:val="NumA6"/>
        <w:lvlText w:val="%6."/>
        <w:lvlJc w:val="right"/>
        <w:pPr>
          <w:ind w:left="3960" w:hanging="180"/>
        </w:pPr>
      </w:lvl>
    </w:lvlOverride>
    <w:lvlOverride w:ilvl="6">
      <w:lvl w:ilvl="6" w:tentative="1">
        <w:start w:val="1"/>
        <w:numFmt w:val="decimal"/>
        <w:pStyle w:val="NumA7"/>
        <w:lvlText w:val="%7."/>
        <w:lvlJc w:val="left"/>
        <w:pPr>
          <w:ind w:left="4680" w:hanging="360"/>
        </w:pPr>
      </w:lvl>
    </w:lvlOverride>
    <w:lvlOverride w:ilvl="7">
      <w:lvl w:ilvl="7" w:tentative="1">
        <w:start w:val="1"/>
        <w:numFmt w:val="lowerLetter"/>
        <w:pStyle w:val="NumA8"/>
        <w:lvlText w:val="%8."/>
        <w:lvlJc w:val="left"/>
        <w:pPr>
          <w:ind w:left="5400" w:hanging="360"/>
        </w:pPr>
      </w:lvl>
    </w:lvlOverride>
    <w:lvlOverride w:ilvl="8">
      <w:lvl w:ilvl="8" w:tentative="1">
        <w:start w:val="1"/>
        <w:numFmt w:val="lowerRoman"/>
        <w:pStyle w:val="NumA9"/>
        <w:lvlText w:val="%9."/>
        <w:lvlJc w:val="right"/>
        <w:pPr>
          <w:ind w:left="6120" w:hanging="180"/>
        </w:pPr>
      </w:lvl>
    </w:lvlOverride>
  </w:num>
  <w:num w:numId="21" w16cid:durableId="1959099962">
    <w:abstractNumId w:val="11"/>
    <w:lvlOverride w:ilvl="0">
      <w:startOverride w:val="1"/>
      <w:lvl w:ilvl="0">
        <w:start w:val="1"/>
        <w:numFmt w:val="decimal"/>
        <w:lvlRestart w:val="0"/>
        <w:pStyle w:val="NumA1"/>
        <w:lvlText w:val="%1."/>
        <w:lvlJc w:val="left"/>
        <w:pPr>
          <w:tabs>
            <w:tab w:val="num" w:pos="720"/>
          </w:tabs>
          <w:ind w:left="720" w:hanging="720"/>
        </w:pPr>
        <w:rPr>
          <w:b w:val="0"/>
          <w:i w:val="0"/>
          <w:u w:val="none"/>
        </w:rPr>
      </w:lvl>
    </w:lvlOverride>
    <w:lvlOverride w:ilvl="1">
      <w:startOverride w:val="1"/>
      <w:lvl w:ilvl="1">
        <w:start w:val="1"/>
        <w:numFmt w:val="upperRoman"/>
        <w:lvlRestart w:val="0"/>
        <w:pStyle w:val="NumA2"/>
        <w:lvlText w:val="%2."/>
        <w:lvlJc w:val="left"/>
        <w:pPr>
          <w:tabs>
            <w:tab w:val="num" w:pos="720"/>
          </w:tabs>
          <w:ind w:left="720" w:hanging="720"/>
        </w:pPr>
        <w:rPr>
          <w:b/>
          <w:i w:val="0"/>
          <w:u w:val="none"/>
        </w:rPr>
      </w:lvl>
    </w:lvlOverride>
    <w:lvlOverride w:ilvl="2">
      <w:startOverride w:val="1"/>
      <w:lvl w:ilvl="2">
        <w:start w:val="1"/>
        <w:numFmt w:val="upperLetter"/>
        <w:lvlRestart w:val="0"/>
        <w:pStyle w:val="NumA3"/>
        <w:lvlText w:val="%3)"/>
        <w:lvlJc w:val="left"/>
        <w:pPr>
          <w:tabs>
            <w:tab w:val="num" w:pos="1440"/>
          </w:tabs>
          <w:ind w:left="1440" w:hanging="720"/>
        </w:pPr>
        <w:rPr>
          <w:b/>
          <w:i w:val="0"/>
          <w:u w:val="none"/>
        </w:rPr>
      </w:lvl>
    </w:lvlOverride>
    <w:lvlOverride w:ilvl="3">
      <w:startOverride w:val="1"/>
      <w:lvl w:ilvl="3">
        <w:start w:val="1"/>
        <w:numFmt w:val="lowerRoman"/>
        <w:lvlRestart w:val="0"/>
        <w:pStyle w:val="NumA4"/>
        <w:lvlText w:val="%4."/>
        <w:lvlJc w:val="left"/>
        <w:pPr>
          <w:tabs>
            <w:tab w:val="num" w:pos="1800"/>
          </w:tabs>
          <w:ind w:left="1800" w:hanging="720"/>
        </w:pPr>
        <w:rPr>
          <w:b w:val="0"/>
          <w:i w:val="0"/>
          <w:u w:val="none"/>
        </w:rPr>
      </w:lvl>
    </w:lvlOverride>
    <w:lvlOverride w:ilvl="4">
      <w:startOverride w:val="1"/>
      <w:lvl w:ilvl="4">
        <w:start w:val="1"/>
        <w:numFmt w:val="lowerLetter"/>
        <w:pStyle w:val="NumA5"/>
        <w:lvlText w:val="%5)"/>
        <w:lvlJc w:val="left"/>
        <w:pPr>
          <w:tabs>
            <w:tab w:val="num" w:pos="2520"/>
          </w:tabs>
          <w:ind w:left="2520" w:hanging="720"/>
        </w:pPr>
        <w:rPr>
          <w:b w:val="0"/>
          <w:i w:val="0"/>
          <w:u w:val="none"/>
        </w:rPr>
      </w:lvl>
    </w:lvlOverride>
    <w:lvlOverride w:ilvl="5">
      <w:startOverride w:val="1"/>
      <w:lvl w:ilvl="5">
        <w:start w:val="1"/>
        <w:numFmt w:val="decimal"/>
        <w:pStyle w:val="NumA6"/>
        <w:lvlText w:val="%6)"/>
        <w:lvlJc w:val="left"/>
        <w:pPr>
          <w:tabs>
            <w:tab w:val="num" w:pos="4320"/>
          </w:tabs>
          <w:ind w:left="4320" w:hanging="720"/>
        </w:pPr>
        <w:rPr>
          <w:b w:val="0"/>
          <w:i w:val="0"/>
          <w:u w:val="none"/>
        </w:rPr>
      </w:lvl>
    </w:lvlOverride>
    <w:lvlOverride w:ilvl="6">
      <w:startOverride w:val="1"/>
      <w:lvl w:ilvl="6">
        <w:start w:val="1"/>
        <w:numFmt w:val="lowerLetter"/>
        <w:pStyle w:val="NumA7"/>
        <w:lvlText w:val="%7."/>
        <w:lvlJc w:val="left"/>
        <w:pPr>
          <w:tabs>
            <w:tab w:val="num" w:pos="5040"/>
          </w:tabs>
          <w:ind w:left="5040" w:hanging="720"/>
        </w:pPr>
        <w:rPr>
          <w:b w:val="0"/>
          <w:i w:val="0"/>
          <w:u w:val="none"/>
        </w:rPr>
      </w:lvl>
    </w:lvlOverride>
    <w:lvlOverride w:ilvl="7">
      <w:startOverride w:val="1"/>
      <w:lvl w:ilvl="7">
        <w:start w:val="1"/>
        <w:numFmt w:val="lowerRoman"/>
        <w:pStyle w:val="NumA8"/>
        <w:lvlText w:val="%8."/>
        <w:lvlJc w:val="left"/>
        <w:pPr>
          <w:tabs>
            <w:tab w:val="num" w:pos="5760"/>
          </w:tabs>
          <w:ind w:left="5760" w:hanging="720"/>
        </w:pPr>
        <w:rPr>
          <w:b w:val="0"/>
          <w:i w:val="0"/>
          <w:u w:val="none"/>
        </w:rPr>
      </w:lvl>
    </w:lvlOverride>
    <w:lvlOverride w:ilvl="8">
      <w:startOverride w:val="1"/>
      <w:lvl w:ilvl="8">
        <w:start w:val="1"/>
        <w:numFmt w:val="upperLetter"/>
        <w:pStyle w:val="NumA9"/>
        <w:lvlText w:val="%9."/>
        <w:lvlJc w:val="left"/>
        <w:pPr>
          <w:tabs>
            <w:tab w:val="num" w:pos="6480"/>
          </w:tabs>
          <w:ind w:left="6480" w:hanging="720"/>
        </w:pPr>
        <w:rPr>
          <w:b w:val="0"/>
          <w:i w:val="0"/>
          <w:u w:val="none"/>
        </w:rPr>
      </w:lvl>
    </w:lvlOverride>
  </w:num>
  <w:num w:numId="22" w16cid:durableId="1929654127">
    <w:abstractNumId w:val="8"/>
  </w:num>
  <w:num w:numId="23" w16cid:durableId="237831513">
    <w:abstractNumId w:val="3"/>
  </w:num>
  <w:num w:numId="24" w16cid:durableId="2120485016">
    <w:abstractNumId w:val="2"/>
  </w:num>
  <w:num w:numId="25" w16cid:durableId="544172801">
    <w:abstractNumId w:val="1"/>
  </w:num>
  <w:num w:numId="26" w16cid:durableId="334504964">
    <w:abstractNumId w:val="0"/>
  </w:num>
  <w:num w:numId="27" w16cid:durableId="1859076233">
    <w:abstractNumId w:val="9"/>
  </w:num>
  <w:num w:numId="28" w16cid:durableId="1015379522">
    <w:abstractNumId w:val="7"/>
  </w:num>
  <w:num w:numId="29" w16cid:durableId="989946953">
    <w:abstractNumId w:val="6"/>
  </w:num>
  <w:num w:numId="30" w16cid:durableId="425007572">
    <w:abstractNumId w:val="5"/>
  </w:num>
  <w:num w:numId="31" w16cid:durableId="1859810107">
    <w:abstractNumId w:val="4"/>
  </w:num>
  <w:num w:numId="32" w16cid:durableId="1408726591">
    <w:abstractNumId w:val="22"/>
  </w:num>
  <w:num w:numId="33" w16cid:durableId="164149411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styleLockQFSet/>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_ONE|Num_A" w:val="B|R|B|S|B|B|B|B|B"/>
    <w:docVar w:name="N_OneCvt" w:val="Y"/>
  </w:docVars>
  <w:rsids>
    <w:rsidRoot w:val="000460D1"/>
    <w:rsid w:val="0000446A"/>
    <w:rsid w:val="000057F3"/>
    <w:rsid w:val="00005FA4"/>
    <w:rsid w:val="00006780"/>
    <w:rsid w:val="000103C5"/>
    <w:rsid w:val="000124BE"/>
    <w:rsid w:val="0001286B"/>
    <w:rsid w:val="00014397"/>
    <w:rsid w:val="00015C6D"/>
    <w:rsid w:val="00016832"/>
    <w:rsid w:val="00016AF9"/>
    <w:rsid w:val="000170AE"/>
    <w:rsid w:val="00017D4D"/>
    <w:rsid w:val="00017E73"/>
    <w:rsid w:val="000246EA"/>
    <w:rsid w:val="00027DA2"/>
    <w:rsid w:val="000305A2"/>
    <w:rsid w:val="00032EE5"/>
    <w:rsid w:val="00034A8D"/>
    <w:rsid w:val="00041F08"/>
    <w:rsid w:val="000436FA"/>
    <w:rsid w:val="00043C12"/>
    <w:rsid w:val="0004592A"/>
    <w:rsid w:val="000460D1"/>
    <w:rsid w:val="000467B0"/>
    <w:rsid w:val="0004681F"/>
    <w:rsid w:val="00051660"/>
    <w:rsid w:val="000610B9"/>
    <w:rsid w:val="00062F35"/>
    <w:rsid w:val="00063B7E"/>
    <w:rsid w:val="000641B9"/>
    <w:rsid w:val="00067B0A"/>
    <w:rsid w:val="0007002C"/>
    <w:rsid w:val="00070568"/>
    <w:rsid w:val="00070B17"/>
    <w:rsid w:val="00070CA1"/>
    <w:rsid w:val="00073900"/>
    <w:rsid w:val="0007423A"/>
    <w:rsid w:val="00075267"/>
    <w:rsid w:val="00075FE3"/>
    <w:rsid w:val="0007642F"/>
    <w:rsid w:val="000846BB"/>
    <w:rsid w:val="000848A8"/>
    <w:rsid w:val="00087E79"/>
    <w:rsid w:val="0009263A"/>
    <w:rsid w:val="000941B6"/>
    <w:rsid w:val="000958E6"/>
    <w:rsid w:val="00097A60"/>
    <w:rsid w:val="000A0280"/>
    <w:rsid w:val="000A04F0"/>
    <w:rsid w:val="000A3D38"/>
    <w:rsid w:val="000A6D3D"/>
    <w:rsid w:val="000A7171"/>
    <w:rsid w:val="000A7B0A"/>
    <w:rsid w:val="000A7B1D"/>
    <w:rsid w:val="000B0BA0"/>
    <w:rsid w:val="000B1AB3"/>
    <w:rsid w:val="000B1D4C"/>
    <w:rsid w:val="000B25F1"/>
    <w:rsid w:val="000B2788"/>
    <w:rsid w:val="000B3261"/>
    <w:rsid w:val="000B35F0"/>
    <w:rsid w:val="000B41CD"/>
    <w:rsid w:val="000B5E2E"/>
    <w:rsid w:val="000B745B"/>
    <w:rsid w:val="000B7553"/>
    <w:rsid w:val="000C1295"/>
    <w:rsid w:val="000C1D27"/>
    <w:rsid w:val="000C4D95"/>
    <w:rsid w:val="000D18C0"/>
    <w:rsid w:val="000D2483"/>
    <w:rsid w:val="000D2EFC"/>
    <w:rsid w:val="000D5248"/>
    <w:rsid w:val="000D55E3"/>
    <w:rsid w:val="000D5655"/>
    <w:rsid w:val="000D5BA1"/>
    <w:rsid w:val="000D6ED7"/>
    <w:rsid w:val="000E5226"/>
    <w:rsid w:val="000E52F6"/>
    <w:rsid w:val="000E5E31"/>
    <w:rsid w:val="000F3076"/>
    <w:rsid w:val="000F60C5"/>
    <w:rsid w:val="000F67A0"/>
    <w:rsid w:val="000F6953"/>
    <w:rsid w:val="001021AC"/>
    <w:rsid w:val="00102845"/>
    <w:rsid w:val="00102ED0"/>
    <w:rsid w:val="001047D3"/>
    <w:rsid w:val="00104863"/>
    <w:rsid w:val="00105B12"/>
    <w:rsid w:val="00107564"/>
    <w:rsid w:val="001115DA"/>
    <w:rsid w:val="001123B7"/>
    <w:rsid w:val="001124EC"/>
    <w:rsid w:val="00112F9C"/>
    <w:rsid w:val="00116463"/>
    <w:rsid w:val="00116AB9"/>
    <w:rsid w:val="0011724B"/>
    <w:rsid w:val="0012023A"/>
    <w:rsid w:val="00121787"/>
    <w:rsid w:val="00123743"/>
    <w:rsid w:val="00123D73"/>
    <w:rsid w:val="00124164"/>
    <w:rsid w:val="0012446C"/>
    <w:rsid w:val="00130EDC"/>
    <w:rsid w:val="001322A8"/>
    <w:rsid w:val="00132A11"/>
    <w:rsid w:val="00136527"/>
    <w:rsid w:val="00136632"/>
    <w:rsid w:val="00140889"/>
    <w:rsid w:val="00141CA5"/>
    <w:rsid w:val="0014232F"/>
    <w:rsid w:val="00143603"/>
    <w:rsid w:val="00143DFD"/>
    <w:rsid w:val="00146F9D"/>
    <w:rsid w:val="0014729E"/>
    <w:rsid w:val="0015014A"/>
    <w:rsid w:val="001502D0"/>
    <w:rsid w:val="001522C4"/>
    <w:rsid w:val="00153ADA"/>
    <w:rsid w:val="00157A89"/>
    <w:rsid w:val="00161800"/>
    <w:rsid w:val="001636A1"/>
    <w:rsid w:val="00163A70"/>
    <w:rsid w:val="00163A98"/>
    <w:rsid w:val="001658F8"/>
    <w:rsid w:val="00165FFD"/>
    <w:rsid w:val="00166F4D"/>
    <w:rsid w:val="001701ED"/>
    <w:rsid w:val="0017146F"/>
    <w:rsid w:val="00174345"/>
    <w:rsid w:val="00175DCE"/>
    <w:rsid w:val="00175FFF"/>
    <w:rsid w:val="00176BE0"/>
    <w:rsid w:val="001774D8"/>
    <w:rsid w:val="001779EF"/>
    <w:rsid w:val="0018113E"/>
    <w:rsid w:val="001822E5"/>
    <w:rsid w:val="001830F9"/>
    <w:rsid w:val="00185B44"/>
    <w:rsid w:val="00187C32"/>
    <w:rsid w:val="00192542"/>
    <w:rsid w:val="00192CE3"/>
    <w:rsid w:val="001A07F0"/>
    <w:rsid w:val="001A1401"/>
    <w:rsid w:val="001A160C"/>
    <w:rsid w:val="001A5C0D"/>
    <w:rsid w:val="001A6D3A"/>
    <w:rsid w:val="001A7A48"/>
    <w:rsid w:val="001B2197"/>
    <w:rsid w:val="001B32CA"/>
    <w:rsid w:val="001B4901"/>
    <w:rsid w:val="001B4F26"/>
    <w:rsid w:val="001B58D4"/>
    <w:rsid w:val="001B72E4"/>
    <w:rsid w:val="001C0C8B"/>
    <w:rsid w:val="001C12E9"/>
    <w:rsid w:val="001C2A58"/>
    <w:rsid w:val="001C41A5"/>
    <w:rsid w:val="001C4317"/>
    <w:rsid w:val="001C781B"/>
    <w:rsid w:val="001D2676"/>
    <w:rsid w:val="001D3976"/>
    <w:rsid w:val="001D3FB1"/>
    <w:rsid w:val="001D5AA0"/>
    <w:rsid w:val="001D6B14"/>
    <w:rsid w:val="001D7A1D"/>
    <w:rsid w:val="001D7BE2"/>
    <w:rsid w:val="001E2302"/>
    <w:rsid w:val="001E3E55"/>
    <w:rsid w:val="001E4DD7"/>
    <w:rsid w:val="001E5340"/>
    <w:rsid w:val="001E6E51"/>
    <w:rsid w:val="001E7DFD"/>
    <w:rsid w:val="001F0553"/>
    <w:rsid w:val="001F1B01"/>
    <w:rsid w:val="001F31CE"/>
    <w:rsid w:val="001F66DC"/>
    <w:rsid w:val="0020070B"/>
    <w:rsid w:val="00200F9A"/>
    <w:rsid w:val="00201CA9"/>
    <w:rsid w:val="002048A7"/>
    <w:rsid w:val="00206652"/>
    <w:rsid w:val="00207240"/>
    <w:rsid w:val="002104BC"/>
    <w:rsid w:val="00213ED2"/>
    <w:rsid w:val="00214612"/>
    <w:rsid w:val="00215507"/>
    <w:rsid w:val="00215CE3"/>
    <w:rsid w:val="002168D6"/>
    <w:rsid w:val="00216E82"/>
    <w:rsid w:val="00217369"/>
    <w:rsid w:val="0022599A"/>
    <w:rsid w:val="00226179"/>
    <w:rsid w:val="002268C0"/>
    <w:rsid w:val="00226A6F"/>
    <w:rsid w:val="002314D6"/>
    <w:rsid w:val="00231C41"/>
    <w:rsid w:val="002358DC"/>
    <w:rsid w:val="00237C29"/>
    <w:rsid w:val="00241BAE"/>
    <w:rsid w:val="00242D8E"/>
    <w:rsid w:val="00243045"/>
    <w:rsid w:val="00247713"/>
    <w:rsid w:val="0025016C"/>
    <w:rsid w:val="00251D91"/>
    <w:rsid w:val="002529E4"/>
    <w:rsid w:val="00262239"/>
    <w:rsid w:val="002654D7"/>
    <w:rsid w:val="0026684F"/>
    <w:rsid w:val="00267686"/>
    <w:rsid w:val="00267BAE"/>
    <w:rsid w:val="00270781"/>
    <w:rsid w:val="00273EEF"/>
    <w:rsid w:val="002755F5"/>
    <w:rsid w:val="002771DD"/>
    <w:rsid w:val="00280558"/>
    <w:rsid w:val="002817CE"/>
    <w:rsid w:val="002818DC"/>
    <w:rsid w:val="00281931"/>
    <w:rsid w:val="00281D39"/>
    <w:rsid w:val="00283156"/>
    <w:rsid w:val="00284651"/>
    <w:rsid w:val="0028650A"/>
    <w:rsid w:val="00287DEB"/>
    <w:rsid w:val="00290ECC"/>
    <w:rsid w:val="00293268"/>
    <w:rsid w:val="0029686D"/>
    <w:rsid w:val="002A0923"/>
    <w:rsid w:val="002B0261"/>
    <w:rsid w:val="002B3DC9"/>
    <w:rsid w:val="002B4399"/>
    <w:rsid w:val="002B51FE"/>
    <w:rsid w:val="002B6584"/>
    <w:rsid w:val="002B66B2"/>
    <w:rsid w:val="002B6D32"/>
    <w:rsid w:val="002B7232"/>
    <w:rsid w:val="002C04EA"/>
    <w:rsid w:val="002C22CF"/>
    <w:rsid w:val="002C27DC"/>
    <w:rsid w:val="002C32EB"/>
    <w:rsid w:val="002C50B3"/>
    <w:rsid w:val="002C7605"/>
    <w:rsid w:val="002D233B"/>
    <w:rsid w:val="002D2749"/>
    <w:rsid w:val="002D3B2A"/>
    <w:rsid w:val="002D41DE"/>
    <w:rsid w:val="002D4AE4"/>
    <w:rsid w:val="002D71BF"/>
    <w:rsid w:val="002D7DE5"/>
    <w:rsid w:val="002D7ECE"/>
    <w:rsid w:val="002E0D01"/>
    <w:rsid w:val="002E1461"/>
    <w:rsid w:val="002E3EBD"/>
    <w:rsid w:val="002E4850"/>
    <w:rsid w:val="002E54EB"/>
    <w:rsid w:val="002E64E0"/>
    <w:rsid w:val="002E65E5"/>
    <w:rsid w:val="002E7291"/>
    <w:rsid w:val="002F320E"/>
    <w:rsid w:val="002F47A5"/>
    <w:rsid w:val="002F4C5F"/>
    <w:rsid w:val="002F58EB"/>
    <w:rsid w:val="002F5AF0"/>
    <w:rsid w:val="00301C79"/>
    <w:rsid w:val="0030458D"/>
    <w:rsid w:val="00304C7E"/>
    <w:rsid w:val="00306784"/>
    <w:rsid w:val="00307ED8"/>
    <w:rsid w:val="00310D3D"/>
    <w:rsid w:val="00312FE4"/>
    <w:rsid w:val="00314ECD"/>
    <w:rsid w:val="00314F80"/>
    <w:rsid w:val="003158FC"/>
    <w:rsid w:val="00316B6E"/>
    <w:rsid w:val="00316E7A"/>
    <w:rsid w:val="00316FEF"/>
    <w:rsid w:val="00320B77"/>
    <w:rsid w:val="00320EA2"/>
    <w:rsid w:val="003219BA"/>
    <w:rsid w:val="00321A84"/>
    <w:rsid w:val="00326B06"/>
    <w:rsid w:val="00327115"/>
    <w:rsid w:val="0032723E"/>
    <w:rsid w:val="00327E21"/>
    <w:rsid w:val="00331280"/>
    <w:rsid w:val="00334B35"/>
    <w:rsid w:val="00336F2B"/>
    <w:rsid w:val="003371AE"/>
    <w:rsid w:val="00337341"/>
    <w:rsid w:val="0033791E"/>
    <w:rsid w:val="00342B4A"/>
    <w:rsid w:val="00342E20"/>
    <w:rsid w:val="00344F9A"/>
    <w:rsid w:val="003462EC"/>
    <w:rsid w:val="0034635F"/>
    <w:rsid w:val="00350CBE"/>
    <w:rsid w:val="00351379"/>
    <w:rsid w:val="0035156C"/>
    <w:rsid w:val="00353210"/>
    <w:rsid w:val="00353AB3"/>
    <w:rsid w:val="00354AF8"/>
    <w:rsid w:val="003608A2"/>
    <w:rsid w:val="003609F9"/>
    <w:rsid w:val="00360AD2"/>
    <w:rsid w:val="00361668"/>
    <w:rsid w:val="00361D97"/>
    <w:rsid w:val="003633D3"/>
    <w:rsid w:val="00364EC7"/>
    <w:rsid w:val="00365474"/>
    <w:rsid w:val="003666E7"/>
    <w:rsid w:val="00367F7A"/>
    <w:rsid w:val="00371212"/>
    <w:rsid w:val="0037177F"/>
    <w:rsid w:val="00372167"/>
    <w:rsid w:val="00372AD7"/>
    <w:rsid w:val="00373046"/>
    <w:rsid w:val="00373A63"/>
    <w:rsid w:val="00373D4E"/>
    <w:rsid w:val="00374A78"/>
    <w:rsid w:val="00381D22"/>
    <w:rsid w:val="00383312"/>
    <w:rsid w:val="003835C7"/>
    <w:rsid w:val="00383723"/>
    <w:rsid w:val="00384B01"/>
    <w:rsid w:val="0038699A"/>
    <w:rsid w:val="00387AB7"/>
    <w:rsid w:val="00390ED9"/>
    <w:rsid w:val="003942A1"/>
    <w:rsid w:val="00394BCB"/>
    <w:rsid w:val="00395784"/>
    <w:rsid w:val="0039620B"/>
    <w:rsid w:val="003977D7"/>
    <w:rsid w:val="003A0341"/>
    <w:rsid w:val="003A0641"/>
    <w:rsid w:val="003A0737"/>
    <w:rsid w:val="003A14BC"/>
    <w:rsid w:val="003A2517"/>
    <w:rsid w:val="003A2991"/>
    <w:rsid w:val="003A2B3F"/>
    <w:rsid w:val="003A2E3D"/>
    <w:rsid w:val="003A4911"/>
    <w:rsid w:val="003A4A9A"/>
    <w:rsid w:val="003A6E4A"/>
    <w:rsid w:val="003A7A1B"/>
    <w:rsid w:val="003A7DB1"/>
    <w:rsid w:val="003A7E40"/>
    <w:rsid w:val="003A7F17"/>
    <w:rsid w:val="003B261E"/>
    <w:rsid w:val="003B3DDB"/>
    <w:rsid w:val="003B69CE"/>
    <w:rsid w:val="003B6B01"/>
    <w:rsid w:val="003C0A07"/>
    <w:rsid w:val="003C1934"/>
    <w:rsid w:val="003C230B"/>
    <w:rsid w:val="003C23D1"/>
    <w:rsid w:val="003C2818"/>
    <w:rsid w:val="003C2BF6"/>
    <w:rsid w:val="003C449A"/>
    <w:rsid w:val="003C68F5"/>
    <w:rsid w:val="003C742C"/>
    <w:rsid w:val="003D009A"/>
    <w:rsid w:val="003D04E2"/>
    <w:rsid w:val="003D55DC"/>
    <w:rsid w:val="003D64F3"/>
    <w:rsid w:val="003E027D"/>
    <w:rsid w:val="003E40BD"/>
    <w:rsid w:val="003F0481"/>
    <w:rsid w:val="003F0895"/>
    <w:rsid w:val="003F0D38"/>
    <w:rsid w:val="003F27A4"/>
    <w:rsid w:val="003F6646"/>
    <w:rsid w:val="003F7121"/>
    <w:rsid w:val="003F76D7"/>
    <w:rsid w:val="00400121"/>
    <w:rsid w:val="004003AB"/>
    <w:rsid w:val="00401C4D"/>
    <w:rsid w:val="00401EEE"/>
    <w:rsid w:val="00403C52"/>
    <w:rsid w:val="00404373"/>
    <w:rsid w:val="00405970"/>
    <w:rsid w:val="004110F4"/>
    <w:rsid w:val="00411A3F"/>
    <w:rsid w:val="00412294"/>
    <w:rsid w:val="004155E3"/>
    <w:rsid w:val="004169C9"/>
    <w:rsid w:val="00420933"/>
    <w:rsid w:val="00420A40"/>
    <w:rsid w:val="00424171"/>
    <w:rsid w:val="00425C2C"/>
    <w:rsid w:val="004262AE"/>
    <w:rsid w:val="004276A1"/>
    <w:rsid w:val="00427793"/>
    <w:rsid w:val="00427AF9"/>
    <w:rsid w:val="00427FD8"/>
    <w:rsid w:val="00430229"/>
    <w:rsid w:val="00431AEC"/>
    <w:rsid w:val="00432AD1"/>
    <w:rsid w:val="00434F23"/>
    <w:rsid w:val="00436885"/>
    <w:rsid w:val="00436937"/>
    <w:rsid w:val="00437CF0"/>
    <w:rsid w:val="00441C72"/>
    <w:rsid w:val="004432E8"/>
    <w:rsid w:val="00445E3A"/>
    <w:rsid w:val="0044721B"/>
    <w:rsid w:val="00451F23"/>
    <w:rsid w:val="00452559"/>
    <w:rsid w:val="004528A8"/>
    <w:rsid w:val="00452DBC"/>
    <w:rsid w:val="00453B82"/>
    <w:rsid w:val="004545C5"/>
    <w:rsid w:val="00454694"/>
    <w:rsid w:val="00455FAE"/>
    <w:rsid w:val="004560E0"/>
    <w:rsid w:val="00456CD4"/>
    <w:rsid w:val="004573C4"/>
    <w:rsid w:val="00457D74"/>
    <w:rsid w:val="00461FCB"/>
    <w:rsid w:val="0046227D"/>
    <w:rsid w:val="00463245"/>
    <w:rsid w:val="00463267"/>
    <w:rsid w:val="00463F32"/>
    <w:rsid w:val="00463F97"/>
    <w:rsid w:val="004656FD"/>
    <w:rsid w:val="00466649"/>
    <w:rsid w:val="00466A17"/>
    <w:rsid w:val="0046747F"/>
    <w:rsid w:val="00467571"/>
    <w:rsid w:val="004709CE"/>
    <w:rsid w:val="004756AE"/>
    <w:rsid w:val="00477384"/>
    <w:rsid w:val="00477495"/>
    <w:rsid w:val="00481B00"/>
    <w:rsid w:val="0048307A"/>
    <w:rsid w:val="004832C9"/>
    <w:rsid w:val="004832CE"/>
    <w:rsid w:val="0048418C"/>
    <w:rsid w:val="004858D7"/>
    <w:rsid w:val="00485901"/>
    <w:rsid w:val="004871BD"/>
    <w:rsid w:val="00487589"/>
    <w:rsid w:val="004912A8"/>
    <w:rsid w:val="0049282B"/>
    <w:rsid w:val="004979B3"/>
    <w:rsid w:val="004A0A59"/>
    <w:rsid w:val="004A219D"/>
    <w:rsid w:val="004A28BB"/>
    <w:rsid w:val="004A503F"/>
    <w:rsid w:val="004A5C28"/>
    <w:rsid w:val="004A76F1"/>
    <w:rsid w:val="004A7FB2"/>
    <w:rsid w:val="004B188D"/>
    <w:rsid w:val="004B3462"/>
    <w:rsid w:val="004B5207"/>
    <w:rsid w:val="004B5244"/>
    <w:rsid w:val="004B5333"/>
    <w:rsid w:val="004B6C20"/>
    <w:rsid w:val="004B6F78"/>
    <w:rsid w:val="004B78DD"/>
    <w:rsid w:val="004B7FE8"/>
    <w:rsid w:val="004C0601"/>
    <w:rsid w:val="004C1CCA"/>
    <w:rsid w:val="004C1F50"/>
    <w:rsid w:val="004C3FCA"/>
    <w:rsid w:val="004C5153"/>
    <w:rsid w:val="004C5FB3"/>
    <w:rsid w:val="004C65BA"/>
    <w:rsid w:val="004C7AC3"/>
    <w:rsid w:val="004D653A"/>
    <w:rsid w:val="004D6DC3"/>
    <w:rsid w:val="004E272B"/>
    <w:rsid w:val="004E2B35"/>
    <w:rsid w:val="004E318A"/>
    <w:rsid w:val="004E7187"/>
    <w:rsid w:val="004F1649"/>
    <w:rsid w:val="004F235F"/>
    <w:rsid w:val="004F51DC"/>
    <w:rsid w:val="004F57A9"/>
    <w:rsid w:val="004F797B"/>
    <w:rsid w:val="00502A3D"/>
    <w:rsid w:val="0050327B"/>
    <w:rsid w:val="00504ACA"/>
    <w:rsid w:val="00504AF5"/>
    <w:rsid w:val="00505AE0"/>
    <w:rsid w:val="005060A0"/>
    <w:rsid w:val="0050772F"/>
    <w:rsid w:val="00507D46"/>
    <w:rsid w:val="00514108"/>
    <w:rsid w:val="00517443"/>
    <w:rsid w:val="00520834"/>
    <w:rsid w:val="005216D1"/>
    <w:rsid w:val="00521E14"/>
    <w:rsid w:val="00526A4D"/>
    <w:rsid w:val="005316BD"/>
    <w:rsid w:val="00531B8C"/>
    <w:rsid w:val="00531BC3"/>
    <w:rsid w:val="00532016"/>
    <w:rsid w:val="00532227"/>
    <w:rsid w:val="00533C20"/>
    <w:rsid w:val="005363BF"/>
    <w:rsid w:val="0053763E"/>
    <w:rsid w:val="00537E28"/>
    <w:rsid w:val="00543E44"/>
    <w:rsid w:val="00547701"/>
    <w:rsid w:val="005500FA"/>
    <w:rsid w:val="00550F01"/>
    <w:rsid w:val="00551234"/>
    <w:rsid w:val="005514B9"/>
    <w:rsid w:val="00552CC6"/>
    <w:rsid w:val="00560032"/>
    <w:rsid w:val="00560598"/>
    <w:rsid w:val="005615D1"/>
    <w:rsid w:val="00561EA3"/>
    <w:rsid w:val="00562519"/>
    <w:rsid w:val="00564DAA"/>
    <w:rsid w:val="00565AA9"/>
    <w:rsid w:val="00565B78"/>
    <w:rsid w:val="005667A2"/>
    <w:rsid w:val="00570149"/>
    <w:rsid w:val="00571929"/>
    <w:rsid w:val="0057198C"/>
    <w:rsid w:val="00573B5F"/>
    <w:rsid w:val="00573D73"/>
    <w:rsid w:val="005753EF"/>
    <w:rsid w:val="005756B7"/>
    <w:rsid w:val="005807FA"/>
    <w:rsid w:val="0058285A"/>
    <w:rsid w:val="0058311C"/>
    <w:rsid w:val="005847D3"/>
    <w:rsid w:val="0059427D"/>
    <w:rsid w:val="00595D37"/>
    <w:rsid w:val="0059746B"/>
    <w:rsid w:val="00597705"/>
    <w:rsid w:val="005A02EE"/>
    <w:rsid w:val="005A038D"/>
    <w:rsid w:val="005A0871"/>
    <w:rsid w:val="005A0934"/>
    <w:rsid w:val="005A0A6B"/>
    <w:rsid w:val="005A207B"/>
    <w:rsid w:val="005A5C52"/>
    <w:rsid w:val="005A61FA"/>
    <w:rsid w:val="005B1E67"/>
    <w:rsid w:val="005B21A9"/>
    <w:rsid w:val="005B4FF3"/>
    <w:rsid w:val="005B58BC"/>
    <w:rsid w:val="005B62E1"/>
    <w:rsid w:val="005B66A1"/>
    <w:rsid w:val="005B7082"/>
    <w:rsid w:val="005C019F"/>
    <w:rsid w:val="005C0DCB"/>
    <w:rsid w:val="005C15FD"/>
    <w:rsid w:val="005C35C7"/>
    <w:rsid w:val="005C4147"/>
    <w:rsid w:val="005C415B"/>
    <w:rsid w:val="005C51D0"/>
    <w:rsid w:val="005C62A3"/>
    <w:rsid w:val="005C72CB"/>
    <w:rsid w:val="005C7B16"/>
    <w:rsid w:val="005D2254"/>
    <w:rsid w:val="005D3A71"/>
    <w:rsid w:val="005D53F4"/>
    <w:rsid w:val="005D612E"/>
    <w:rsid w:val="005D6D1B"/>
    <w:rsid w:val="005E11F9"/>
    <w:rsid w:val="005E1266"/>
    <w:rsid w:val="005E130A"/>
    <w:rsid w:val="005E13CB"/>
    <w:rsid w:val="005E211B"/>
    <w:rsid w:val="005E263A"/>
    <w:rsid w:val="005E2FD7"/>
    <w:rsid w:val="005E3BC9"/>
    <w:rsid w:val="005E4580"/>
    <w:rsid w:val="005E4E12"/>
    <w:rsid w:val="005E65E6"/>
    <w:rsid w:val="005E7FFB"/>
    <w:rsid w:val="005F1735"/>
    <w:rsid w:val="005F1DCA"/>
    <w:rsid w:val="005F2395"/>
    <w:rsid w:val="005F416C"/>
    <w:rsid w:val="005F4C95"/>
    <w:rsid w:val="005F55F0"/>
    <w:rsid w:val="005F5872"/>
    <w:rsid w:val="005F626D"/>
    <w:rsid w:val="005F7FC7"/>
    <w:rsid w:val="006048E3"/>
    <w:rsid w:val="006063D8"/>
    <w:rsid w:val="00612027"/>
    <w:rsid w:val="00612364"/>
    <w:rsid w:val="00613053"/>
    <w:rsid w:val="0061703A"/>
    <w:rsid w:val="00623815"/>
    <w:rsid w:val="006238B5"/>
    <w:rsid w:val="006254FC"/>
    <w:rsid w:val="006279C9"/>
    <w:rsid w:val="006307EB"/>
    <w:rsid w:val="00631BD5"/>
    <w:rsid w:val="00631F38"/>
    <w:rsid w:val="00632E11"/>
    <w:rsid w:val="006343B5"/>
    <w:rsid w:val="00636A73"/>
    <w:rsid w:val="00636AEA"/>
    <w:rsid w:val="006370B7"/>
    <w:rsid w:val="006374D8"/>
    <w:rsid w:val="006379ED"/>
    <w:rsid w:val="00637B61"/>
    <w:rsid w:val="00643003"/>
    <w:rsid w:val="00643F30"/>
    <w:rsid w:val="006451A7"/>
    <w:rsid w:val="00645283"/>
    <w:rsid w:val="006470F8"/>
    <w:rsid w:val="00650CDE"/>
    <w:rsid w:val="00650E9A"/>
    <w:rsid w:val="006522AA"/>
    <w:rsid w:val="00652338"/>
    <w:rsid w:val="00652B3B"/>
    <w:rsid w:val="00654E99"/>
    <w:rsid w:val="00655BBE"/>
    <w:rsid w:val="006568A7"/>
    <w:rsid w:val="00656DFC"/>
    <w:rsid w:val="00657A32"/>
    <w:rsid w:val="00657EFA"/>
    <w:rsid w:val="0066005B"/>
    <w:rsid w:val="00661335"/>
    <w:rsid w:val="0066369F"/>
    <w:rsid w:val="00663CC6"/>
    <w:rsid w:val="00664460"/>
    <w:rsid w:val="00667518"/>
    <w:rsid w:val="0066772B"/>
    <w:rsid w:val="006679DF"/>
    <w:rsid w:val="00667D26"/>
    <w:rsid w:val="00670C46"/>
    <w:rsid w:val="00673376"/>
    <w:rsid w:val="00674FB3"/>
    <w:rsid w:val="0067652A"/>
    <w:rsid w:val="00681E30"/>
    <w:rsid w:val="006824B1"/>
    <w:rsid w:val="00683B34"/>
    <w:rsid w:val="00683E3E"/>
    <w:rsid w:val="00684889"/>
    <w:rsid w:val="006852DC"/>
    <w:rsid w:val="00685340"/>
    <w:rsid w:val="0068598F"/>
    <w:rsid w:val="00685CE6"/>
    <w:rsid w:val="0068621A"/>
    <w:rsid w:val="006870AF"/>
    <w:rsid w:val="00690F8B"/>
    <w:rsid w:val="00692466"/>
    <w:rsid w:val="006925A1"/>
    <w:rsid w:val="00695336"/>
    <w:rsid w:val="00695A2A"/>
    <w:rsid w:val="006A4267"/>
    <w:rsid w:val="006A503C"/>
    <w:rsid w:val="006A5FD2"/>
    <w:rsid w:val="006B13F6"/>
    <w:rsid w:val="006B250D"/>
    <w:rsid w:val="006B2AB2"/>
    <w:rsid w:val="006B389E"/>
    <w:rsid w:val="006B50C8"/>
    <w:rsid w:val="006B55DB"/>
    <w:rsid w:val="006B5A3C"/>
    <w:rsid w:val="006B616B"/>
    <w:rsid w:val="006B6590"/>
    <w:rsid w:val="006B7AE3"/>
    <w:rsid w:val="006C4D5F"/>
    <w:rsid w:val="006C731D"/>
    <w:rsid w:val="006C7575"/>
    <w:rsid w:val="006C7DDC"/>
    <w:rsid w:val="006D0462"/>
    <w:rsid w:val="006D0B8C"/>
    <w:rsid w:val="006D1394"/>
    <w:rsid w:val="006D1621"/>
    <w:rsid w:val="006D23B7"/>
    <w:rsid w:val="006D329A"/>
    <w:rsid w:val="006D380E"/>
    <w:rsid w:val="006D43CB"/>
    <w:rsid w:val="006D4787"/>
    <w:rsid w:val="006D52FD"/>
    <w:rsid w:val="006D5FDD"/>
    <w:rsid w:val="006D7ECD"/>
    <w:rsid w:val="006E0984"/>
    <w:rsid w:val="006E1F0F"/>
    <w:rsid w:val="006E5402"/>
    <w:rsid w:val="006E58E6"/>
    <w:rsid w:val="006E763C"/>
    <w:rsid w:val="006F003B"/>
    <w:rsid w:val="006F0762"/>
    <w:rsid w:val="006F0EC2"/>
    <w:rsid w:val="006F51CD"/>
    <w:rsid w:val="006F528E"/>
    <w:rsid w:val="006F634B"/>
    <w:rsid w:val="006F6804"/>
    <w:rsid w:val="006F7CD7"/>
    <w:rsid w:val="007000F9"/>
    <w:rsid w:val="00700689"/>
    <w:rsid w:val="00701F58"/>
    <w:rsid w:val="0070208F"/>
    <w:rsid w:val="00702897"/>
    <w:rsid w:val="00702F27"/>
    <w:rsid w:val="007040C6"/>
    <w:rsid w:val="00705BB3"/>
    <w:rsid w:val="00705C7A"/>
    <w:rsid w:val="0070662E"/>
    <w:rsid w:val="007072D7"/>
    <w:rsid w:val="00707EA8"/>
    <w:rsid w:val="00710972"/>
    <w:rsid w:val="00710C3F"/>
    <w:rsid w:val="00712486"/>
    <w:rsid w:val="00714022"/>
    <w:rsid w:val="007146A5"/>
    <w:rsid w:val="00715BF5"/>
    <w:rsid w:val="00715C32"/>
    <w:rsid w:val="00720C51"/>
    <w:rsid w:val="007243DA"/>
    <w:rsid w:val="00724821"/>
    <w:rsid w:val="00726152"/>
    <w:rsid w:val="0072620C"/>
    <w:rsid w:val="0073077C"/>
    <w:rsid w:val="00732BD1"/>
    <w:rsid w:val="00732F9B"/>
    <w:rsid w:val="007337A5"/>
    <w:rsid w:val="00735967"/>
    <w:rsid w:val="00736E63"/>
    <w:rsid w:val="007371FD"/>
    <w:rsid w:val="00737A7E"/>
    <w:rsid w:val="007400DF"/>
    <w:rsid w:val="007405E9"/>
    <w:rsid w:val="00740DAE"/>
    <w:rsid w:val="00741814"/>
    <w:rsid w:val="00741F33"/>
    <w:rsid w:val="007443A0"/>
    <w:rsid w:val="007444D0"/>
    <w:rsid w:val="00747CEA"/>
    <w:rsid w:val="00747E89"/>
    <w:rsid w:val="00750B28"/>
    <w:rsid w:val="00751745"/>
    <w:rsid w:val="007533E8"/>
    <w:rsid w:val="007539FA"/>
    <w:rsid w:val="0075656B"/>
    <w:rsid w:val="00756A41"/>
    <w:rsid w:val="00756F06"/>
    <w:rsid w:val="00757FE9"/>
    <w:rsid w:val="00760EC0"/>
    <w:rsid w:val="0076236B"/>
    <w:rsid w:val="007632B0"/>
    <w:rsid w:val="00763530"/>
    <w:rsid w:val="007641B6"/>
    <w:rsid w:val="0076609A"/>
    <w:rsid w:val="007733E0"/>
    <w:rsid w:val="0077361E"/>
    <w:rsid w:val="007763C0"/>
    <w:rsid w:val="00776B57"/>
    <w:rsid w:val="00780E8C"/>
    <w:rsid w:val="0078549F"/>
    <w:rsid w:val="00786C35"/>
    <w:rsid w:val="007908FE"/>
    <w:rsid w:val="0079180F"/>
    <w:rsid w:val="007924A8"/>
    <w:rsid w:val="007924D5"/>
    <w:rsid w:val="00793737"/>
    <w:rsid w:val="007940EC"/>
    <w:rsid w:val="00794C8D"/>
    <w:rsid w:val="00796F9E"/>
    <w:rsid w:val="00797EA0"/>
    <w:rsid w:val="007A009C"/>
    <w:rsid w:val="007A238A"/>
    <w:rsid w:val="007A2E5E"/>
    <w:rsid w:val="007A391C"/>
    <w:rsid w:val="007A4C70"/>
    <w:rsid w:val="007A6CA6"/>
    <w:rsid w:val="007B1A9C"/>
    <w:rsid w:val="007B327B"/>
    <w:rsid w:val="007B33C0"/>
    <w:rsid w:val="007B3CC5"/>
    <w:rsid w:val="007B4F04"/>
    <w:rsid w:val="007B65F3"/>
    <w:rsid w:val="007B76A0"/>
    <w:rsid w:val="007B7A1E"/>
    <w:rsid w:val="007C1C82"/>
    <w:rsid w:val="007C24D6"/>
    <w:rsid w:val="007C3075"/>
    <w:rsid w:val="007C4516"/>
    <w:rsid w:val="007C6B06"/>
    <w:rsid w:val="007C6D63"/>
    <w:rsid w:val="007C7B5B"/>
    <w:rsid w:val="007D08DD"/>
    <w:rsid w:val="007D1C10"/>
    <w:rsid w:val="007D1C4F"/>
    <w:rsid w:val="007D51F0"/>
    <w:rsid w:val="007D6FF5"/>
    <w:rsid w:val="007D7789"/>
    <w:rsid w:val="007D77EF"/>
    <w:rsid w:val="007E1921"/>
    <w:rsid w:val="007E368D"/>
    <w:rsid w:val="007E6469"/>
    <w:rsid w:val="007F0D28"/>
    <w:rsid w:val="007F2A10"/>
    <w:rsid w:val="007F2FB8"/>
    <w:rsid w:val="007F30BC"/>
    <w:rsid w:val="007F3EB5"/>
    <w:rsid w:val="007F5684"/>
    <w:rsid w:val="007F6859"/>
    <w:rsid w:val="007F6CAE"/>
    <w:rsid w:val="007F7C77"/>
    <w:rsid w:val="008064DE"/>
    <w:rsid w:val="008066B5"/>
    <w:rsid w:val="008107BB"/>
    <w:rsid w:val="00812ABD"/>
    <w:rsid w:val="00815807"/>
    <w:rsid w:val="0082031D"/>
    <w:rsid w:val="00821024"/>
    <w:rsid w:val="008210C6"/>
    <w:rsid w:val="00822EB7"/>
    <w:rsid w:val="008234DE"/>
    <w:rsid w:val="00823C47"/>
    <w:rsid w:val="008258E6"/>
    <w:rsid w:val="00826898"/>
    <w:rsid w:val="008274FC"/>
    <w:rsid w:val="00830072"/>
    <w:rsid w:val="008334CC"/>
    <w:rsid w:val="0083615E"/>
    <w:rsid w:val="00836CF3"/>
    <w:rsid w:val="0084105F"/>
    <w:rsid w:val="00842B12"/>
    <w:rsid w:val="00842DAE"/>
    <w:rsid w:val="008431E7"/>
    <w:rsid w:val="008452F0"/>
    <w:rsid w:val="00845F77"/>
    <w:rsid w:val="008468D0"/>
    <w:rsid w:val="00851F20"/>
    <w:rsid w:val="00852F14"/>
    <w:rsid w:val="008541C5"/>
    <w:rsid w:val="00854D1D"/>
    <w:rsid w:val="008556A6"/>
    <w:rsid w:val="00855829"/>
    <w:rsid w:val="00855B59"/>
    <w:rsid w:val="00855CAA"/>
    <w:rsid w:val="00855F5B"/>
    <w:rsid w:val="00856554"/>
    <w:rsid w:val="0085768E"/>
    <w:rsid w:val="00860166"/>
    <w:rsid w:val="0086273C"/>
    <w:rsid w:val="0086325D"/>
    <w:rsid w:val="00863C1C"/>
    <w:rsid w:val="008640C7"/>
    <w:rsid w:val="00865BB6"/>
    <w:rsid w:val="00867411"/>
    <w:rsid w:val="00871791"/>
    <w:rsid w:val="00871AAF"/>
    <w:rsid w:val="00871FBC"/>
    <w:rsid w:val="008762B4"/>
    <w:rsid w:val="008773D5"/>
    <w:rsid w:val="00877411"/>
    <w:rsid w:val="00882BF2"/>
    <w:rsid w:val="0088386F"/>
    <w:rsid w:val="008845E4"/>
    <w:rsid w:val="008859D9"/>
    <w:rsid w:val="00885C31"/>
    <w:rsid w:val="00886198"/>
    <w:rsid w:val="00886646"/>
    <w:rsid w:val="00887603"/>
    <w:rsid w:val="00887A5E"/>
    <w:rsid w:val="008912DA"/>
    <w:rsid w:val="00892792"/>
    <w:rsid w:val="008934BB"/>
    <w:rsid w:val="008944B3"/>
    <w:rsid w:val="00894EF1"/>
    <w:rsid w:val="0089712A"/>
    <w:rsid w:val="008A3163"/>
    <w:rsid w:val="008A4155"/>
    <w:rsid w:val="008A48F3"/>
    <w:rsid w:val="008A5FE9"/>
    <w:rsid w:val="008A6FC5"/>
    <w:rsid w:val="008B340A"/>
    <w:rsid w:val="008B4FBE"/>
    <w:rsid w:val="008B5CA1"/>
    <w:rsid w:val="008B6C1C"/>
    <w:rsid w:val="008B7ED9"/>
    <w:rsid w:val="008C0221"/>
    <w:rsid w:val="008C096C"/>
    <w:rsid w:val="008C2DA5"/>
    <w:rsid w:val="008C2FEC"/>
    <w:rsid w:val="008C2FFD"/>
    <w:rsid w:val="008C399F"/>
    <w:rsid w:val="008C51D1"/>
    <w:rsid w:val="008C57E7"/>
    <w:rsid w:val="008C5AC0"/>
    <w:rsid w:val="008C6102"/>
    <w:rsid w:val="008D2D76"/>
    <w:rsid w:val="008D372F"/>
    <w:rsid w:val="008D4455"/>
    <w:rsid w:val="008D5077"/>
    <w:rsid w:val="008D5B69"/>
    <w:rsid w:val="008D60CA"/>
    <w:rsid w:val="008D6A21"/>
    <w:rsid w:val="008D72BF"/>
    <w:rsid w:val="008E066D"/>
    <w:rsid w:val="008E1A68"/>
    <w:rsid w:val="008E1F26"/>
    <w:rsid w:val="008E1FA2"/>
    <w:rsid w:val="008E24BC"/>
    <w:rsid w:val="008E28D2"/>
    <w:rsid w:val="008E2B9C"/>
    <w:rsid w:val="008E53AB"/>
    <w:rsid w:val="008E788B"/>
    <w:rsid w:val="008F0A5D"/>
    <w:rsid w:val="008F1522"/>
    <w:rsid w:val="008F15C6"/>
    <w:rsid w:val="008F31E2"/>
    <w:rsid w:val="008F3913"/>
    <w:rsid w:val="008F40AD"/>
    <w:rsid w:val="008F4C66"/>
    <w:rsid w:val="008F5899"/>
    <w:rsid w:val="008F58BD"/>
    <w:rsid w:val="008F7A96"/>
    <w:rsid w:val="009025F6"/>
    <w:rsid w:val="00906892"/>
    <w:rsid w:val="009072A3"/>
    <w:rsid w:val="00907D70"/>
    <w:rsid w:val="00910F46"/>
    <w:rsid w:val="009141D7"/>
    <w:rsid w:val="009154EC"/>
    <w:rsid w:val="00917CB6"/>
    <w:rsid w:val="00920060"/>
    <w:rsid w:val="009205FF"/>
    <w:rsid w:val="00920C85"/>
    <w:rsid w:val="009240EE"/>
    <w:rsid w:val="00925ACA"/>
    <w:rsid w:val="00925E70"/>
    <w:rsid w:val="00926BF0"/>
    <w:rsid w:val="00926F14"/>
    <w:rsid w:val="009301BE"/>
    <w:rsid w:val="00930742"/>
    <w:rsid w:val="00930DDC"/>
    <w:rsid w:val="00932E4E"/>
    <w:rsid w:val="00932F9C"/>
    <w:rsid w:val="00933433"/>
    <w:rsid w:val="00936C3D"/>
    <w:rsid w:val="009375AF"/>
    <w:rsid w:val="009377C8"/>
    <w:rsid w:val="00937927"/>
    <w:rsid w:val="009405B7"/>
    <w:rsid w:val="00942341"/>
    <w:rsid w:val="00944430"/>
    <w:rsid w:val="00945619"/>
    <w:rsid w:val="009458AF"/>
    <w:rsid w:val="00945C2E"/>
    <w:rsid w:val="0094684A"/>
    <w:rsid w:val="00946C19"/>
    <w:rsid w:val="00950B16"/>
    <w:rsid w:val="00950DFA"/>
    <w:rsid w:val="0095452E"/>
    <w:rsid w:val="00954949"/>
    <w:rsid w:val="00954C0F"/>
    <w:rsid w:val="0095543D"/>
    <w:rsid w:val="0095579B"/>
    <w:rsid w:val="00955941"/>
    <w:rsid w:val="00957261"/>
    <w:rsid w:val="0096180A"/>
    <w:rsid w:val="00961BA4"/>
    <w:rsid w:val="00962A1F"/>
    <w:rsid w:val="00962EF4"/>
    <w:rsid w:val="00963719"/>
    <w:rsid w:val="00963FBC"/>
    <w:rsid w:val="00965FEC"/>
    <w:rsid w:val="00966696"/>
    <w:rsid w:val="00967514"/>
    <w:rsid w:val="0096770C"/>
    <w:rsid w:val="00971865"/>
    <w:rsid w:val="009758FD"/>
    <w:rsid w:val="00981FBD"/>
    <w:rsid w:val="00982921"/>
    <w:rsid w:val="0098340E"/>
    <w:rsid w:val="00983CB9"/>
    <w:rsid w:val="009847D1"/>
    <w:rsid w:val="00984BA7"/>
    <w:rsid w:val="00984D63"/>
    <w:rsid w:val="00985B19"/>
    <w:rsid w:val="0098724B"/>
    <w:rsid w:val="009872B3"/>
    <w:rsid w:val="00992541"/>
    <w:rsid w:val="00992F75"/>
    <w:rsid w:val="00993833"/>
    <w:rsid w:val="00994DE2"/>
    <w:rsid w:val="00995A42"/>
    <w:rsid w:val="00995FB2"/>
    <w:rsid w:val="0099619A"/>
    <w:rsid w:val="00996B8D"/>
    <w:rsid w:val="009A0CFD"/>
    <w:rsid w:val="009A4271"/>
    <w:rsid w:val="009A5A62"/>
    <w:rsid w:val="009A6C89"/>
    <w:rsid w:val="009B102C"/>
    <w:rsid w:val="009B3004"/>
    <w:rsid w:val="009B3F2C"/>
    <w:rsid w:val="009B4317"/>
    <w:rsid w:val="009B47E1"/>
    <w:rsid w:val="009B5235"/>
    <w:rsid w:val="009B6F36"/>
    <w:rsid w:val="009B7035"/>
    <w:rsid w:val="009B7567"/>
    <w:rsid w:val="009C1F34"/>
    <w:rsid w:val="009C2186"/>
    <w:rsid w:val="009C23DD"/>
    <w:rsid w:val="009C2C04"/>
    <w:rsid w:val="009C48E9"/>
    <w:rsid w:val="009C4F81"/>
    <w:rsid w:val="009C506F"/>
    <w:rsid w:val="009C5C6C"/>
    <w:rsid w:val="009C60C6"/>
    <w:rsid w:val="009D084B"/>
    <w:rsid w:val="009D10D6"/>
    <w:rsid w:val="009D14DF"/>
    <w:rsid w:val="009D1BF1"/>
    <w:rsid w:val="009D1D05"/>
    <w:rsid w:val="009D2CF4"/>
    <w:rsid w:val="009D3C0A"/>
    <w:rsid w:val="009D48E4"/>
    <w:rsid w:val="009E28CC"/>
    <w:rsid w:val="009F0793"/>
    <w:rsid w:val="009F0992"/>
    <w:rsid w:val="009F321C"/>
    <w:rsid w:val="009F74B9"/>
    <w:rsid w:val="009F7E58"/>
    <w:rsid w:val="009FADED"/>
    <w:rsid w:val="00A0034C"/>
    <w:rsid w:val="00A022C3"/>
    <w:rsid w:val="00A03560"/>
    <w:rsid w:val="00A03A6C"/>
    <w:rsid w:val="00A07F02"/>
    <w:rsid w:val="00A13B71"/>
    <w:rsid w:val="00A13BC5"/>
    <w:rsid w:val="00A14E8C"/>
    <w:rsid w:val="00A1679A"/>
    <w:rsid w:val="00A1749D"/>
    <w:rsid w:val="00A17829"/>
    <w:rsid w:val="00A1785B"/>
    <w:rsid w:val="00A17E21"/>
    <w:rsid w:val="00A21251"/>
    <w:rsid w:val="00A21461"/>
    <w:rsid w:val="00A218CB"/>
    <w:rsid w:val="00A219B5"/>
    <w:rsid w:val="00A21B24"/>
    <w:rsid w:val="00A237D2"/>
    <w:rsid w:val="00A25889"/>
    <w:rsid w:val="00A266E1"/>
    <w:rsid w:val="00A2769D"/>
    <w:rsid w:val="00A27FC0"/>
    <w:rsid w:val="00A303C5"/>
    <w:rsid w:val="00A3257E"/>
    <w:rsid w:val="00A3329C"/>
    <w:rsid w:val="00A33C89"/>
    <w:rsid w:val="00A36E6A"/>
    <w:rsid w:val="00A37B74"/>
    <w:rsid w:val="00A37F2B"/>
    <w:rsid w:val="00A420D8"/>
    <w:rsid w:val="00A436C1"/>
    <w:rsid w:val="00A44A0F"/>
    <w:rsid w:val="00A454E1"/>
    <w:rsid w:val="00A45691"/>
    <w:rsid w:val="00A477A2"/>
    <w:rsid w:val="00A5059E"/>
    <w:rsid w:val="00A50608"/>
    <w:rsid w:val="00A511B8"/>
    <w:rsid w:val="00A53465"/>
    <w:rsid w:val="00A53609"/>
    <w:rsid w:val="00A54B78"/>
    <w:rsid w:val="00A54CE0"/>
    <w:rsid w:val="00A56AE0"/>
    <w:rsid w:val="00A56E4A"/>
    <w:rsid w:val="00A604F3"/>
    <w:rsid w:val="00A63091"/>
    <w:rsid w:val="00A65969"/>
    <w:rsid w:val="00A674FC"/>
    <w:rsid w:val="00A70A03"/>
    <w:rsid w:val="00A75BC8"/>
    <w:rsid w:val="00A76225"/>
    <w:rsid w:val="00A778B3"/>
    <w:rsid w:val="00A811F4"/>
    <w:rsid w:val="00A82A2F"/>
    <w:rsid w:val="00A832DF"/>
    <w:rsid w:val="00A834C7"/>
    <w:rsid w:val="00A84BB2"/>
    <w:rsid w:val="00A87402"/>
    <w:rsid w:val="00A87F7D"/>
    <w:rsid w:val="00A902BB"/>
    <w:rsid w:val="00A927C5"/>
    <w:rsid w:val="00A933C1"/>
    <w:rsid w:val="00A949B5"/>
    <w:rsid w:val="00A95985"/>
    <w:rsid w:val="00A9684D"/>
    <w:rsid w:val="00A97768"/>
    <w:rsid w:val="00AA07B5"/>
    <w:rsid w:val="00AA1698"/>
    <w:rsid w:val="00AA20E5"/>
    <w:rsid w:val="00AA2504"/>
    <w:rsid w:val="00AA256B"/>
    <w:rsid w:val="00AA26FF"/>
    <w:rsid w:val="00AA6013"/>
    <w:rsid w:val="00AB006B"/>
    <w:rsid w:val="00AB0E37"/>
    <w:rsid w:val="00AB126C"/>
    <w:rsid w:val="00AB1331"/>
    <w:rsid w:val="00AB1E32"/>
    <w:rsid w:val="00AB372E"/>
    <w:rsid w:val="00AB39FA"/>
    <w:rsid w:val="00AB3E51"/>
    <w:rsid w:val="00AB44E3"/>
    <w:rsid w:val="00AC4005"/>
    <w:rsid w:val="00AC4397"/>
    <w:rsid w:val="00AC46CD"/>
    <w:rsid w:val="00AC7605"/>
    <w:rsid w:val="00AC7606"/>
    <w:rsid w:val="00AC7A93"/>
    <w:rsid w:val="00AC7D28"/>
    <w:rsid w:val="00AC7F25"/>
    <w:rsid w:val="00AD15D3"/>
    <w:rsid w:val="00AD227C"/>
    <w:rsid w:val="00AD28F5"/>
    <w:rsid w:val="00AD3AC0"/>
    <w:rsid w:val="00AD5564"/>
    <w:rsid w:val="00AD6D62"/>
    <w:rsid w:val="00AE0975"/>
    <w:rsid w:val="00AE3342"/>
    <w:rsid w:val="00AE3BFF"/>
    <w:rsid w:val="00AE4DFB"/>
    <w:rsid w:val="00AE535F"/>
    <w:rsid w:val="00AE6EB6"/>
    <w:rsid w:val="00AE7E32"/>
    <w:rsid w:val="00AF1451"/>
    <w:rsid w:val="00AF1526"/>
    <w:rsid w:val="00AF253B"/>
    <w:rsid w:val="00AF51AF"/>
    <w:rsid w:val="00AF6412"/>
    <w:rsid w:val="00B026AA"/>
    <w:rsid w:val="00B04746"/>
    <w:rsid w:val="00B06D28"/>
    <w:rsid w:val="00B072D6"/>
    <w:rsid w:val="00B10124"/>
    <w:rsid w:val="00B103F5"/>
    <w:rsid w:val="00B1211F"/>
    <w:rsid w:val="00B12DE5"/>
    <w:rsid w:val="00B14082"/>
    <w:rsid w:val="00B14551"/>
    <w:rsid w:val="00B15472"/>
    <w:rsid w:val="00B158D6"/>
    <w:rsid w:val="00B15B65"/>
    <w:rsid w:val="00B17EFD"/>
    <w:rsid w:val="00B2421B"/>
    <w:rsid w:val="00B2779E"/>
    <w:rsid w:val="00B30AEB"/>
    <w:rsid w:val="00B31294"/>
    <w:rsid w:val="00B31AF7"/>
    <w:rsid w:val="00B323CC"/>
    <w:rsid w:val="00B337AB"/>
    <w:rsid w:val="00B33E7F"/>
    <w:rsid w:val="00B353B2"/>
    <w:rsid w:val="00B3554E"/>
    <w:rsid w:val="00B36075"/>
    <w:rsid w:val="00B36B7D"/>
    <w:rsid w:val="00B3751F"/>
    <w:rsid w:val="00B37709"/>
    <w:rsid w:val="00B37A66"/>
    <w:rsid w:val="00B37DA4"/>
    <w:rsid w:val="00B41F6E"/>
    <w:rsid w:val="00B42764"/>
    <w:rsid w:val="00B42D06"/>
    <w:rsid w:val="00B44F18"/>
    <w:rsid w:val="00B45440"/>
    <w:rsid w:val="00B46ED8"/>
    <w:rsid w:val="00B479B8"/>
    <w:rsid w:val="00B47F3C"/>
    <w:rsid w:val="00B47FC2"/>
    <w:rsid w:val="00B51823"/>
    <w:rsid w:val="00B53A93"/>
    <w:rsid w:val="00B53BDC"/>
    <w:rsid w:val="00B53D24"/>
    <w:rsid w:val="00B548D8"/>
    <w:rsid w:val="00B63B6A"/>
    <w:rsid w:val="00B64449"/>
    <w:rsid w:val="00B65619"/>
    <w:rsid w:val="00B67B17"/>
    <w:rsid w:val="00B67E3D"/>
    <w:rsid w:val="00B716A4"/>
    <w:rsid w:val="00B71AD8"/>
    <w:rsid w:val="00B71DDC"/>
    <w:rsid w:val="00B72417"/>
    <w:rsid w:val="00B73D1C"/>
    <w:rsid w:val="00B74C90"/>
    <w:rsid w:val="00B754D5"/>
    <w:rsid w:val="00B76D16"/>
    <w:rsid w:val="00B77FFC"/>
    <w:rsid w:val="00B80740"/>
    <w:rsid w:val="00B813AF"/>
    <w:rsid w:val="00B81F8D"/>
    <w:rsid w:val="00B83AB1"/>
    <w:rsid w:val="00B8514F"/>
    <w:rsid w:val="00B8594A"/>
    <w:rsid w:val="00B86609"/>
    <w:rsid w:val="00B8699B"/>
    <w:rsid w:val="00B878EC"/>
    <w:rsid w:val="00B90506"/>
    <w:rsid w:val="00B90AAB"/>
    <w:rsid w:val="00B90C58"/>
    <w:rsid w:val="00B91B64"/>
    <w:rsid w:val="00B91E1B"/>
    <w:rsid w:val="00B9356C"/>
    <w:rsid w:val="00B93608"/>
    <w:rsid w:val="00B956E0"/>
    <w:rsid w:val="00B956FA"/>
    <w:rsid w:val="00B97F68"/>
    <w:rsid w:val="00BA0AE4"/>
    <w:rsid w:val="00BA0BCE"/>
    <w:rsid w:val="00BA0CF6"/>
    <w:rsid w:val="00BA2068"/>
    <w:rsid w:val="00BA23A4"/>
    <w:rsid w:val="00BA49F4"/>
    <w:rsid w:val="00BA776E"/>
    <w:rsid w:val="00BB01B2"/>
    <w:rsid w:val="00BB1717"/>
    <w:rsid w:val="00BB24C7"/>
    <w:rsid w:val="00BB335A"/>
    <w:rsid w:val="00BB4329"/>
    <w:rsid w:val="00BB5FB1"/>
    <w:rsid w:val="00BB7BEC"/>
    <w:rsid w:val="00BC1554"/>
    <w:rsid w:val="00BC1941"/>
    <w:rsid w:val="00BC1E01"/>
    <w:rsid w:val="00BC1F52"/>
    <w:rsid w:val="00BC2D16"/>
    <w:rsid w:val="00BC337B"/>
    <w:rsid w:val="00BC592D"/>
    <w:rsid w:val="00BC5D65"/>
    <w:rsid w:val="00BC6B13"/>
    <w:rsid w:val="00BC6BDB"/>
    <w:rsid w:val="00BC7AB2"/>
    <w:rsid w:val="00BD1614"/>
    <w:rsid w:val="00BD3D6E"/>
    <w:rsid w:val="00BD4B7C"/>
    <w:rsid w:val="00BD70FD"/>
    <w:rsid w:val="00BE1263"/>
    <w:rsid w:val="00BE190B"/>
    <w:rsid w:val="00BE3B13"/>
    <w:rsid w:val="00BE54B9"/>
    <w:rsid w:val="00BF170B"/>
    <w:rsid w:val="00BF2F4D"/>
    <w:rsid w:val="00BF3E86"/>
    <w:rsid w:val="00BF5387"/>
    <w:rsid w:val="00BF5590"/>
    <w:rsid w:val="00BF60A7"/>
    <w:rsid w:val="00BF6732"/>
    <w:rsid w:val="00BF7A23"/>
    <w:rsid w:val="00BF94E0"/>
    <w:rsid w:val="00C00630"/>
    <w:rsid w:val="00C00CD5"/>
    <w:rsid w:val="00C014B2"/>
    <w:rsid w:val="00C01B74"/>
    <w:rsid w:val="00C05CB5"/>
    <w:rsid w:val="00C06B90"/>
    <w:rsid w:val="00C06DDA"/>
    <w:rsid w:val="00C070D9"/>
    <w:rsid w:val="00C109FF"/>
    <w:rsid w:val="00C10AC8"/>
    <w:rsid w:val="00C144E7"/>
    <w:rsid w:val="00C1658E"/>
    <w:rsid w:val="00C20BCE"/>
    <w:rsid w:val="00C24106"/>
    <w:rsid w:val="00C2446C"/>
    <w:rsid w:val="00C25264"/>
    <w:rsid w:val="00C252C9"/>
    <w:rsid w:val="00C254B1"/>
    <w:rsid w:val="00C27DD4"/>
    <w:rsid w:val="00C27F30"/>
    <w:rsid w:val="00C30E01"/>
    <w:rsid w:val="00C3139A"/>
    <w:rsid w:val="00C316E2"/>
    <w:rsid w:val="00C33308"/>
    <w:rsid w:val="00C375F0"/>
    <w:rsid w:val="00C41438"/>
    <w:rsid w:val="00C427F8"/>
    <w:rsid w:val="00C4383F"/>
    <w:rsid w:val="00C50809"/>
    <w:rsid w:val="00C509DF"/>
    <w:rsid w:val="00C53423"/>
    <w:rsid w:val="00C53C39"/>
    <w:rsid w:val="00C5472D"/>
    <w:rsid w:val="00C55CC8"/>
    <w:rsid w:val="00C57F98"/>
    <w:rsid w:val="00C601E2"/>
    <w:rsid w:val="00C6034E"/>
    <w:rsid w:val="00C6058F"/>
    <w:rsid w:val="00C65C13"/>
    <w:rsid w:val="00C65F0B"/>
    <w:rsid w:val="00C66FE1"/>
    <w:rsid w:val="00C67A9C"/>
    <w:rsid w:val="00C67D76"/>
    <w:rsid w:val="00C71593"/>
    <w:rsid w:val="00C74C2B"/>
    <w:rsid w:val="00C75963"/>
    <w:rsid w:val="00C75DD9"/>
    <w:rsid w:val="00C765F1"/>
    <w:rsid w:val="00C77173"/>
    <w:rsid w:val="00C813BB"/>
    <w:rsid w:val="00C84347"/>
    <w:rsid w:val="00C84CBE"/>
    <w:rsid w:val="00C902EB"/>
    <w:rsid w:val="00C91FBD"/>
    <w:rsid w:val="00C92337"/>
    <w:rsid w:val="00C95759"/>
    <w:rsid w:val="00C957DF"/>
    <w:rsid w:val="00C959FC"/>
    <w:rsid w:val="00C97122"/>
    <w:rsid w:val="00CA0690"/>
    <w:rsid w:val="00CA35B7"/>
    <w:rsid w:val="00CA7EC0"/>
    <w:rsid w:val="00CA7F4D"/>
    <w:rsid w:val="00CB00B3"/>
    <w:rsid w:val="00CB0A96"/>
    <w:rsid w:val="00CB0AB8"/>
    <w:rsid w:val="00CB2B16"/>
    <w:rsid w:val="00CB34D4"/>
    <w:rsid w:val="00CB4444"/>
    <w:rsid w:val="00CB5206"/>
    <w:rsid w:val="00CB5F18"/>
    <w:rsid w:val="00CB6D83"/>
    <w:rsid w:val="00CB766F"/>
    <w:rsid w:val="00CC1703"/>
    <w:rsid w:val="00CC18FC"/>
    <w:rsid w:val="00CC1931"/>
    <w:rsid w:val="00CC1AAA"/>
    <w:rsid w:val="00CC25B1"/>
    <w:rsid w:val="00CC4AE5"/>
    <w:rsid w:val="00CC5439"/>
    <w:rsid w:val="00CC6A96"/>
    <w:rsid w:val="00CC6D92"/>
    <w:rsid w:val="00CC78A6"/>
    <w:rsid w:val="00CD0710"/>
    <w:rsid w:val="00CD68B0"/>
    <w:rsid w:val="00CE0510"/>
    <w:rsid w:val="00CE0DE1"/>
    <w:rsid w:val="00CE1E6D"/>
    <w:rsid w:val="00CE23AC"/>
    <w:rsid w:val="00CE27D9"/>
    <w:rsid w:val="00CE355A"/>
    <w:rsid w:val="00CE398E"/>
    <w:rsid w:val="00CE4C29"/>
    <w:rsid w:val="00CE674A"/>
    <w:rsid w:val="00CE6D5A"/>
    <w:rsid w:val="00CE71AB"/>
    <w:rsid w:val="00CF0717"/>
    <w:rsid w:val="00CF10E0"/>
    <w:rsid w:val="00CF1951"/>
    <w:rsid w:val="00CF5D55"/>
    <w:rsid w:val="00CF612A"/>
    <w:rsid w:val="00D00383"/>
    <w:rsid w:val="00D00E08"/>
    <w:rsid w:val="00D0105B"/>
    <w:rsid w:val="00D02B4D"/>
    <w:rsid w:val="00D03C2A"/>
    <w:rsid w:val="00D06060"/>
    <w:rsid w:val="00D10778"/>
    <w:rsid w:val="00D11BF4"/>
    <w:rsid w:val="00D11C69"/>
    <w:rsid w:val="00D12E05"/>
    <w:rsid w:val="00D13B68"/>
    <w:rsid w:val="00D14059"/>
    <w:rsid w:val="00D141CD"/>
    <w:rsid w:val="00D15837"/>
    <w:rsid w:val="00D16476"/>
    <w:rsid w:val="00D1706F"/>
    <w:rsid w:val="00D2281B"/>
    <w:rsid w:val="00D23ADE"/>
    <w:rsid w:val="00D243D9"/>
    <w:rsid w:val="00D26047"/>
    <w:rsid w:val="00D3155A"/>
    <w:rsid w:val="00D34C7D"/>
    <w:rsid w:val="00D34CE8"/>
    <w:rsid w:val="00D3559F"/>
    <w:rsid w:val="00D36037"/>
    <w:rsid w:val="00D36502"/>
    <w:rsid w:val="00D36E35"/>
    <w:rsid w:val="00D37290"/>
    <w:rsid w:val="00D3756B"/>
    <w:rsid w:val="00D40496"/>
    <w:rsid w:val="00D436D6"/>
    <w:rsid w:val="00D437AE"/>
    <w:rsid w:val="00D445D3"/>
    <w:rsid w:val="00D45B17"/>
    <w:rsid w:val="00D47483"/>
    <w:rsid w:val="00D47558"/>
    <w:rsid w:val="00D505C7"/>
    <w:rsid w:val="00D50771"/>
    <w:rsid w:val="00D51EB0"/>
    <w:rsid w:val="00D5251A"/>
    <w:rsid w:val="00D5307B"/>
    <w:rsid w:val="00D540BA"/>
    <w:rsid w:val="00D56DB0"/>
    <w:rsid w:val="00D6170E"/>
    <w:rsid w:val="00D62831"/>
    <w:rsid w:val="00D6354D"/>
    <w:rsid w:val="00D64D27"/>
    <w:rsid w:val="00D65435"/>
    <w:rsid w:val="00D67DAB"/>
    <w:rsid w:val="00D71C57"/>
    <w:rsid w:val="00D72549"/>
    <w:rsid w:val="00D72717"/>
    <w:rsid w:val="00D73F6C"/>
    <w:rsid w:val="00D759C6"/>
    <w:rsid w:val="00D75F65"/>
    <w:rsid w:val="00D76EA7"/>
    <w:rsid w:val="00D77D1C"/>
    <w:rsid w:val="00D8255A"/>
    <w:rsid w:val="00D85F0B"/>
    <w:rsid w:val="00D86C0A"/>
    <w:rsid w:val="00D91AB0"/>
    <w:rsid w:val="00D91BE2"/>
    <w:rsid w:val="00D93D4B"/>
    <w:rsid w:val="00D945D0"/>
    <w:rsid w:val="00D9544F"/>
    <w:rsid w:val="00D96309"/>
    <w:rsid w:val="00D97531"/>
    <w:rsid w:val="00DA2550"/>
    <w:rsid w:val="00DA3328"/>
    <w:rsid w:val="00DA4B37"/>
    <w:rsid w:val="00DA5F08"/>
    <w:rsid w:val="00DB1763"/>
    <w:rsid w:val="00DB38C7"/>
    <w:rsid w:val="00DB3D5E"/>
    <w:rsid w:val="00DB538C"/>
    <w:rsid w:val="00DB61DD"/>
    <w:rsid w:val="00DB6356"/>
    <w:rsid w:val="00DB6B45"/>
    <w:rsid w:val="00DB6EAC"/>
    <w:rsid w:val="00DB71F9"/>
    <w:rsid w:val="00DB7699"/>
    <w:rsid w:val="00DC25DC"/>
    <w:rsid w:val="00DC2997"/>
    <w:rsid w:val="00DC3E35"/>
    <w:rsid w:val="00DC4FA8"/>
    <w:rsid w:val="00DC58F2"/>
    <w:rsid w:val="00DC7076"/>
    <w:rsid w:val="00DC76EF"/>
    <w:rsid w:val="00DD1D1D"/>
    <w:rsid w:val="00DD38C3"/>
    <w:rsid w:val="00DD50AD"/>
    <w:rsid w:val="00DD59E9"/>
    <w:rsid w:val="00DD6BCB"/>
    <w:rsid w:val="00DD7045"/>
    <w:rsid w:val="00DE05D1"/>
    <w:rsid w:val="00DE0942"/>
    <w:rsid w:val="00DE14D6"/>
    <w:rsid w:val="00DE2C3B"/>
    <w:rsid w:val="00DE3792"/>
    <w:rsid w:val="00DE70D1"/>
    <w:rsid w:val="00DE71C6"/>
    <w:rsid w:val="00DF0729"/>
    <w:rsid w:val="00DF0EC4"/>
    <w:rsid w:val="00DF12F2"/>
    <w:rsid w:val="00DF254C"/>
    <w:rsid w:val="00DF3F9F"/>
    <w:rsid w:val="00DF5E00"/>
    <w:rsid w:val="00DF70BE"/>
    <w:rsid w:val="00E00B25"/>
    <w:rsid w:val="00E01591"/>
    <w:rsid w:val="00E01968"/>
    <w:rsid w:val="00E02461"/>
    <w:rsid w:val="00E026A6"/>
    <w:rsid w:val="00E02752"/>
    <w:rsid w:val="00E038B0"/>
    <w:rsid w:val="00E03FC4"/>
    <w:rsid w:val="00E042E9"/>
    <w:rsid w:val="00E0703E"/>
    <w:rsid w:val="00E07DFB"/>
    <w:rsid w:val="00E10BE0"/>
    <w:rsid w:val="00E10D9D"/>
    <w:rsid w:val="00E125D8"/>
    <w:rsid w:val="00E1357A"/>
    <w:rsid w:val="00E14C6B"/>
    <w:rsid w:val="00E15A31"/>
    <w:rsid w:val="00E16483"/>
    <w:rsid w:val="00E20C30"/>
    <w:rsid w:val="00E227ED"/>
    <w:rsid w:val="00E259D3"/>
    <w:rsid w:val="00E27DD0"/>
    <w:rsid w:val="00E3329E"/>
    <w:rsid w:val="00E34227"/>
    <w:rsid w:val="00E34AD7"/>
    <w:rsid w:val="00E405C3"/>
    <w:rsid w:val="00E41303"/>
    <w:rsid w:val="00E43F02"/>
    <w:rsid w:val="00E479D9"/>
    <w:rsid w:val="00E47D53"/>
    <w:rsid w:val="00E501FE"/>
    <w:rsid w:val="00E5169E"/>
    <w:rsid w:val="00E516C8"/>
    <w:rsid w:val="00E521D8"/>
    <w:rsid w:val="00E530A5"/>
    <w:rsid w:val="00E535C8"/>
    <w:rsid w:val="00E5370F"/>
    <w:rsid w:val="00E53BF6"/>
    <w:rsid w:val="00E57382"/>
    <w:rsid w:val="00E578D6"/>
    <w:rsid w:val="00E60BD5"/>
    <w:rsid w:val="00E62835"/>
    <w:rsid w:val="00E6439E"/>
    <w:rsid w:val="00E64C6E"/>
    <w:rsid w:val="00E67077"/>
    <w:rsid w:val="00E67173"/>
    <w:rsid w:val="00E67318"/>
    <w:rsid w:val="00E70706"/>
    <w:rsid w:val="00E70E75"/>
    <w:rsid w:val="00E72CF0"/>
    <w:rsid w:val="00E74C3B"/>
    <w:rsid w:val="00E766EE"/>
    <w:rsid w:val="00E775CD"/>
    <w:rsid w:val="00E77B61"/>
    <w:rsid w:val="00E77C72"/>
    <w:rsid w:val="00E83AAC"/>
    <w:rsid w:val="00E84D33"/>
    <w:rsid w:val="00E8660A"/>
    <w:rsid w:val="00E872E0"/>
    <w:rsid w:val="00E91EAF"/>
    <w:rsid w:val="00E9239B"/>
    <w:rsid w:val="00E93C0D"/>
    <w:rsid w:val="00E95E04"/>
    <w:rsid w:val="00E9704A"/>
    <w:rsid w:val="00E97AC8"/>
    <w:rsid w:val="00EA1DDE"/>
    <w:rsid w:val="00EA2355"/>
    <w:rsid w:val="00EA2783"/>
    <w:rsid w:val="00EA3758"/>
    <w:rsid w:val="00EA47CE"/>
    <w:rsid w:val="00EA7AD7"/>
    <w:rsid w:val="00EB158B"/>
    <w:rsid w:val="00EB3C67"/>
    <w:rsid w:val="00EB425C"/>
    <w:rsid w:val="00EB498D"/>
    <w:rsid w:val="00EC3305"/>
    <w:rsid w:val="00EC46D1"/>
    <w:rsid w:val="00EC4748"/>
    <w:rsid w:val="00EC65C8"/>
    <w:rsid w:val="00EC7E89"/>
    <w:rsid w:val="00ED0666"/>
    <w:rsid w:val="00ED2A94"/>
    <w:rsid w:val="00ED325B"/>
    <w:rsid w:val="00ED3A65"/>
    <w:rsid w:val="00ED3AA9"/>
    <w:rsid w:val="00ED5C03"/>
    <w:rsid w:val="00ED6765"/>
    <w:rsid w:val="00EE1F00"/>
    <w:rsid w:val="00EE3664"/>
    <w:rsid w:val="00EE472D"/>
    <w:rsid w:val="00EE6D58"/>
    <w:rsid w:val="00EF111E"/>
    <w:rsid w:val="00EF194D"/>
    <w:rsid w:val="00EF2810"/>
    <w:rsid w:val="00EF3FF3"/>
    <w:rsid w:val="00EF4568"/>
    <w:rsid w:val="00EF4708"/>
    <w:rsid w:val="00EF68E5"/>
    <w:rsid w:val="00EF6EE5"/>
    <w:rsid w:val="00EF7BF3"/>
    <w:rsid w:val="00F04F72"/>
    <w:rsid w:val="00F05C88"/>
    <w:rsid w:val="00F0659C"/>
    <w:rsid w:val="00F068BA"/>
    <w:rsid w:val="00F06E5D"/>
    <w:rsid w:val="00F073AD"/>
    <w:rsid w:val="00F07886"/>
    <w:rsid w:val="00F11D05"/>
    <w:rsid w:val="00F12122"/>
    <w:rsid w:val="00F13C3F"/>
    <w:rsid w:val="00F16242"/>
    <w:rsid w:val="00F1699A"/>
    <w:rsid w:val="00F2044C"/>
    <w:rsid w:val="00F23DBB"/>
    <w:rsid w:val="00F24187"/>
    <w:rsid w:val="00F31F50"/>
    <w:rsid w:val="00F32709"/>
    <w:rsid w:val="00F344C6"/>
    <w:rsid w:val="00F3478F"/>
    <w:rsid w:val="00F35741"/>
    <w:rsid w:val="00F37E56"/>
    <w:rsid w:val="00F4049C"/>
    <w:rsid w:val="00F40825"/>
    <w:rsid w:val="00F4175A"/>
    <w:rsid w:val="00F44438"/>
    <w:rsid w:val="00F44700"/>
    <w:rsid w:val="00F44AA3"/>
    <w:rsid w:val="00F44D13"/>
    <w:rsid w:val="00F46CE3"/>
    <w:rsid w:val="00F50495"/>
    <w:rsid w:val="00F54392"/>
    <w:rsid w:val="00F5638C"/>
    <w:rsid w:val="00F56A6C"/>
    <w:rsid w:val="00F56ED9"/>
    <w:rsid w:val="00F57668"/>
    <w:rsid w:val="00F609F3"/>
    <w:rsid w:val="00F60B23"/>
    <w:rsid w:val="00F60FD2"/>
    <w:rsid w:val="00F61CF8"/>
    <w:rsid w:val="00F62FC2"/>
    <w:rsid w:val="00F63743"/>
    <w:rsid w:val="00F63807"/>
    <w:rsid w:val="00F6384E"/>
    <w:rsid w:val="00F651D6"/>
    <w:rsid w:val="00F660F8"/>
    <w:rsid w:val="00F666E0"/>
    <w:rsid w:val="00F66E0F"/>
    <w:rsid w:val="00F70C49"/>
    <w:rsid w:val="00F71E55"/>
    <w:rsid w:val="00F742ED"/>
    <w:rsid w:val="00F74DA3"/>
    <w:rsid w:val="00F7510C"/>
    <w:rsid w:val="00F75B33"/>
    <w:rsid w:val="00F77038"/>
    <w:rsid w:val="00F77B32"/>
    <w:rsid w:val="00F80197"/>
    <w:rsid w:val="00F80490"/>
    <w:rsid w:val="00F80A59"/>
    <w:rsid w:val="00F8164A"/>
    <w:rsid w:val="00F82E45"/>
    <w:rsid w:val="00F8323A"/>
    <w:rsid w:val="00F83716"/>
    <w:rsid w:val="00F85378"/>
    <w:rsid w:val="00F855CC"/>
    <w:rsid w:val="00F94577"/>
    <w:rsid w:val="00F95E70"/>
    <w:rsid w:val="00F96B0C"/>
    <w:rsid w:val="00FA0099"/>
    <w:rsid w:val="00FA1435"/>
    <w:rsid w:val="00FA22C8"/>
    <w:rsid w:val="00FA2338"/>
    <w:rsid w:val="00FA24BE"/>
    <w:rsid w:val="00FA261A"/>
    <w:rsid w:val="00FA2EF7"/>
    <w:rsid w:val="00FA3AF6"/>
    <w:rsid w:val="00FA55B3"/>
    <w:rsid w:val="00FA6A72"/>
    <w:rsid w:val="00FA6F1D"/>
    <w:rsid w:val="00FA7681"/>
    <w:rsid w:val="00FB1CE5"/>
    <w:rsid w:val="00FB62B2"/>
    <w:rsid w:val="00FB735A"/>
    <w:rsid w:val="00FB7924"/>
    <w:rsid w:val="00FC09FF"/>
    <w:rsid w:val="00FC0DB7"/>
    <w:rsid w:val="00FC186F"/>
    <w:rsid w:val="00FC29C7"/>
    <w:rsid w:val="00FC47DB"/>
    <w:rsid w:val="00FC5184"/>
    <w:rsid w:val="00FC6184"/>
    <w:rsid w:val="00FC6784"/>
    <w:rsid w:val="00FC76D4"/>
    <w:rsid w:val="00FC7790"/>
    <w:rsid w:val="00FD18F5"/>
    <w:rsid w:val="00FD2363"/>
    <w:rsid w:val="00FD4661"/>
    <w:rsid w:val="00FD6D5B"/>
    <w:rsid w:val="00FD7163"/>
    <w:rsid w:val="00FD75B7"/>
    <w:rsid w:val="00FE0FB5"/>
    <w:rsid w:val="00FE255C"/>
    <w:rsid w:val="00FE2DFC"/>
    <w:rsid w:val="00FE38D1"/>
    <w:rsid w:val="00FE46EF"/>
    <w:rsid w:val="00FE4AF9"/>
    <w:rsid w:val="00FE5E80"/>
    <w:rsid w:val="00FE7CC9"/>
    <w:rsid w:val="00FE7FE7"/>
    <w:rsid w:val="00FF0AE0"/>
    <w:rsid w:val="00FF1E44"/>
    <w:rsid w:val="00FF4199"/>
    <w:rsid w:val="00FF505C"/>
    <w:rsid w:val="01091E5B"/>
    <w:rsid w:val="01C2CC42"/>
    <w:rsid w:val="02B30265"/>
    <w:rsid w:val="02E2F53F"/>
    <w:rsid w:val="03E03045"/>
    <w:rsid w:val="03FA6009"/>
    <w:rsid w:val="050A1444"/>
    <w:rsid w:val="058855F6"/>
    <w:rsid w:val="05D5079A"/>
    <w:rsid w:val="06F3891B"/>
    <w:rsid w:val="06F9826A"/>
    <w:rsid w:val="07831C27"/>
    <w:rsid w:val="078A64FF"/>
    <w:rsid w:val="07AEDE7E"/>
    <w:rsid w:val="07DBDC00"/>
    <w:rsid w:val="0835D704"/>
    <w:rsid w:val="08FCBEB9"/>
    <w:rsid w:val="0B57A968"/>
    <w:rsid w:val="0B9C6D86"/>
    <w:rsid w:val="0C2E1619"/>
    <w:rsid w:val="0C683420"/>
    <w:rsid w:val="0D14C182"/>
    <w:rsid w:val="0D31804C"/>
    <w:rsid w:val="0D4E3F16"/>
    <w:rsid w:val="0DBDB5B4"/>
    <w:rsid w:val="0DC000B6"/>
    <w:rsid w:val="0DE8060A"/>
    <w:rsid w:val="0DEFF390"/>
    <w:rsid w:val="0F99D79A"/>
    <w:rsid w:val="1023C578"/>
    <w:rsid w:val="10CD01D6"/>
    <w:rsid w:val="114388D3"/>
    <w:rsid w:val="11A0792F"/>
    <w:rsid w:val="11D06C09"/>
    <w:rsid w:val="11E53D4D"/>
    <w:rsid w:val="11FD698B"/>
    <w:rsid w:val="127C97CA"/>
    <w:rsid w:val="129F1E05"/>
    <w:rsid w:val="151C4697"/>
    <w:rsid w:val="1595F5BD"/>
    <w:rsid w:val="160F7212"/>
    <w:rsid w:val="163C6F94"/>
    <w:rsid w:val="167522BD"/>
    <w:rsid w:val="16EEA023"/>
    <w:rsid w:val="170E16E8"/>
    <w:rsid w:val="171CEEE5"/>
    <w:rsid w:val="185BEFC0"/>
    <w:rsid w:val="18ECB329"/>
    <w:rsid w:val="198E67A3"/>
    <w:rsid w:val="1AD461BF"/>
    <w:rsid w:val="1B1B8CE3"/>
    <w:rsid w:val="1B305E27"/>
    <w:rsid w:val="1C18FCD4"/>
    <w:rsid w:val="1C508724"/>
    <w:rsid w:val="1CC97DF0"/>
    <w:rsid w:val="1CEDA912"/>
    <w:rsid w:val="1D3B6189"/>
    <w:rsid w:val="1D3EED42"/>
    <w:rsid w:val="1DE8B716"/>
    <w:rsid w:val="1E2A2B37"/>
    <w:rsid w:val="1E2A5E08"/>
    <w:rsid w:val="1E5A50E2"/>
    <w:rsid w:val="1F2D956A"/>
    <w:rsid w:val="2004021B"/>
    <w:rsid w:val="20C2A830"/>
    <w:rsid w:val="20E7EAFD"/>
    <w:rsid w:val="20ECB05A"/>
    <w:rsid w:val="20FFB199"/>
    <w:rsid w:val="215B4A80"/>
    <w:rsid w:val="21D272C5"/>
    <w:rsid w:val="23B4ED5C"/>
    <w:rsid w:val="2411AAE7"/>
    <w:rsid w:val="242E69B1"/>
    <w:rsid w:val="24FCE8DC"/>
    <w:rsid w:val="27AA3719"/>
    <w:rsid w:val="27EEFB37"/>
    <w:rsid w:val="28021024"/>
    <w:rsid w:val="283BDFAC"/>
    <w:rsid w:val="2998DF41"/>
    <w:rsid w:val="2A28DA57"/>
    <w:rsid w:val="2A9F3ECC"/>
    <w:rsid w:val="2B87ED0B"/>
    <w:rsid w:val="2BA2A8FF"/>
    <w:rsid w:val="2BB7D886"/>
    <w:rsid w:val="2D798A8B"/>
    <w:rsid w:val="2F192DDA"/>
    <w:rsid w:val="2F233BC4"/>
    <w:rsid w:val="2F98258D"/>
    <w:rsid w:val="30839653"/>
    <w:rsid w:val="316ED448"/>
    <w:rsid w:val="31B61D48"/>
    <w:rsid w:val="3210BB93"/>
    <w:rsid w:val="32EBEDA1"/>
    <w:rsid w:val="3303E70E"/>
    <w:rsid w:val="3528C3C0"/>
    <w:rsid w:val="364AFC3F"/>
    <w:rsid w:val="36D71D4F"/>
    <w:rsid w:val="36F66E44"/>
    <w:rsid w:val="374B9459"/>
    <w:rsid w:val="3814946B"/>
    <w:rsid w:val="3824D323"/>
    <w:rsid w:val="38549C4E"/>
    <w:rsid w:val="391ADE91"/>
    <w:rsid w:val="39471D03"/>
    <w:rsid w:val="394CB6D5"/>
    <w:rsid w:val="39EF45DF"/>
    <w:rsid w:val="3A47EA86"/>
    <w:rsid w:val="3A602CEF"/>
    <w:rsid w:val="3B06A6C6"/>
    <w:rsid w:val="3BB2D287"/>
    <w:rsid w:val="3BC25783"/>
    <w:rsid w:val="3C3EC930"/>
    <w:rsid w:val="3CB08AD0"/>
    <w:rsid w:val="3CBFAC00"/>
    <w:rsid w:val="3D2F8417"/>
    <w:rsid w:val="3DE3E7DD"/>
    <w:rsid w:val="3E151344"/>
    <w:rsid w:val="3E3DB010"/>
    <w:rsid w:val="3EE429E7"/>
    <w:rsid w:val="3FD2C2D6"/>
    <w:rsid w:val="40D8860B"/>
    <w:rsid w:val="417C413E"/>
    <w:rsid w:val="41DDF6F7"/>
    <w:rsid w:val="423AE753"/>
    <w:rsid w:val="429A89CD"/>
    <w:rsid w:val="438315A4"/>
    <w:rsid w:val="449447BC"/>
    <w:rsid w:val="46039930"/>
    <w:rsid w:val="463E324A"/>
    <w:rsid w:val="465D9434"/>
    <w:rsid w:val="47070363"/>
    <w:rsid w:val="484EFEE3"/>
    <w:rsid w:val="4902AD57"/>
    <w:rsid w:val="4947DC48"/>
    <w:rsid w:val="4A62B426"/>
    <w:rsid w:val="4B593D7C"/>
    <w:rsid w:val="4BFAF1F6"/>
    <w:rsid w:val="4C75A05C"/>
    <w:rsid w:val="4C7933A8"/>
    <w:rsid w:val="4CEAF548"/>
    <w:rsid w:val="4DB6D52B"/>
    <w:rsid w:val="4E80080E"/>
    <w:rsid w:val="4EF4BF06"/>
    <w:rsid w:val="4F837241"/>
    <w:rsid w:val="51B71158"/>
    <w:rsid w:val="527551CB"/>
    <w:rsid w:val="5275849C"/>
    <w:rsid w:val="548C3218"/>
    <w:rsid w:val="54941F9E"/>
    <w:rsid w:val="54C0EA4F"/>
    <w:rsid w:val="55E4E058"/>
    <w:rsid w:val="56497D03"/>
    <w:rsid w:val="5655FD15"/>
    <w:rsid w:val="56AAFFEB"/>
    <w:rsid w:val="56C7BEB5"/>
    <w:rsid w:val="56FC76EC"/>
    <w:rsid w:val="57147059"/>
    <w:rsid w:val="576E388C"/>
    <w:rsid w:val="5844A53D"/>
    <w:rsid w:val="5889695B"/>
    <w:rsid w:val="591A5E35"/>
    <w:rsid w:val="5A30BFF6"/>
    <w:rsid w:val="5B66AA72"/>
    <w:rsid w:val="5C355C6E"/>
    <w:rsid w:val="5D1AABC4"/>
    <w:rsid w:val="5D6D7ED8"/>
    <w:rsid w:val="5D804E3A"/>
    <w:rsid w:val="5D8A3DA2"/>
    <w:rsid w:val="5EC5EBE1"/>
    <w:rsid w:val="603293B1"/>
    <w:rsid w:val="606231ED"/>
    <w:rsid w:val="6106B4B3"/>
    <w:rsid w:val="6145E78E"/>
    <w:rsid w:val="6197B39D"/>
    <w:rsid w:val="61C47E4E"/>
    <w:rsid w:val="61DC44EA"/>
    <w:rsid w:val="62363FEE"/>
    <w:rsid w:val="6282F192"/>
    <w:rsid w:val="62DFE1EE"/>
    <w:rsid w:val="641DF39E"/>
    <w:rsid w:val="6489C5F8"/>
    <w:rsid w:val="65300CFE"/>
    <w:rsid w:val="6571678B"/>
    <w:rsid w:val="65D1C178"/>
    <w:rsid w:val="6633C082"/>
    <w:rsid w:val="66D55E7C"/>
    <w:rsid w:val="66E56A63"/>
    <w:rsid w:val="6790DC68"/>
    <w:rsid w:val="687F0FB5"/>
    <w:rsid w:val="68DC0011"/>
    <w:rsid w:val="68F5BA48"/>
    <w:rsid w:val="6915753D"/>
    <w:rsid w:val="69FC290E"/>
    <w:rsid w:val="6A17154E"/>
    <w:rsid w:val="6A47DC1E"/>
    <w:rsid w:val="6AC01B6B"/>
    <w:rsid w:val="6BEAD136"/>
    <w:rsid w:val="6BFD469B"/>
    <w:rsid w:val="6C6FC6E6"/>
    <w:rsid w:val="6C77819B"/>
    <w:rsid w:val="6D0634D6"/>
    <w:rsid w:val="6D17AEC1"/>
    <w:rsid w:val="6DC683E1"/>
    <w:rsid w:val="6E4E6327"/>
    <w:rsid w:val="6E7E5601"/>
    <w:rsid w:val="6E932745"/>
    <w:rsid w:val="6EC024C7"/>
    <w:rsid w:val="6F4D07FD"/>
    <w:rsid w:val="6F69C6C7"/>
    <w:rsid w:val="723F1A58"/>
    <w:rsid w:val="7243DFB5"/>
    <w:rsid w:val="72756328"/>
    <w:rsid w:val="735F1084"/>
    <w:rsid w:val="73BC00E0"/>
    <w:rsid w:val="741DB699"/>
    <w:rsid w:val="74562781"/>
    <w:rsid w:val="751E2B74"/>
    <w:rsid w:val="759A9D21"/>
    <w:rsid w:val="76EC6C57"/>
    <w:rsid w:val="773FBBCE"/>
    <w:rsid w:val="77A17187"/>
    <w:rsid w:val="77B642CB"/>
    <w:rsid w:val="77E602D4"/>
    <w:rsid w:val="780FE4BB"/>
    <w:rsid w:val="78130056"/>
    <w:rsid w:val="788CAF7C"/>
    <w:rsid w:val="799B930A"/>
    <w:rsid w:val="79A8131C"/>
    <w:rsid w:val="79ECD73A"/>
    <w:rsid w:val="79FD15F2"/>
    <w:rsid w:val="7AB3CE81"/>
    <w:rsid w:val="7ABB8936"/>
    <w:rsid w:val="7B57763F"/>
    <w:rsid w:val="7B96BB44"/>
    <w:rsid w:val="7BC6AE1E"/>
    <w:rsid w:val="7C09B557"/>
    <w:rsid w:val="7CEF284D"/>
    <w:rsid w:val="7E3F3D30"/>
    <w:rsid w:val="7E896103"/>
    <w:rsid w:val="7EB8C079"/>
    <w:rsid w:val="7FBC2A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6873D"/>
  <w15:docId w15:val="{39B66FE2-1229-4C13-88F6-1F1C762E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before="240" w:after="240" w:line="276" w:lineRule="auto"/>
        <w:ind w:left="709" w:hanging="709"/>
        <w:jc w:val="both"/>
      </w:pPr>
    </w:pPrDefault>
  </w:docDefaults>
  <w:latentStyles w:defLockedState="0" w:defUIPriority="99" w:defSemiHidden="0" w:defUnhideWhenUsed="0" w:defQFormat="0" w:count="376">
    <w:lsdException w:name="Normal" w:uiPriority="0"/>
    <w:lsdException w:name="heading 1" w:uiPriority="12" w:qFormat="1"/>
    <w:lsdException w:name="heading 2" w:semiHidden="1" w:uiPriority="12" w:unhideWhenUsed="1" w:qFormat="1"/>
    <w:lsdException w:name="heading 3" w:semiHidden="1" w:uiPriority="12" w:unhideWhenUsed="1" w:qFormat="1"/>
    <w:lsdException w:name="heading 4" w:semiHidden="1" w:uiPriority="12" w:unhideWhenUsed="1" w:qFormat="1"/>
    <w:lsdException w:name="heading 5" w:semiHidden="1" w:uiPriority="12" w:unhideWhenUsed="1"/>
    <w:lsdException w:name="heading 6" w:semiHidden="1" w:uiPriority="12" w:unhideWhenUsed="1"/>
    <w:lsdException w:name="heading 7" w:semiHidden="1" w:uiPriority="12" w:unhideWhenUsed="1"/>
    <w:lsdException w:name="heading 8" w:semiHidden="1" w:uiPriority="12" w:unhideWhenUsed="1"/>
    <w:lsdException w:name="heading 9" w:semiHidden="1"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6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iPriority="60" w:unhideWhenUsed="1" w:qFormat="1"/>
    <w:lsdException w:name="Body Text First Indent 2" w:semiHidden="1" w:uiPriority="61" w:unhideWhenUsed="1" w:qFormat="1"/>
    <w:lsdException w:name="Note Heading" w:semiHidden="1" w:unhideWhenUsed="1"/>
    <w:lsdException w:name="Body Text 2" w:semiHidden="1" w:uiPriority="63" w:unhideWhenUsed="1" w:qFormat="1"/>
    <w:lsdException w:name="Body Text 3" w:semiHidden="1" w:uiPriority="63" w:unhideWhenUsed="1" w:qFormat="1"/>
    <w:lsdException w:name="Body Text Indent 2" w:semiHidden="1" w:uiPriority="62" w:unhideWhenUsed="1" w:qFormat="1"/>
    <w:lsdException w:name="Body Text Indent 3" w:semiHidden="1" w:uiPriority="62"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0EC0"/>
    <w:rPr>
      <w:color w:val="000000" w:themeColor="text1"/>
      <w:sz w:val="24"/>
      <w:lang w:val="fr-CA"/>
    </w:rPr>
  </w:style>
  <w:style w:type="paragraph" w:styleId="Titre1">
    <w:name w:val="heading 1"/>
    <w:basedOn w:val="z-baseHeading"/>
    <w:next w:val="Headingext1"/>
    <w:link w:val="Titre1Car"/>
    <w:uiPriority w:val="12"/>
    <w:qFormat/>
    <w:pPr>
      <w:keepNext/>
      <w:numPr>
        <w:numId w:val="2"/>
      </w:numPr>
      <w:tabs>
        <w:tab w:val="left" w:pos="0"/>
      </w:tabs>
      <w:jc w:val="left"/>
      <w:outlineLvl w:val="0"/>
    </w:pPr>
    <w:rPr>
      <w:rFonts w:asciiTheme="majorHAnsi" w:hAnsiTheme="majorHAnsi" w:cstheme="majorHAnsi"/>
      <w:b/>
      <w:color w:val="000000" w:themeColor="accent1" w:themeShade="BF"/>
    </w:rPr>
  </w:style>
  <w:style w:type="paragraph" w:styleId="Titre2">
    <w:name w:val="heading 2"/>
    <w:basedOn w:val="z-baseHeading"/>
    <w:next w:val="Headingext2"/>
    <w:link w:val="Titre2Car"/>
    <w:uiPriority w:val="12"/>
    <w:unhideWhenUsed/>
    <w:qFormat/>
    <w:pPr>
      <w:keepNext/>
      <w:numPr>
        <w:ilvl w:val="1"/>
        <w:numId w:val="2"/>
      </w:numPr>
      <w:tabs>
        <w:tab w:val="left" w:pos="0"/>
      </w:tabs>
      <w:jc w:val="left"/>
      <w:outlineLvl w:val="1"/>
    </w:pPr>
    <w:rPr>
      <w:rFonts w:asciiTheme="majorHAnsi" w:hAnsiTheme="majorHAnsi" w:cstheme="majorHAnsi"/>
      <w:b/>
      <w:i/>
      <w:color w:val="000000" w:themeColor="accent1"/>
    </w:rPr>
  </w:style>
  <w:style w:type="paragraph" w:styleId="Titre3">
    <w:name w:val="heading 3"/>
    <w:basedOn w:val="z-baseHeading"/>
    <w:next w:val="Headingext3"/>
    <w:link w:val="Titre3Car"/>
    <w:uiPriority w:val="12"/>
    <w:semiHidden/>
    <w:unhideWhenUsed/>
    <w:qFormat/>
    <w:pPr>
      <w:keepNext/>
      <w:numPr>
        <w:ilvl w:val="2"/>
        <w:numId w:val="2"/>
      </w:numPr>
      <w:tabs>
        <w:tab w:val="left" w:pos="0"/>
      </w:tabs>
      <w:jc w:val="left"/>
      <w:outlineLvl w:val="2"/>
    </w:pPr>
    <w:rPr>
      <w:rFonts w:asciiTheme="majorHAnsi" w:hAnsiTheme="majorHAnsi" w:cstheme="majorHAnsi"/>
      <w:i/>
      <w:color w:val="000000" w:themeColor="accent1"/>
    </w:rPr>
  </w:style>
  <w:style w:type="paragraph" w:styleId="Titre4">
    <w:name w:val="heading 4"/>
    <w:basedOn w:val="z-baseHeading"/>
    <w:next w:val="Headingext4"/>
    <w:link w:val="Titre4Car"/>
    <w:uiPriority w:val="12"/>
    <w:semiHidden/>
    <w:unhideWhenUsed/>
    <w:qFormat/>
    <w:pPr>
      <w:keepNext/>
      <w:numPr>
        <w:ilvl w:val="3"/>
        <w:numId w:val="2"/>
      </w:numPr>
      <w:tabs>
        <w:tab w:val="left" w:pos="0"/>
      </w:tabs>
      <w:jc w:val="left"/>
      <w:outlineLvl w:val="3"/>
    </w:pPr>
    <w:rPr>
      <w:rFonts w:asciiTheme="majorHAnsi" w:hAnsiTheme="majorHAnsi" w:cstheme="majorHAnsi"/>
      <w:b/>
      <w:color w:val="000000" w:themeColor="accent1"/>
      <w:u w:val="single"/>
    </w:rPr>
  </w:style>
  <w:style w:type="paragraph" w:styleId="Titre5">
    <w:name w:val="heading 5"/>
    <w:basedOn w:val="z-baseHeading"/>
    <w:next w:val="Headingext5"/>
    <w:link w:val="Titre5Car"/>
    <w:uiPriority w:val="12"/>
    <w:semiHidden/>
    <w:unhideWhenUsed/>
    <w:pPr>
      <w:keepNext/>
      <w:numPr>
        <w:ilvl w:val="4"/>
        <w:numId w:val="2"/>
      </w:numPr>
      <w:tabs>
        <w:tab w:val="left" w:pos="0"/>
      </w:tabs>
      <w:jc w:val="left"/>
      <w:outlineLvl w:val="4"/>
    </w:pPr>
    <w:rPr>
      <w:rFonts w:asciiTheme="majorHAnsi" w:hAnsiTheme="majorHAnsi" w:cstheme="majorHAnsi"/>
      <w:color w:val="000000" w:themeColor="accent1" w:themeShade="7F"/>
    </w:rPr>
  </w:style>
  <w:style w:type="paragraph" w:styleId="Titre6">
    <w:name w:val="heading 6"/>
    <w:basedOn w:val="z-baseHeading"/>
    <w:next w:val="Headingext6"/>
    <w:link w:val="Titre6Car"/>
    <w:uiPriority w:val="12"/>
    <w:semiHidden/>
    <w:unhideWhenUsed/>
    <w:pPr>
      <w:keepNext/>
      <w:numPr>
        <w:ilvl w:val="5"/>
        <w:numId w:val="2"/>
      </w:numPr>
      <w:tabs>
        <w:tab w:val="left" w:pos="0"/>
      </w:tabs>
      <w:jc w:val="left"/>
      <w:outlineLvl w:val="5"/>
    </w:pPr>
    <w:rPr>
      <w:rFonts w:asciiTheme="majorHAnsi" w:hAnsiTheme="majorHAnsi" w:cstheme="majorHAnsi"/>
      <w:color w:val="000000" w:themeColor="accent1" w:themeShade="7F"/>
    </w:rPr>
  </w:style>
  <w:style w:type="paragraph" w:styleId="Titre7">
    <w:name w:val="heading 7"/>
    <w:basedOn w:val="z-baseHeading"/>
    <w:next w:val="Headingext7"/>
    <w:link w:val="Titre7Car"/>
    <w:uiPriority w:val="12"/>
    <w:semiHidden/>
    <w:unhideWhenUsed/>
    <w:pPr>
      <w:keepNext/>
      <w:numPr>
        <w:ilvl w:val="6"/>
        <w:numId w:val="2"/>
      </w:numPr>
      <w:tabs>
        <w:tab w:val="left" w:pos="0"/>
      </w:tabs>
      <w:jc w:val="left"/>
      <w:outlineLvl w:val="6"/>
    </w:pPr>
    <w:rPr>
      <w:rFonts w:asciiTheme="majorHAnsi" w:hAnsiTheme="majorHAnsi" w:cstheme="majorHAnsi"/>
      <w:color w:val="000000" w:themeColor="accent1" w:themeShade="7F"/>
    </w:rPr>
  </w:style>
  <w:style w:type="paragraph" w:styleId="Titre8">
    <w:name w:val="heading 8"/>
    <w:basedOn w:val="z-baseHeading"/>
    <w:next w:val="Headingext8"/>
    <w:link w:val="Titre8Car"/>
    <w:uiPriority w:val="12"/>
    <w:semiHidden/>
    <w:unhideWhenUsed/>
    <w:pPr>
      <w:keepNext/>
      <w:numPr>
        <w:ilvl w:val="7"/>
        <w:numId w:val="2"/>
      </w:numPr>
      <w:tabs>
        <w:tab w:val="left" w:pos="0"/>
      </w:tabs>
      <w:jc w:val="left"/>
      <w:outlineLvl w:val="7"/>
    </w:pPr>
    <w:rPr>
      <w:rFonts w:asciiTheme="majorHAnsi" w:hAnsiTheme="majorHAnsi" w:cstheme="majorHAnsi"/>
      <w:color w:val="000000" w:themeColor="accent1" w:themeShade="7F"/>
    </w:rPr>
  </w:style>
  <w:style w:type="paragraph" w:styleId="Titre9">
    <w:name w:val="heading 9"/>
    <w:basedOn w:val="z-baseHeading"/>
    <w:next w:val="Headingext9"/>
    <w:link w:val="Titre9Car"/>
    <w:uiPriority w:val="12"/>
    <w:semiHidden/>
    <w:unhideWhenUsed/>
    <w:pPr>
      <w:keepNext/>
      <w:numPr>
        <w:ilvl w:val="8"/>
        <w:numId w:val="2"/>
      </w:numPr>
      <w:tabs>
        <w:tab w:val="left" w:pos="0"/>
      </w:tabs>
      <w:jc w:val="left"/>
      <w:outlineLvl w:val="8"/>
    </w:pPr>
    <w:rPr>
      <w:rFonts w:asciiTheme="majorHAnsi" w:hAnsiTheme="majorHAnsi" w:cstheme="majorHAnsi"/>
      <w:color w:val="00000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kBloc">
    <w:name w:val="Block / Bloc"/>
    <w:basedOn w:val="Normal"/>
    <w:next w:val="Corpsdetexte"/>
    <w:link w:val="BlockBlocChar"/>
    <w:uiPriority w:val="17"/>
    <w:qFormat/>
    <w:pPr>
      <w:keepLines/>
      <w:ind w:left="720" w:right="720"/>
    </w:pPr>
    <w:rPr>
      <w:rFonts w:eastAsia="Times New Roman" w:cs="Times New Roman"/>
    </w:rPr>
  </w:style>
  <w:style w:type="paragraph" w:styleId="Corpsdetexte">
    <w:name w:val="Body Text"/>
    <w:basedOn w:val="Normal"/>
    <w:link w:val="CorpsdetexteCar"/>
    <w:uiPriority w:val="9"/>
    <w:qFormat/>
    <w:rPr>
      <w:rFonts w:eastAsia="Times New Roman" w:cs="Times New Roman"/>
    </w:rPr>
  </w:style>
  <w:style w:type="character" w:customStyle="1" w:styleId="CorpsdetexteCar">
    <w:name w:val="Corps de texte Car"/>
    <w:basedOn w:val="Policepardfaut"/>
    <w:link w:val="Corpsdetexte"/>
    <w:uiPriority w:val="9"/>
    <w:rPr>
      <w:rFonts w:eastAsia="Times New Roman" w:cs="Times New Roman"/>
      <w:color w:val="000000" w:themeColor="text1"/>
      <w:sz w:val="24"/>
    </w:rPr>
  </w:style>
  <w:style w:type="paragraph" w:styleId="Corpsdetexte2">
    <w:name w:val="Body Text 2"/>
    <w:basedOn w:val="Normal"/>
    <w:link w:val="Corpsdetexte2Car"/>
    <w:uiPriority w:val="63"/>
    <w:qFormat/>
    <w:rPr>
      <w:rFonts w:eastAsia="Times New Roman" w:cs="Times New Roman"/>
    </w:rPr>
  </w:style>
  <w:style w:type="character" w:customStyle="1" w:styleId="Corpsdetexte2Car">
    <w:name w:val="Corps de texte 2 Car"/>
    <w:basedOn w:val="Policepardfaut"/>
    <w:link w:val="Corpsdetexte2"/>
    <w:uiPriority w:val="63"/>
    <w:rPr>
      <w:rFonts w:eastAsia="Times New Roman" w:cs="Times New Roman"/>
      <w:color w:val="000000" w:themeColor="text1"/>
      <w:sz w:val="24"/>
    </w:rPr>
  </w:style>
  <w:style w:type="paragraph" w:styleId="Corpsdetexte3">
    <w:name w:val="Body Text 3"/>
    <w:basedOn w:val="Normal"/>
    <w:link w:val="Corpsdetexte3Car"/>
    <w:uiPriority w:val="63"/>
    <w:qFormat/>
    <w:rPr>
      <w:rFonts w:eastAsia="Times New Roman" w:cs="Times New Roman"/>
    </w:rPr>
  </w:style>
  <w:style w:type="character" w:customStyle="1" w:styleId="Corpsdetexte3Car">
    <w:name w:val="Corps de texte 3 Car"/>
    <w:basedOn w:val="Policepardfaut"/>
    <w:link w:val="Corpsdetexte3"/>
    <w:uiPriority w:val="63"/>
    <w:rPr>
      <w:rFonts w:eastAsia="Times New Roman" w:cs="Times New Roman"/>
      <w:color w:val="000000" w:themeColor="text1"/>
      <w:sz w:val="24"/>
    </w:rPr>
  </w:style>
  <w:style w:type="paragraph" w:styleId="Retrait1religne">
    <w:name w:val="Body Text First Indent"/>
    <w:basedOn w:val="Normal"/>
    <w:link w:val="Retrait1religneCar"/>
    <w:uiPriority w:val="60"/>
    <w:qFormat/>
    <w:pPr>
      <w:ind w:firstLine="720"/>
    </w:pPr>
    <w:rPr>
      <w:rFonts w:eastAsia="Times New Roman" w:cs="Times New Roman"/>
    </w:rPr>
  </w:style>
  <w:style w:type="character" w:customStyle="1" w:styleId="Retrait1religneCar">
    <w:name w:val="Retrait 1re ligne Car"/>
    <w:basedOn w:val="CorpsdetexteCar"/>
    <w:link w:val="Retrait1religne"/>
    <w:uiPriority w:val="60"/>
    <w:rPr>
      <w:rFonts w:eastAsia="Times New Roman" w:cs="Times New Roman"/>
      <w:color w:val="000000" w:themeColor="text1"/>
      <w:sz w:val="24"/>
    </w:rPr>
  </w:style>
  <w:style w:type="paragraph" w:styleId="Retraitcorpsdetexte">
    <w:name w:val="Body Text Indent"/>
    <w:basedOn w:val="Normal"/>
    <w:link w:val="RetraitcorpsdetexteCar"/>
    <w:uiPriority w:val="62"/>
    <w:qFormat/>
    <w:pPr>
      <w:ind w:left="720"/>
    </w:pPr>
    <w:rPr>
      <w:rFonts w:eastAsia="Times New Roman" w:cs="Times New Roman"/>
    </w:rPr>
  </w:style>
  <w:style w:type="character" w:customStyle="1" w:styleId="RetraitcorpsdetexteCar">
    <w:name w:val="Retrait corps de texte Car"/>
    <w:basedOn w:val="Policepardfaut"/>
    <w:link w:val="Retraitcorpsdetexte"/>
    <w:uiPriority w:val="62"/>
    <w:rPr>
      <w:rFonts w:eastAsia="Times New Roman" w:cs="Times New Roman"/>
      <w:color w:val="000000" w:themeColor="text1"/>
      <w:sz w:val="24"/>
    </w:rPr>
  </w:style>
  <w:style w:type="paragraph" w:styleId="Retraitcorpset1relig">
    <w:name w:val="Body Text First Indent 2"/>
    <w:basedOn w:val="Normal"/>
    <w:link w:val="Retraitcorpset1religCar"/>
    <w:uiPriority w:val="61"/>
    <w:qFormat/>
    <w:pPr>
      <w:ind w:firstLine="1440"/>
    </w:pPr>
    <w:rPr>
      <w:rFonts w:eastAsia="Times New Roman" w:cs="Times New Roman"/>
    </w:rPr>
  </w:style>
  <w:style w:type="character" w:customStyle="1" w:styleId="Retraitcorpset1religCar">
    <w:name w:val="Retrait corps et 1re lig. Car"/>
    <w:basedOn w:val="RetraitcorpsdetexteCar"/>
    <w:link w:val="Retraitcorpset1relig"/>
    <w:uiPriority w:val="61"/>
    <w:rPr>
      <w:rFonts w:eastAsia="Times New Roman" w:cs="Times New Roman"/>
      <w:color w:val="000000" w:themeColor="text1"/>
      <w:sz w:val="24"/>
    </w:rPr>
  </w:style>
  <w:style w:type="paragraph" w:styleId="Retraitcorpsdetexte2">
    <w:name w:val="Body Text Indent 2"/>
    <w:basedOn w:val="Normal"/>
    <w:link w:val="Retraitcorpsdetexte2Car"/>
    <w:uiPriority w:val="62"/>
    <w:qFormat/>
    <w:pPr>
      <w:ind w:left="1440"/>
    </w:pPr>
    <w:rPr>
      <w:rFonts w:eastAsia="Times New Roman" w:cs="Times New Roman"/>
    </w:rPr>
  </w:style>
  <w:style w:type="character" w:customStyle="1" w:styleId="Retraitcorpsdetexte2Car">
    <w:name w:val="Retrait corps de texte 2 Car"/>
    <w:basedOn w:val="Policepardfaut"/>
    <w:link w:val="Retraitcorpsdetexte2"/>
    <w:uiPriority w:val="62"/>
    <w:rPr>
      <w:rFonts w:eastAsia="Times New Roman" w:cs="Times New Roman"/>
      <w:color w:val="000000" w:themeColor="text1"/>
      <w:sz w:val="24"/>
    </w:rPr>
  </w:style>
  <w:style w:type="paragraph" w:styleId="Retraitcorpsdetexte3">
    <w:name w:val="Body Text Indent 3"/>
    <w:basedOn w:val="Normal"/>
    <w:link w:val="Retraitcorpsdetexte3Car"/>
    <w:uiPriority w:val="62"/>
    <w:qFormat/>
    <w:pPr>
      <w:ind w:left="2160"/>
    </w:pPr>
    <w:rPr>
      <w:rFonts w:eastAsia="Times New Roman" w:cs="Times New Roman"/>
    </w:rPr>
  </w:style>
  <w:style w:type="character" w:customStyle="1" w:styleId="Retraitcorpsdetexte3Car">
    <w:name w:val="Retrait corps de texte 3 Car"/>
    <w:basedOn w:val="Policepardfaut"/>
    <w:link w:val="Retraitcorpsdetexte3"/>
    <w:uiPriority w:val="62"/>
    <w:rPr>
      <w:rFonts w:eastAsia="Times New Roman" w:cs="Times New Roman"/>
      <w:color w:val="000000" w:themeColor="text1"/>
      <w:sz w:val="24"/>
    </w:rPr>
  </w:style>
  <w:style w:type="paragraph" w:styleId="Notedefin">
    <w:name w:val="endnote text"/>
    <w:basedOn w:val="Normal"/>
    <w:next w:val="EndnoteTextExt"/>
    <w:link w:val="NotedefinCar"/>
    <w:uiPriority w:val="99"/>
    <w:semiHidden/>
    <w:pPr>
      <w:spacing w:before="60"/>
      <w:ind w:left="360" w:hanging="360"/>
    </w:pPr>
    <w:rPr>
      <w:rFonts w:eastAsia="Times New Roman" w:cs="Times New Roman"/>
      <w:sz w:val="20"/>
      <w:szCs w:val="20"/>
    </w:rPr>
  </w:style>
  <w:style w:type="character" w:customStyle="1" w:styleId="NotedefinCar">
    <w:name w:val="Note de fin Car"/>
    <w:basedOn w:val="Policepardfaut"/>
    <w:link w:val="Notedefin"/>
    <w:uiPriority w:val="99"/>
    <w:semiHidden/>
    <w:rPr>
      <w:rFonts w:eastAsia="Times New Roman" w:cs="Times New Roman"/>
      <w:color w:val="000000" w:themeColor="text1"/>
      <w:sz w:val="20"/>
      <w:szCs w:val="20"/>
    </w:rPr>
  </w:style>
  <w:style w:type="paragraph" w:customStyle="1" w:styleId="EndnoteTextExt">
    <w:name w:val="Endnote Text Ext"/>
    <w:basedOn w:val="Notedefin"/>
    <w:uiPriority w:val="99"/>
    <w:pPr>
      <w:ind w:firstLine="0"/>
    </w:pPr>
  </w:style>
  <w:style w:type="paragraph" w:styleId="Pieddepage">
    <w:name w:val="footer"/>
    <w:basedOn w:val="Normal"/>
    <w:link w:val="PieddepageCar"/>
    <w:uiPriority w:val="99"/>
    <w:pPr>
      <w:tabs>
        <w:tab w:val="center" w:pos="4680"/>
        <w:tab w:val="right" w:pos="9360"/>
      </w:tabs>
    </w:pPr>
    <w:rPr>
      <w:rFonts w:eastAsia="Times New Roman" w:cs="Times New Roman"/>
      <w:sz w:val="16"/>
    </w:rPr>
  </w:style>
  <w:style w:type="character" w:customStyle="1" w:styleId="PieddepageCar">
    <w:name w:val="Pied de page Car"/>
    <w:basedOn w:val="Policepardfaut"/>
    <w:link w:val="Pieddepage"/>
    <w:uiPriority w:val="99"/>
    <w:rPr>
      <w:rFonts w:eastAsia="Times New Roman" w:cs="Times New Roman"/>
      <w:color w:val="000000" w:themeColor="text1"/>
      <w:sz w:val="16"/>
    </w:rPr>
  </w:style>
  <w:style w:type="paragraph" w:styleId="Notedebasdepage">
    <w:name w:val="footnote text"/>
    <w:basedOn w:val="Normal"/>
    <w:next w:val="FootnoteTextExt"/>
    <w:link w:val="NotedebasdepageCar"/>
    <w:uiPriority w:val="99"/>
    <w:pPr>
      <w:spacing w:before="60"/>
      <w:ind w:left="360" w:hanging="360"/>
    </w:pPr>
    <w:rPr>
      <w:rFonts w:eastAsia="Times New Roman" w:cs="Times New Roman"/>
      <w:sz w:val="20"/>
      <w:szCs w:val="20"/>
    </w:rPr>
  </w:style>
  <w:style w:type="character" w:customStyle="1" w:styleId="NotedebasdepageCar">
    <w:name w:val="Note de bas de page Car"/>
    <w:basedOn w:val="Policepardfaut"/>
    <w:link w:val="Notedebasdepage"/>
    <w:uiPriority w:val="99"/>
    <w:rPr>
      <w:rFonts w:eastAsia="Times New Roman" w:cs="Times New Roman"/>
      <w:color w:val="000000" w:themeColor="text1"/>
      <w:sz w:val="20"/>
      <w:szCs w:val="20"/>
    </w:rPr>
  </w:style>
  <w:style w:type="paragraph" w:customStyle="1" w:styleId="FootnoteTextExt">
    <w:name w:val="Footnote Text Ext"/>
    <w:basedOn w:val="Notedebasdepage"/>
    <w:uiPriority w:val="99"/>
    <w:pPr>
      <w:ind w:firstLine="0"/>
    </w:pPr>
  </w:style>
  <w:style w:type="paragraph" w:styleId="En-tte">
    <w:name w:val="header"/>
    <w:basedOn w:val="Normal"/>
    <w:link w:val="En-tteCar"/>
    <w:uiPriority w:val="99"/>
    <w:pPr>
      <w:tabs>
        <w:tab w:val="center" w:pos="4680"/>
        <w:tab w:val="right" w:pos="9360"/>
      </w:tabs>
    </w:pPr>
    <w:rPr>
      <w:rFonts w:eastAsia="Times New Roman" w:cs="Times New Roman"/>
    </w:rPr>
  </w:style>
  <w:style w:type="character" w:customStyle="1" w:styleId="En-tteCar">
    <w:name w:val="En-tête Car"/>
    <w:basedOn w:val="Policepardfaut"/>
    <w:link w:val="En-tte"/>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rPr>
      <w:rFonts w:ascii="Arial" w:eastAsia="Times New Roman" w:hAnsi="Arial" w:cs="Times New Roman"/>
      <w:b/>
      <w:vanish/>
      <w:color w:val="C00000"/>
      <w:sz w:val="20"/>
      <w:szCs w:val="20"/>
    </w:rPr>
  </w:style>
  <w:style w:type="paragraph" w:styleId="Sansinterligne">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rPr>
      <w:rFonts w:eastAsia="Times New Roman" w:cs="Times New Roman"/>
      <w:szCs w:val="24"/>
    </w:rPr>
  </w:style>
  <w:style w:type="paragraph" w:customStyle="1" w:styleId="QuoteCitation">
    <w:name w:val="Quote / Citation"/>
    <w:basedOn w:val="Normal"/>
    <w:link w:val="QuoteCitationChar"/>
    <w:uiPriority w:val="15"/>
    <w:qFormat/>
    <w:rsid w:val="009B4317"/>
    <w:pPr>
      <w:ind w:left="1440" w:firstLine="0"/>
    </w:pPr>
    <w:rPr>
      <w:rFonts w:eastAsia="Times New Roman" w:cs="Times New Roman"/>
      <w:sz w:val="22"/>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re">
    <w:name w:val="Title"/>
    <w:basedOn w:val="Normal"/>
    <w:link w:val="TitreCar"/>
    <w:uiPriority w:val="13"/>
    <w:qFormat/>
    <w:pPr>
      <w:keepNext/>
      <w:jc w:val="center"/>
    </w:pPr>
    <w:rPr>
      <w:rFonts w:eastAsia="Times New Roman" w:cs="Arial"/>
      <w:b/>
      <w:bCs/>
      <w:caps/>
      <w:color w:val="000000" w:themeColor="accent1" w:themeShade="BF"/>
      <w:szCs w:val="24"/>
    </w:rPr>
  </w:style>
  <w:style w:type="character" w:customStyle="1" w:styleId="TitreCar">
    <w:name w:val="Titre Car"/>
    <w:basedOn w:val="Policepardfaut"/>
    <w:link w:val="Titre"/>
    <w:uiPriority w:val="13"/>
    <w:rPr>
      <w:rFonts w:eastAsia="Times New Roman"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ous-titre">
    <w:name w:val="Subtitle"/>
    <w:basedOn w:val="Normal"/>
    <w:link w:val="Sous-titreCar"/>
    <w:uiPriority w:val="14"/>
    <w:qFormat/>
    <w:pPr>
      <w:keepNext/>
      <w:jc w:val="center"/>
    </w:pPr>
    <w:rPr>
      <w:rFonts w:asciiTheme="majorHAnsi" w:eastAsia="Times New Roman" w:hAnsiTheme="majorHAnsi" w:cs="Arial"/>
      <w:b/>
      <w:color w:val="000000" w:themeColor="accent1"/>
      <w:szCs w:val="24"/>
    </w:rPr>
  </w:style>
  <w:style w:type="character" w:customStyle="1" w:styleId="Sous-titreCar">
    <w:name w:val="Sous-titre Car"/>
    <w:basedOn w:val="Policepardfaut"/>
    <w:link w:val="Sous-titre"/>
    <w:uiPriority w:val="14"/>
    <w:rPr>
      <w:rFonts w:asciiTheme="majorHAnsi" w:eastAsia="Times New Roman" w:hAnsiTheme="majorHAnsi" w:cs="Arial"/>
      <w:b/>
      <w:color w:val="000000" w:themeColor="accent1"/>
      <w:sz w:val="24"/>
      <w:szCs w:val="24"/>
    </w:rPr>
  </w:style>
  <w:style w:type="character" w:customStyle="1" w:styleId="BlockBlocChar">
    <w:name w:val="Block / Bloc Char"/>
    <w:basedOn w:val="Policepardfaut"/>
    <w:link w:val="BlockBloc"/>
    <w:uiPriority w:val="17"/>
    <w:rPr>
      <w:rFonts w:eastAsia="Times New Roman" w:cs="Times New Roman"/>
      <w:color w:val="000000" w:themeColor="text1"/>
      <w:sz w:val="24"/>
    </w:rPr>
  </w:style>
  <w:style w:type="character" w:customStyle="1" w:styleId="QuoteCitationChar">
    <w:name w:val="Quote / Citation Char"/>
    <w:basedOn w:val="Policepardfaut"/>
    <w:link w:val="QuoteCitation"/>
    <w:uiPriority w:val="15"/>
    <w:rsid w:val="009B4317"/>
    <w:rPr>
      <w:rFonts w:eastAsia="Times New Roman" w:cs="Times New Roman"/>
      <w:color w:val="000000" w:themeColor="text1"/>
      <w:szCs w:val="24"/>
      <w:lang w:val="fr-CA"/>
    </w:rPr>
  </w:style>
  <w:style w:type="character" w:customStyle="1" w:styleId="TableTableauChar">
    <w:name w:val="Table / Tableau Char"/>
    <w:basedOn w:val="Policepardfaut"/>
    <w:link w:val="TableTableau"/>
    <w:uiPriority w:val="15"/>
    <w:rPr>
      <w:rFonts w:eastAsia="Times New Roman" w:cs="Times New Roman"/>
      <w:color w:val="000000" w:themeColor="text1"/>
      <w:sz w:val="24"/>
      <w:szCs w:val="24"/>
    </w:rPr>
  </w:style>
  <w:style w:type="character" w:customStyle="1" w:styleId="HiddenMasqueChar">
    <w:name w:val="Hidden / Masque Char"/>
    <w:basedOn w:val="Policepardfau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Policepardfaut"/>
    <w:link w:val="Parties"/>
    <w:uiPriority w:val="16"/>
    <w:rPr>
      <w:rFonts w:eastAsia="Times New Roman" w:cs="Times New Roman"/>
      <w:color w:val="000000" w:themeColor="text1"/>
      <w:sz w:val="24"/>
      <w:szCs w:val="24"/>
    </w:rPr>
  </w:style>
  <w:style w:type="numbering" w:customStyle="1" w:styleId="z-listNumA">
    <w:name w:val="z-list Num_A"/>
    <w:basedOn w:val="Aucuneliste"/>
    <w:pPr>
      <w:numPr>
        <w:numId w:val="33"/>
      </w:numPr>
    </w:pPr>
  </w:style>
  <w:style w:type="paragraph" w:customStyle="1" w:styleId="z-baseNumA">
    <w:name w:val="z-base Num_A"/>
    <w:pPr>
      <w:spacing w:after="0" w:line="240" w:lineRule="auto"/>
    </w:pPr>
    <w:rPr>
      <w:rFonts w:cstheme="minorHAnsi"/>
      <w:color w:val="000000" w:themeColor="text1"/>
      <w:sz w:val="24"/>
      <w:lang w:val="fr-CA"/>
    </w:rPr>
  </w:style>
  <w:style w:type="paragraph" w:customStyle="1" w:styleId="NumA1">
    <w:name w:val="Num_A 1"/>
    <w:basedOn w:val="z-baseNumA"/>
    <w:uiPriority w:val="19"/>
    <w:qFormat/>
    <w:rsid w:val="00F1699A"/>
    <w:pPr>
      <w:numPr>
        <w:numId w:val="8"/>
      </w:numPr>
      <w:spacing w:after="120"/>
    </w:pPr>
    <w:rPr>
      <w:rFonts w:eastAsia="Times New Roman"/>
    </w:rPr>
  </w:style>
  <w:style w:type="paragraph" w:customStyle="1" w:styleId="NumAext1">
    <w:name w:val="Num_A ext 1"/>
    <w:basedOn w:val="z-baseNumA"/>
    <w:next w:val="NumA1"/>
    <w:uiPriority w:val="20"/>
    <w:qFormat/>
    <w:pPr>
      <w:ind w:left="720"/>
    </w:pPr>
  </w:style>
  <w:style w:type="paragraph" w:customStyle="1" w:styleId="NumA2">
    <w:name w:val="Num_A 2"/>
    <w:basedOn w:val="z-baseNumA"/>
    <w:next w:val="NumAext2"/>
    <w:uiPriority w:val="19"/>
    <w:qFormat/>
    <w:rsid w:val="00705BB3"/>
    <w:pPr>
      <w:numPr>
        <w:ilvl w:val="1"/>
        <w:numId w:val="13"/>
      </w:numPr>
    </w:pPr>
    <w:rPr>
      <w:b/>
      <w:caps/>
      <w:color w:val="000000" w:themeColor="accent1"/>
      <w:u w:val="single"/>
    </w:rPr>
  </w:style>
  <w:style w:type="paragraph" w:customStyle="1" w:styleId="NumAext2">
    <w:name w:val="Num_A ext 2"/>
    <w:basedOn w:val="z-baseNumA"/>
    <w:next w:val="NumA2"/>
    <w:uiPriority w:val="20"/>
    <w:qFormat/>
    <w:pPr>
      <w:ind w:left="720"/>
    </w:pPr>
  </w:style>
  <w:style w:type="paragraph" w:customStyle="1" w:styleId="NumA3">
    <w:name w:val="Num_A 3"/>
    <w:basedOn w:val="z-baseNumA"/>
    <w:uiPriority w:val="19"/>
    <w:qFormat/>
    <w:pPr>
      <w:numPr>
        <w:ilvl w:val="2"/>
        <w:numId w:val="13"/>
      </w:numPr>
    </w:pPr>
    <w:rPr>
      <w:b/>
    </w:rPr>
  </w:style>
  <w:style w:type="paragraph" w:customStyle="1" w:styleId="NumAext3">
    <w:name w:val="Num_A ext 3"/>
    <w:basedOn w:val="z-baseNumA"/>
    <w:next w:val="NumA3"/>
    <w:uiPriority w:val="20"/>
    <w:qFormat/>
    <w:pPr>
      <w:ind w:left="1440"/>
    </w:pPr>
  </w:style>
  <w:style w:type="paragraph" w:customStyle="1" w:styleId="NumA4">
    <w:name w:val="Num_A 4"/>
    <w:basedOn w:val="z-baseNumA"/>
    <w:next w:val="NumAext4"/>
    <w:uiPriority w:val="19"/>
    <w:rsid w:val="00E77B61"/>
    <w:pPr>
      <w:keepNext/>
      <w:numPr>
        <w:ilvl w:val="3"/>
        <w:numId w:val="13"/>
      </w:numPr>
      <w:jc w:val="left"/>
      <w:outlineLvl w:val="3"/>
    </w:pPr>
    <w:rPr>
      <w:rFonts w:asciiTheme="majorHAnsi" w:hAnsiTheme="majorHAnsi" w:cstheme="majorHAnsi"/>
      <w:b/>
      <w:color w:val="000000" w:themeColor="accent1"/>
    </w:rPr>
  </w:style>
  <w:style w:type="paragraph" w:customStyle="1" w:styleId="NumAext4">
    <w:name w:val="Num_A ext 4"/>
    <w:basedOn w:val="z-baseNumA"/>
    <w:uiPriority w:val="20"/>
    <w:pPr>
      <w:ind w:left="1800"/>
    </w:pPr>
  </w:style>
  <w:style w:type="paragraph" w:customStyle="1" w:styleId="NumA5">
    <w:name w:val="Num_A 5"/>
    <w:basedOn w:val="z-baseNumA"/>
    <w:uiPriority w:val="19"/>
    <w:pPr>
      <w:numPr>
        <w:ilvl w:val="4"/>
        <w:numId w:val="13"/>
      </w:numPr>
    </w:pPr>
  </w:style>
  <w:style w:type="paragraph" w:customStyle="1" w:styleId="NumAext5">
    <w:name w:val="Num_A ext 5"/>
    <w:basedOn w:val="z-baseNumA"/>
    <w:next w:val="NumA5"/>
    <w:uiPriority w:val="20"/>
    <w:pPr>
      <w:ind w:left="2520"/>
    </w:pPr>
  </w:style>
  <w:style w:type="paragraph" w:customStyle="1" w:styleId="NumA6">
    <w:name w:val="Num_A 6"/>
    <w:basedOn w:val="z-baseNumA"/>
    <w:uiPriority w:val="19"/>
    <w:pPr>
      <w:numPr>
        <w:ilvl w:val="5"/>
        <w:numId w:val="13"/>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3"/>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3"/>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3"/>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Aucuneliste"/>
    <w:pPr>
      <w:numPr>
        <w:numId w:val="1"/>
      </w:numPr>
    </w:pPr>
  </w:style>
  <w:style w:type="paragraph" w:customStyle="1" w:styleId="z-baseBullet">
    <w:name w:val="z-base Bullet"/>
    <w:pPr>
      <w:spacing w:after="0" w:line="240" w:lineRule="auto"/>
    </w:pPr>
    <w:rPr>
      <w:rFonts w:cstheme="minorHAnsi"/>
      <w:color w:val="000000" w:themeColor="text1"/>
      <w:sz w:val="24"/>
      <w:lang w:val="fr-CA"/>
    </w:rPr>
  </w:style>
  <w:style w:type="paragraph" w:customStyle="1" w:styleId="Bullet1">
    <w:name w:val="Bullet 1"/>
    <w:basedOn w:val="z-baseBullet"/>
    <w:uiPriority w:val="29"/>
    <w:qFormat/>
    <w:rsid w:val="00043C12"/>
    <w:pPr>
      <w:numPr>
        <w:numId w:val="1"/>
      </w:numPr>
      <w:tabs>
        <w:tab w:val="clear" w:pos="720"/>
        <w:tab w:val="num" w:pos="1440"/>
      </w:tabs>
      <w:ind w:left="1440"/>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1"/>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1"/>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1"/>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1"/>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1"/>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1"/>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1"/>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1"/>
      </w:numPr>
    </w:pPr>
  </w:style>
  <w:style w:type="paragraph" w:customStyle="1" w:styleId="Bulletext9">
    <w:name w:val="Bullet ext 9"/>
    <w:basedOn w:val="z-baseBullet"/>
    <w:next w:val="Bullet9"/>
    <w:uiPriority w:val="30"/>
    <w:pPr>
      <w:ind w:left="6480"/>
    </w:pPr>
  </w:style>
  <w:style w:type="character" w:customStyle="1" w:styleId="Titre1Car">
    <w:name w:val="Titre 1 Car"/>
    <w:basedOn w:val="Policepardfaut"/>
    <w:link w:val="Titre1"/>
    <w:uiPriority w:val="12"/>
    <w:rPr>
      <w:rFonts w:asciiTheme="majorHAnsi" w:hAnsiTheme="majorHAnsi" w:cstheme="majorHAnsi"/>
      <w:b/>
      <w:color w:val="000000" w:themeColor="accent1" w:themeShade="BF"/>
      <w:sz w:val="24"/>
      <w:lang w:val="fr-CA"/>
    </w:rPr>
  </w:style>
  <w:style w:type="character" w:customStyle="1" w:styleId="Titre2Car">
    <w:name w:val="Titre 2 Car"/>
    <w:basedOn w:val="Policepardfaut"/>
    <w:link w:val="Titre2"/>
    <w:uiPriority w:val="12"/>
    <w:rPr>
      <w:rFonts w:asciiTheme="majorHAnsi" w:hAnsiTheme="majorHAnsi" w:cstheme="majorHAnsi"/>
      <w:b/>
      <w:i/>
      <w:color w:val="000000" w:themeColor="accent1"/>
      <w:sz w:val="24"/>
      <w:lang w:val="fr-CA"/>
    </w:rPr>
  </w:style>
  <w:style w:type="character" w:customStyle="1" w:styleId="Titre3Car">
    <w:name w:val="Titre 3 Car"/>
    <w:basedOn w:val="Policepardfaut"/>
    <w:link w:val="Titre3"/>
    <w:uiPriority w:val="12"/>
    <w:semiHidden/>
    <w:rPr>
      <w:rFonts w:asciiTheme="majorHAnsi" w:hAnsiTheme="majorHAnsi" w:cstheme="majorHAnsi"/>
      <w:i/>
      <w:color w:val="000000" w:themeColor="accent1"/>
      <w:sz w:val="24"/>
      <w:lang w:val="fr-CA"/>
    </w:rPr>
  </w:style>
  <w:style w:type="character" w:customStyle="1" w:styleId="Titre4Car">
    <w:name w:val="Titre 4 Car"/>
    <w:basedOn w:val="Policepardfaut"/>
    <w:link w:val="Titre4"/>
    <w:uiPriority w:val="12"/>
    <w:semiHidden/>
    <w:rPr>
      <w:rFonts w:asciiTheme="majorHAnsi" w:hAnsiTheme="majorHAnsi" w:cstheme="majorHAnsi"/>
      <w:b/>
      <w:color w:val="000000" w:themeColor="accent1"/>
      <w:sz w:val="24"/>
      <w:u w:val="single"/>
      <w:lang w:val="fr-CA"/>
    </w:rPr>
  </w:style>
  <w:style w:type="character" w:customStyle="1" w:styleId="Titre5Car">
    <w:name w:val="Titre 5 Car"/>
    <w:basedOn w:val="Policepardfaut"/>
    <w:link w:val="Titre5"/>
    <w:uiPriority w:val="12"/>
    <w:semiHidden/>
    <w:rPr>
      <w:rFonts w:asciiTheme="majorHAnsi" w:hAnsiTheme="majorHAnsi" w:cstheme="majorHAnsi"/>
      <w:color w:val="000000" w:themeColor="accent1" w:themeShade="7F"/>
      <w:sz w:val="24"/>
      <w:lang w:val="fr-CA"/>
    </w:rPr>
  </w:style>
  <w:style w:type="character" w:customStyle="1" w:styleId="Titre6Car">
    <w:name w:val="Titre 6 Car"/>
    <w:basedOn w:val="Policepardfaut"/>
    <w:link w:val="Titre6"/>
    <w:uiPriority w:val="12"/>
    <w:semiHidden/>
    <w:rPr>
      <w:rFonts w:asciiTheme="majorHAnsi" w:hAnsiTheme="majorHAnsi" w:cstheme="majorHAnsi"/>
      <w:color w:val="000000" w:themeColor="accent1" w:themeShade="7F"/>
      <w:sz w:val="24"/>
      <w:lang w:val="fr-CA"/>
    </w:rPr>
  </w:style>
  <w:style w:type="character" w:customStyle="1" w:styleId="Titre7Car">
    <w:name w:val="Titre 7 Car"/>
    <w:basedOn w:val="Policepardfaut"/>
    <w:link w:val="Titre7"/>
    <w:uiPriority w:val="12"/>
    <w:semiHidden/>
    <w:rPr>
      <w:rFonts w:asciiTheme="majorHAnsi" w:hAnsiTheme="majorHAnsi" w:cstheme="majorHAnsi"/>
      <w:color w:val="000000" w:themeColor="accent1" w:themeShade="7F"/>
      <w:sz w:val="24"/>
      <w:lang w:val="fr-CA"/>
    </w:rPr>
  </w:style>
  <w:style w:type="character" w:customStyle="1" w:styleId="Titre8Car">
    <w:name w:val="Titre 8 Car"/>
    <w:basedOn w:val="Policepardfaut"/>
    <w:link w:val="Titre8"/>
    <w:uiPriority w:val="12"/>
    <w:semiHidden/>
    <w:rPr>
      <w:rFonts w:asciiTheme="majorHAnsi" w:hAnsiTheme="majorHAnsi" w:cstheme="majorHAnsi"/>
      <w:color w:val="000000" w:themeColor="accent1" w:themeShade="7F"/>
      <w:sz w:val="24"/>
      <w:lang w:val="fr-CA"/>
    </w:rPr>
  </w:style>
  <w:style w:type="character" w:customStyle="1" w:styleId="Titre9Car">
    <w:name w:val="Titre 9 Car"/>
    <w:basedOn w:val="Policepardfaut"/>
    <w:link w:val="Titre9"/>
    <w:uiPriority w:val="12"/>
    <w:semiHidden/>
    <w:rPr>
      <w:rFonts w:asciiTheme="majorHAnsi" w:hAnsiTheme="majorHAnsi" w:cstheme="majorHAnsi"/>
      <w:color w:val="000000" w:themeColor="accent1" w:themeShade="7F"/>
      <w:sz w:val="24"/>
      <w:lang w:val="fr-CA"/>
    </w:rPr>
  </w:style>
  <w:style w:type="numbering" w:customStyle="1" w:styleId="z-listHeading">
    <w:name w:val="z-list Heading"/>
    <w:basedOn w:val="Aucuneliste"/>
    <w:pPr>
      <w:numPr>
        <w:numId w:val="2"/>
      </w:numPr>
    </w:pPr>
  </w:style>
  <w:style w:type="paragraph" w:customStyle="1" w:styleId="z-baseHeading">
    <w:name w:val="z-base Heading"/>
    <w:pPr>
      <w:spacing w:after="0" w:line="240" w:lineRule="auto"/>
    </w:pPr>
    <w:rPr>
      <w:rFonts w:cstheme="minorHAnsi"/>
      <w:color w:val="000000" w:themeColor="text1"/>
      <w:sz w:val="24"/>
      <w:lang w:val="fr-CA"/>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qFormat/>
  </w:style>
  <w:style w:type="paragraph" w:customStyle="1" w:styleId="Headingext4">
    <w:name w:val="Heading ext 4"/>
    <w:basedOn w:val="z-baseHeading"/>
    <w:uiPriority w:val="13"/>
    <w:qFormat/>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Accentuation">
    <w:name w:val="Emphasis"/>
    <w:basedOn w:val="Policepardfaut"/>
    <w:uiPriority w:val="20"/>
    <w:rPr>
      <w:i/>
      <w:iCs/>
    </w:rPr>
  </w:style>
  <w:style w:type="character" w:styleId="lev">
    <w:name w:val="Strong"/>
    <w:basedOn w:val="Policepardfaut"/>
    <w:uiPriority w:val="22"/>
    <w:rPr>
      <w:b/>
      <w:bCs/>
    </w:rPr>
  </w:style>
  <w:style w:type="character" w:styleId="Accentuationintense">
    <w:name w:val="Intense Emphasis"/>
    <w:basedOn w:val="Policepardfaut"/>
    <w:uiPriority w:val="21"/>
    <w:rPr>
      <w:b/>
      <w:bCs/>
      <w:i/>
      <w:iCs/>
      <w:color w:val="000000" w:themeColor="accent1"/>
    </w:rPr>
  </w:style>
  <w:style w:type="character" w:styleId="Accentuationlgre">
    <w:name w:val="Subtle Emphasis"/>
    <w:basedOn w:val="Policepardfaut"/>
    <w:uiPriority w:val="19"/>
    <w:rPr>
      <w:i/>
      <w:iCs/>
      <w:color w:val="808080" w:themeColor="text1" w:themeTint="7F"/>
    </w:rPr>
  </w:style>
  <w:style w:type="paragraph" w:styleId="Citationintense">
    <w:name w:val="Intense Quote"/>
    <w:basedOn w:val="Normal"/>
    <w:next w:val="Normal"/>
    <w:link w:val="CitationintenseCar"/>
    <w:uiPriority w:val="30"/>
    <w:pPr>
      <w:pBdr>
        <w:bottom w:val="single" w:sz="4" w:space="4" w:color="000000" w:themeColor="accent1"/>
      </w:pBdr>
      <w:spacing w:before="200" w:after="280"/>
      <w:ind w:left="936" w:right="936"/>
    </w:pPr>
    <w:rPr>
      <w:b/>
      <w:bCs/>
      <w:i/>
      <w:iCs/>
      <w:color w:val="000000" w:themeColor="accent1"/>
    </w:rPr>
  </w:style>
  <w:style w:type="character" w:customStyle="1" w:styleId="CitationintenseCar">
    <w:name w:val="Citation intense Car"/>
    <w:basedOn w:val="Policepardfaut"/>
    <w:link w:val="Citationintense"/>
    <w:uiPriority w:val="30"/>
    <w:rPr>
      <w:b/>
      <w:bCs/>
      <w:i/>
      <w:iCs/>
      <w:color w:val="000000" w:themeColor="accent1"/>
      <w:sz w:val="24"/>
    </w:rPr>
  </w:style>
  <w:style w:type="character" w:styleId="Titredulivre">
    <w:name w:val="Book Title"/>
    <w:basedOn w:val="Policepardfaut"/>
    <w:uiPriority w:val="33"/>
    <w:rPr>
      <w:b/>
      <w:bCs/>
      <w:smallCaps/>
      <w:spacing w:val="5"/>
    </w:rPr>
  </w:style>
  <w:style w:type="paragraph" w:styleId="Paragraphedeliste">
    <w:name w:val="List Paragraph"/>
    <w:basedOn w:val="Normal"/>
    <w:uiPriority w:val="34"/>
    <w:qFormat/>
    <w:pPr>
      <w:ind w:left="720"/>
      <w:contextualSpacing/>
    </w:pPr>
  </w:style>
  <w:style w:type="character" w:styleId="Rfrenceintense">
    <w:name w:val="Intense Reference"/>
    <w:basedOn w:val="Policepardfaut"/>
    <w:uiPriority w:val="32"/>
    <w:rPr>
      <w:b/>
      <w:bCs/>
      <w:smallCaps/>
      <w:color w:val="F2F2F2" w:themeColor="accent2"/>
      <w:spacing w:val="5"/>
      <w:u w:val="single"/>
    </w:rPr>
  </w:style>
  <w:style w:type="character" w:styleId="Rfrencelgre">
    <w:name w:val="Subtle Reference"/>
    <w:basedOn w:val="Policepardfaut"/>
    <w:uiPriority w:val="31"/>
    <w:rPr>
      <w:smallCaps/>
      <w:color w:val="F2F2F2" w:themeColor="accent2"/>
      <w:u w:val="single"/>
    </w:rPr>
  </w:style>
  <w:style w:type="paragraph" w:styleId="Citation">
    <w:name w:val="Quote"/>
    <w:basedOn w:val="Normal"/>
    <w:next w:val="Normal"/>
    <w:link w:val="CitationCar"/>
    <w:uiPriority w:val="29"/>
    <w:rPr>
      <w:i/>
      <w:iCs/>
    </w:rPr>
  </w:style>
  <w:style w:type="character" w:customStyle="1" w:styleId="CitationCar">
    <w:name w:val="Citation Car"/>
    <w:basedOn w:val="Policepardfaut"/>
    <w:link w:val="Citation"/>
    <w:uiPriority w:val="29"/>
    <w:rPr>
      <w:i/>
      <w:iCs/>
      <w:color w:val="000000" w:themeColor="text1"/>
      <w:sz w:val="24"/>
    </w:rPr>
  </w:style>
  <w:style w:type="paragraph" w:customStyle="1" w:styleId="procedure">
    <w:name w:val="procedure"/>
    <w:basedOn w:val="Normal"/>
    <w:rPr>
      <w:rFonts w:ascii="Arial" w:eastAsia="Times New Roman" w:hAnsi="Arial" w:cs="Times New Roman"/>
      <w:color w:val="auto"/>
      <w:szCs w:val="20"/>
    </w:rPr>
  </w:style>
  <w:style w:type="paragraph" w:customStyle="1" w:styleId="titre0">
    <w:name w:val="titre"/>
    <w:basedOn w:val="Normal"/>
    <w:pPr>
      <w:tabs>
        <w:tab w:val="center" w:pos="4320"/>
      </w:tabs>
    </w:pPr>
    <w:rPr>
      <w:rFonts w:ascii="Arial" w:eastAsia="Times New Roman" w:hAnsi="Arial" w:cs="Times New Roman"/>
      <w:b/>
      <w:color w:val="auto"/>
      <w:szCs w:val="20"/>
    </w:rPr>
  </w:style>
  <w:style w:type="paragraph" w:customStyle="1" w:styleId="Pleading1L1">
    <w:name w:val="Pleading1_L1"/>
    <w:basedOn w:val="Normal"/>
    <w:next w:val="Corpsdetexte"/>
    <w:pPr>
      <w:keepNext/>
      <w:keepLines/>
      <w:widowControl w:val="0"/>
      <w:numPr>
        <w:numId w:val="3"/>
      </w:numPr>
      <w:outlineLvl w:val="0"/>
    </w:pPr>
    <w:rPr>
      <w:rFonts w:ascii="Arial" w:eastAsia="Times New Roman" w:hAnsi="Arial" w:cs="Times New Roman"/>
      <w:b/>
      <w:caps/>
      <w:color w:val="auto"/>
      <w:szCs w:val="20"/>
      <w:u w:val="single"/>
      <w:lang w:val="en-US"/>
    </w:rPr>
  </w:style>
  <w:style w:type="paragraph" w:customStyle="1" w:styleId="Pleading1L2">
    <w:name w:val="Pleading1_L2"/>
    <w:basedOn w:val="Pleading1L1"/>
    <w:next w:val="Corpsdetexte"/>
    <w:pPr>
      <w:keepNext w:val="0"/>
      <w:keepLines w:val="0"/>
      <w:numPr>
        <w:ilvl w:val="1"/>
      </w:numPr>
      <w:outlineLvl w:val="1"/>
    </w:pPr>
    <w:rPr>
      <w:b w:val="0"/>
      <w:caps w:val="0"/>
      <w:u w:val="none"/>
    </w:rPr>
  </w:style>
  <w:style w:type="paragraph" w:customStyle="1" w:styleId="Pleading1L3">
    <w:name w:val="Pleading1_L3"/>
    <w:basedOn w:val="Pleading1L2"/>
    <w:next w:val="Corpsdetexte"/>
    <w:pPr>
      <w:keepNext/>
      <w:keepLines/>
      <w:numPr>
        <w:ilvl w:val="2"/>
      </w:numPr>
      <w:jc w:val="left"/>
      <w:outlineLvl w:val="2"/>
    </w:pPr>
  </w:style>
  <w:style w:type="paragraph" w:customStyle="1" w:styleId="Pleading1L4">
    <w:name w:val="Pleading1_L4"/>
    <w:basedOn w:val="Pleading1L3"/>
    <w:next w:val="Corpsdetexte"/>
    <w:pPr>
      <w:numPr>
        <w:ilvl w:val="3"/>
      </w:numPr>
      <w:outlineLvl w:val="3"/>
    </w:pPr>
  </w:style>
  <w:style w:type="paragraph" w:customStyle="1" w:styleId="Pleading1L5">
    <w:name w:val="Pleading1_L5"/>
    <w:basedOn w:val="Pleading1L4"/>
    <w:next w:val="Corpsdetexte"/>
    <w:pPr>
      <w:numPr>
        <w:ilvl w:val="4"/>
      </w:numPr>
      <w:outlineLvl w:val="4"/>
    </w:pPr>
  </w:style>
  <w:style w:type="paragraph" w:customStyle="1" w:styleId="Pleading1L6">
    <w:name w:val="Pleading1_L6"/>
    <w:basedOn w:val="Pleading1L5"/>
    <w:next w:val="Corpsdetexte"/>
    <w:pPr>
      <w:numPr>
        <w:ilvl w:val="5"/>
      </w:numPr>
      <w:outlineLvl w:val="5"/>
    </w:pPr>
  </w:style>
  <w:style w:type="paragraph" w:customStyle="1" w:styleId="Pleading1L7">
    <w:name w:val="Pleading1_L7"/>
    <w:basedOn w:val="Pleading1L6"/>
    <w:next w:val="Corpsdetexte"/>
    <w:pPr>
      <w:numPr>
        <w:ilvl w:val="6"/>
      </w:numPr>
      <w:outlineLvl w:val="6"/>
    </w:pPr>
  </w:style>
  <w:style w:type="paragraph" w:customStyle="1" w:styleId="Pleading1L8">
    <w:name w:val="Pleading1_L8"/>
    <w:basedOn w:val="Pleading1L7"/>
    <w:next w:val="Corpsdetexte"/>
    <w:pPr>
      <w:numPr>
        <w:ilvl w:val="7"/>
      </w:numPr>
      <w:outlineLvl w:val="7"/>
    </w:pPr>
  </w:style>
  <w:style w:type="paragraph" w:customStyle="1" w:styleId="Pleading1L9">
    <w:name w:val="Pleading1_L9"/>
    <w:basedOn w:val="Pleading1L8"/>
    <w:next w:val="Corpsdetexte"/>
    <w:pPr>
      <w:numPr>
        <w:ilvl w:val="8"/>
      </w:numPr>
      <w:outlineLvl w:val="8"/>
    </w:pPr>
  </w:style>
  <w:style w:type="paragraph" w:customStyle="1" w:styleId="AdminL1">
    <w:name w:val="Admin_L1"/>
    <w:basedOn w:val="Normal"/>
    <w:pPr>
      <w:numPr>
        <w:numId w:val="4"/>
      </w:numPr>
      <w:outlineLvl w:val="0"/>
    </w:pPr>
    <w:rPr>
      <w:rFonts w:ascii="Times New Roman" w:eastAsia="Times New Roman" w:hAnsi="Times New Roman" w:cs="Times New Roman"/>
      <w:color w:val="auto"/>
      <w:szCs w:val="20"/>
    </w:rPr>
  </w:style>
  <w:style w:type="paragraph" w:customStyle="1" w:styleId="AdminL2">
    <w:name w:val="Admin_L2"/>
    <w:basedOn w:val="AdminL1"/>
    <w:pPr>
      <w:numPr>
        <w:ilvl w:val="1"/>
      </w:numPr>
      <w:outlineLvl w:val="1"/>
    </w:pPr>
  </w:style>
  <w:style w:type="paragraph" w:customStyle="1" w:styleId="AdminL3">
    <w:name w:val="Admin_L3"/>
    <w:basedOn w:val="AdminL2"/>
    <w:pPr>
      <w:numPr>
        <w:ilvl w:val="2"/>
      </w:numPr>
      <w:outlineLvl w:val="2"/>
    </w:pPr>
  </w:style>
  <w:style w:type="paragraph" w:customStyle="1" w:styleId="AdminL4">
    <w:name w:val="Admin_L4"/>
    <w:basedOn w:val="AdminL3"/>
    <w:pPr>
      <w:numPr>
        <w:ilvl w:val="3"/>
      </w:numPr>
      <w:outlineLvl w:val="3"/>
    </w:pPr>
    <w:rPr>
      <w:b/>
      <w:caps/>
      <w:u w:val="single"/>
    </w:rPr>
  </w:style>
  <w:style w:type="paragraph" w:customStyle="1" w:styleId="AdminL5">
    <w:name w:val="Admin_L5"/>
    <w:basedOn w:val="AdminL4"/>
    <w:pPr>
      <w:numPr>
        <w:ilvl w:val="4"/>
      </w:numPr>
      <w:outlineLvl w:val="4"/>
    </w:pPr>
    <w:rPr>
      <w:caps w:val="0"/>
    </w:rPr>
  </w:style>
  <w:style w:type="paragraph" w:customStyle="1" w:styleId="AdminL6">
    <w:name w:val="Admin_L6"/>
    <w:basedOn w:val="AdminL5"/>
    <w:pPr>
      <w:numPr>
        <w:ilvl w:val="5"/>
      </w:numPr>
      <w:spacing w:before="120"/>
      <w:outlineLvl w:val="5"/>
    </w:pPr>
    <w:rPr>
      <w:rFonts w:ascii="Arial" w:hAnsi="Arial" w:cs="Arial"/>
      <w:b w:val="0"/>
      <w:u w:val="none"/>
    </w:rPr>
  </w:style>
  <w:style w:type="paragraph" w:customStyle="1" w:styleId="AdminL7">
    <w:name w:val="Admin_L7"/>
    <w:basedOn w:val="AdminL6"/>
    <w:pPr>
      <w:numPr>
        <w:ilvl w:val="6"/>
      </w:numPr>
      <w:outlineLvl w:val="6"/>
    </w:pPr>
  </w:style>
  <w:style w:type="paragraph" w:customStyle="1" w:styleId="AdminL8">
    <w:name w:val="Admin_L8"/>
    <w:basedOn w:val="AdminL7"/>
    <w:pPr>
      <w:numPr>
        <w:ilvl w:val="7"/>
      </w:numPr>
      <w:outlineLvl w:val="7"/>
    </w:pPr>
  </w:style>
  <w:style w:type="paragraph" w:customStyle="1" w:styleId="AdminL9">
    <w:name w:val="Admin_L9"/>
    <w:basedOn w:val="AdminL8"/>
    <w:pPr>
      <w:numPr>
        <w:ilvl w:val="8"/>
      </w:numPr>
      <w:outlineLvl w:val="8"/>
    </w:pPr>
  </w:style>
  <w:style w:type="paragraph" w:customStyle="1" w:styleId="listMultiColumn">
    <w:name w:val="listMultiColumn"/>
    <w:basedOn w:val="Normal"/>
    <w:pPr>
      <w:numPr>
        <w:numId w:val="5"/>
      </w:numPr>
      <w:tabs>
        <w:tab w:val="clear" w:pos="360"/>
      </w:tabs>
    </w:pPr>
    <w:rPr>
      <w:rFonts w:ascii="Times New Roman" w:eastAsia="Times New Roman" w:hAnsi="Times New Roman" w:cs="Times New Roman"/>
      <w:color w:val="auto"/>
      <w:szCs w:val="20"/>
    </w:rPr>
  </w:style>
  <w:style w:type="paragraph" w:styleId="Liste3">
    <w:name w:val="List 3"/>
    <w:basedOn w:val="Normal"/>
    <w:pPr>
      <w:ind w:left="1080" w:hanging="360"/>
    </w:pPr>
    <w:rPr>
      <w:rFonts w:ascii="Times New Roman" w:eastAsia="Times New Roman" w:hAnsi="Times New Roman" w:cs="Times New Roman"/>
      <w:color w:val="auto"/>
      <w:szCs w:val="20"/>
    </w:rPr>
  </w:style>
  <w:style w:type="character" w:styleId="Appelnotedebasdep">
    <w:name w:val="footnote reference"/>
    <w:basedOn w:val="Policepardfaut"/>
    <w:uiPriority w:val="99"/>
    <w:unhideWhenUsed/>
    <w:qFormat/>
    <w:rPr>
      <w:vertAlign w:val="superscript"/>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lang w:val="fr-CA"/>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fr-CA"/>
    </w:rPr>
  </w:style>
  <w:style w:type="character" w:styleId="Marquedecommentaire">
    <w:name w:val="annotation reference"/>
    <w:basedOn w:val="Policepardfaut"/>
    <w:uiPriority w:val="99"/>
    <w:unhideWhenUsed/>
    <w:rPr>
      <w:sz w:val="16"/>
      <w:szCs w:val="16"/>
    </w:rPr>
  </w:style>
  <w:style w:type="paragraph" w:styleId="Commentaire">
    <w:name w:val="annotation text"/>
    <w:basedOn w:val="Normal"/>
    <w:link w:val="CommentaireCar"/>
    <w:uiPriority w:val="99"/>
    <w:semiHidden/>
    <w:unhideWhenUsed/>
    <w:pPr>
      <w:spacing w:after="200"/>
    </w:pPr>
    <w:rPr>
      <w:color w:val="auto"/>
      <w:sz w:val="20"/>
      <w:szCs w:val="20"/>
      <w:lang w:val="en-GB"/>
    </w:rPr>
  </w:style>
  <w:style w:type="character" w:customStyle="1" w:styleId="CommentaireCar">
    <w:name w:val="Commentaire Car"/>
    <w:basedOn w:val="Policepardfaut"/>
    <w:link w:val="Commentaire"/>
    <w:uiPriority w:val="99"/>
    <w:semiHidden/>
    <w:rPr>
      <w:sz w:val="20"/>
      <w:szCs w:val="20"/>
      <w:lang w:val="en-GB"/>
    </w:rPr>
  </w:style>
  <w:style w:type="paragraph" w:styleId="Objetducommentaire">
    <w:name w:val="annotation subject"/>
    <w:basedOn w:val="Commentaire"/>
    <w:next w:val="Commentaire"/>
    <w:link w:val="ObjetducommentaireCar"/>
    <w:uiPriority w:val="99"/>
    <w:semiHidden/>
    <w:unhideWhenUsed/>
    <w:pPr>
      <w:spacing w:after="0"/>
    </w:pPr>
    <w:rPr>
      <w:b/>
      <w:bCs/>
      <w:color w:val="000000" w:themeColor="text1"/>
      <w:lang w:val="fr-CA"/>
    </w:rPr>
  </w:style>
  <w:style w:type="character" w:customStyle="1" w:styleId="ObjetducommentaireCar">
    <w:name w:val="Objet du commentaire Car"/>
    <w:basedOn w:val="CommentaireCar"/>
    <w:link w:val="Objetducommentaire"/>
    <w:uiPriority w:val="99"/>
    <w:semiHidden/>
    <w:rPr>
      <w:b/>
      <w:bCs/>
      <w:color w:val="000000" w:themeColor="text1"/>
      <w:sz w:val="20"/>
      <w:szCs w:val="20"/>
      <w:lang w:val="fr-CA"/>
    </w:rPr>
  </w:style>
  <w:style w:type="paragraph" w:customStyle="1" w:styleId="Woods-Citation-doctrine">
    <w:name w:val="Woods-Citation-doctrine"/>
    <w:basedOn w:val="Normal"/>
    <w:rsid w:val="00B90C58"/>
    <w:pPr>
      <w:autoSpaceDE w:val="0"/>
      <w:autoSpaceDN w:val="0"/>
      <w:adjustRightInd w:val="0"/>
      <w:ind w:left="1440" w:right="864"/>
    </w:pPr>
    <w:rPr>
      <w:rFonts w:ascii="Times New Roman" w:eastAsia="Calibri" w:hAnsi="Times New Roman" w:cs="Arial"/>
      <w:color w:val="auto"/>
      <w:kern w:val="24"/>
      <w:sz w:val="22"/>
    </w:rPr>
  </w:style>
  <w:style w:type="paragraph" w:customStyle="1" w:styleId="ParaLitige2">
    <w:name w:val="Para Litige 2"/>
    <w:basedOn w:val="Normal"/>
    <w:rsid w:val="00B90C58"/>
    <w:pPr>
      <w:widowControl w:val="0"/>
      <w:ind w:left="1440"/>
    </w:pPr>
    <w:rPr>
      <w:rFonts w:ascii="Times New Roman" w:eastAsia="Calibri" w:hAnsi="Times New Roman" w:cs="Times New Roman"/>
      <w:snapToGrid w:val="0"/>
      <w:color w:val="auto"/>
      <w:kern w:val="24"/>
      <w:szCs w:val="20"/>
    </w:rPr>
  </w:style>
  <w:style w:type="paragraph" w:customStyle="1" w:styleId="Woods-Citation-jurisprudence">
    <w:name w:val="Woods-Citation-jurisprudence"/>
    <w:basedOn w:val="Normal"/>
    <w:rsid w:val="00B90C58"/>
    <w:pPr>
      <w:widowControl w:val="0"/>
      <w:autoSpaceDE w:val="0"/>
      <w:autoSpaceDN w:val="0"/>
      <w:adjustRightInd w:val="0"/>
      <w:spacing w:after="200"/>
      <w:ind w:left="1440" w:right="864"/>
    </w:pPr>
    <w:rPr>
      <w:rFonts w:ascii="Times New Roman" w:eastAsia="Calibri" w:hAnsi="Times New Roman" w:cs="Times New Roman"/>
      <w:bCs/>
      <w:i/>
      <w:snapToGrid w:val="0"/>
      <w:color w:val="auto"/>
      <w:kern w:val="24"/>
      <w:sz w:val="20"/>
      <w:szCs w:val="20"/>
      <w:lang w:val="fr-FR"/>
    </w:rPr>
  </w:style>
  <w:style w:type="paragraph" w:customStyle="1" w:styleId="WoodsLitige1">
    <w:name w:val="Woods Litige 1"/>
    <w:basedOn w:val="Normal"/>
    <w:next w:val="Normal"/>
    <w:rsid w:val="00B37A66"/>
    <w:pPr>
      <w:keepNext/>
      <w:numPr>
        <w:numId w:val="7"/>
      </w:numPr>
      <w:outlineLvl w:val="0"/>
    </w:pPr>
    <w:rPr>
      <w:rFonts w:ascii="Times New Roman Gras" w:eastAsia="Calibri" w:hAnsi="Times New Roman Gras" w:cs="Times New Roman"/>
      <w:b/>
      <w:caps/>
      <w:color w:val="auto"/>
      <w:kern w:val="24"/>
      <w:szCs w:val="24"/>
      <w:u w:val="single"/>
    </w:rPr>
  </w:style>
  <w:style w:type="paragraph" w:customStyle="1" w:styleId="WoodsLitige2">
    <w:name w:val="Woods Litige 2"/>
    <w:basedOn w:val="WoodsLitige1"/>
    <w:next w:val="ParaLitige2"/>
    <w:rsid w:val="00B37A66"/>
    <w:pPr>
      <w:numPr>
        <w:ilvl w:val="1"/>
      </w:numPr>
      <w:outlineLvl w:val="1"/>
    </w:pPr>
    <w:rPr>
      <w:caps w:val="0"/>
      <w:smallCaps/>
      <w:u w:val="none"/>
    </w:rPr>
  </w:style>
  <w:style w:type="paragraph" w:customStyle="1" w:styleId="WoodsLitige3">
    <w:name w:val="Woods Litige 3"/>
    <w:basedOn w:val="WoodsLitige2"/>
    <w:next w:val="Normal"/>
    <w:rsid w:val="00B37A66"/>
    <w:pPr>
      <w:numPr>
        <w:ilvl w:val="2"/>
      </w:numPr>
      <w:outlineLvl w:val="2"/>
    </w:pPr>
    <w:rPr>
      <w:rFonts w:ascii="Times New Roman" w:hAnsi="Times New Roman"/>
      <w:b w:val="0"/>
      <w:smallCaps w:val="0"/>
      <w:u w:val="single"/>
    </w:rPr>
  </w:style>
  <w:style w:type="paragraph" w:customStyle="1" w:styleId="WoodsLitige4">
    <w:name w:val="Woods Litige 4"/>
    <w:basedOn w:val="WoodsLitige3"/>
    <w:next w:val="Normal"/>
    <w:rsid w:val="00B37A66"/>
    <w:pPr>
      <w:numPr>
        <w:ilvl w:val="3"/>
      </w:numPr>
      <w:outlineLvl w:val="3"/>
    </w:pPr>
    <w:rPr>
      <w:rFonts w:ascii="Times New Roman Gras" w:hAnsi="Times New Roman Gras"/>
      <w:b/>
      <w:i/>
      <w:u w:val="none"/>
    </w:rPr>
  </w:style>
  <w:style w:type="paragraph" w:customStyle="1" w:styleId="WoodsLitige5">
    <w:name w:val="Woods Litige 5"/>
    <w:basedOn w:val="WoodsLitige4"/>
    <w:next w:val="Normal"/>
    <w:rsid w:val="00B37A66"/>
    <w:pPr>
      <w:numPr>
        <w:ilvl w:val="4"/>
      </w:numPr>
      <w:outlineLvl w:val="4"/>
    </w:pPr>
    <w:rPr>
      <w:rFonts w:ascii="Times New Roman" w:hAnsi="Times New Roman"/>
      <w:b w:val="0"/>
      <w:u w:val="single"/>
    </w:rPr>
  </w:style>
  <w:style w:type="character" w:styleId="Lienhypertexte">
    <w:name w:val="Hyperlink"/>
    <w:basedOn w:val="Policepardfaut"/>
    <w:uiPriority w:val="99"/>
    <w:unhideWhenUsed/>
    <w:rsid w:val="00B37A66"/>
    <w:rPr>
      <w:color w:val="0000FF" w:themeColor="hyperlink"/>
      <w:u w:val="single"/>
    </w:rPr>
  </w:style>
  <w:style w:type="paragraph" w:customStyle="1" w:styleId="ParaLitige4">
    <w:name w:val="Para Litige 4"/>
    <w:basedOn w:val="Normal"/>
    <w:rsid w:val="007F0D28"/>
    <w:pPr>
      <w:widowControl w:val="0"/>
      <w:ind w:left="2880"/>
    </w:pPr>
    <w:rPr>
      <w:rFonts w:ascii="Times New Roman" w:eastAsia="Calibri" w:hAnsi="Times New Roman" w:cs="Times New Roman"/>
      <w:bCs/>
      <w:snapToGrid w:val="0"/>
      <w:color w:val="auto"/>
      <w:kern w:val="24"/>
      <w:szCs w:val="20"/>
    </w:rPr>
  </w:style>
  <w:style w:type="character" w:customStyle="1" w:styleId="solexhl">
    <w:name w:val="solexhl"/>
    <w:basedOn w:val="Policepardfaut"/>
    <w:rsid w:val="001D3FB1"/>
  </w:style>
  <w:style w:type="character" w:customStyle="1" w:styleId="citationcar0">
    <w:name w:val="citationcar"/>
    <w:basedOn w:val="Policepardfaut"/>
    <w:rsid w:val="001D3FB1"/>
  </w:style>
  <w:style w:type="paragraph" w:customStyle="1" w:styleId="DocID">
    <w:name w:val="DocID"/>
    <w:basedOn w:val="Normal"/>
    <w:link w:val="DocIDChar"/>
    <w:rsid w:val="00996B8D"/>
    <w:pPr>
      <w:tabs>
        <w:tab w:val="center" w:pos="4522"/>
        <w:tab w:val="right" w:pos="9029"/>
      </w:tabs>
    </w:pPr>
    <w:rPr>
      <w:rFonts w:ascii="Times New Roman" w:eastAsia="Calibri" w:hAnsi="Times New Roman" w:cs="Times New Roman"/>
      <w:color w:val="auto"/>
      <w:sz w:val="16"/>
      <w:lang w:val="en-CA"/>
    </w:rPr>
  </w:style>
  <w:style w:type="character" w:customStyle="1" w:styleId="DocIDChar">
    <w:name w:val="DocID Char"/>
    <w:basedOn w:val="Policepardfaut"/>
    <w:link w:val="DocID"/>
    <w:rsid w:val="00996B8D"/>
    <w:rPr>
      <w:rFonts w:ascii="Times New Roman" w:eastAsia="Calibri" w:hAnsi="Times New Roman" w:cs="Times New Roman"/>
      <w:sz w:val="16"/>
    </w:rPr>
  </w:style>
  <w:style w:type="character" w:styleId="Mentionnonrsolue">
    <w:name w:val="Unresolved Mention"/>
    <w:basedOn w:val="Policepardfaut"/>
    <w:uiPriority w:val="99"/>
    <w:unhideWhenUsed/>
    <w:rsid w:val="007763C0"/>
    <w:rPr>
      <w:color w:val="605E5C"/>
      <w:shd w:val="clear" w:color="auto" w:fill="E1DFDD"/>
    </w:rPr>
  </w:style>
  <w:style w:type="paragraph" w:customStyle="1" w:styleId="ParaNum2L1">
    <w:name w:val="ParaNum2_L1"/>
    <w:basedOn w:val="Normal"/>
    <w:uiPriority w:val="99"/>
    <w:rsid w:val="00726152"/>
    <w:pPr>
      <w:numPr>
        <w:numId w:val="9"/>
      </w:numPr>
      <w:spacing w:after="0" w:line="240" w:lineRule="auto"/>
      <w:outlineLvl w:val="0"/>
    </w:pPr>
    <w:rPr>
      <w:rFonts w:ascii="Times New Roman" w:eastAsia="Times New Roman" w:hAnsi="Times New Roman" w:cs="Times New Roman"/>
      <w:color w:val="auto"/>
      <w:szCs w:val="20"/>
    </w:rPr>
  </w:style>
  <w:style w:type="paragraph" w:customStyle="1" w:styleId="ParaNum2L2">
    <w:name w:val="ParaNum2_L2"/>
    <w:basedOn w:val="ParaNum2L1"/>
    <w:uiPriority w:val="99"/>
    <w:rsid w:val="00726152"/>
    <w:pPr>
      <w:numPr>
        <w:ilvl w:val="1"/>
      </w:numPr>
      <w:outlineLvl w:val="1"/>
    </w:pPr>
  </w:style>
  <w:style w:type="paragraph" w:customStyle="1" w:styleId="ParaNum2L3">
    <w:name w:val="ParaNum2_L3"/>
    <w:basedOn w:val="ParaNum2L2"/>
    <w:uiPriority w:val="99"/>
    <w:rsid w:val="00726152"/>
    <w:pPr>
      <w:numPr>
        <w:ilvl w:val="2"/>
      </w:numPr>
      <w:outlineLvl w:val="2"/>
    </w:pPr>
  </w:style>
  <w:style w:type="paragraph" w:customStyle="1" w:styleId="ParaNum2L4">
    <w:name w:val="ParaNum2_L4"/>
    <w:basedOn w:val="ParaNum2L3"/>
    <w:uiPriority w:val="99"/>
    <w:rsid w:val="00726152"/>
    <w:pPr>
      <w:numPr>
        <w:ilvl w:val="3"/>
      </w:numPr>
      <w:outlineLvl w:val="3"/>
    </w:pPr>
  </w:style>
  <w:style w:type="paragraph" w:customStyle="1" w:styleId="ParaNum2L5">
    <w:name w:val="ParaNum2_L5"/>
    <w:basedOn w:val="ParaNum2L4"/>
    <w:uiPriority w:val="99"/>
    <w:rsid w:val="00726152"/>
    <w:pPr>
      <w:numPr>
        <w:ilvl w:val="4"/>
      </w:numPr>
      <w:outlineLvl w:val="4"/>
    </w:pPr>
  </w:style>
  <w:style w:type="paragraph" w:customStyle="1" w:styleId="ParaNum2L6">
    <w:name w:val="ParaNum2_L6"/>
    <w:basedOn w:val="ParaNum2L5"/>
    <w:uiPriority w:val="99"/>
    <w:rsid w:val="00726152"/>
    <w:pPr>
      <w:numPr>
        <w:ilvl w:val="5"/>
      </w:numPr>
      <w:outlineLvl w:val="5"/>
    </w:pPr>
  </w:style>
  <w:style w:type="paragraph" w:customStyle="1" w:styleId="ParaNum2L7">
    <w:name w:val="ParaNum2_L7"/>
    <w:basedOn w:val="ParaNum2L6"/>
    <w:uiPriority w:val="99"/>
    <w:rsid w:val="00726152"/>
    <w:pPr>
      <w:numPr>
        <w:ilvl w:val="6"/>
      </w:numPr>
      <w:outlineLvl w:val="6"/>
    </w:pPr>
  </w:style>
  <w:style w:type="paragraph" w:customStyle="1" w:styleId="ParaNum2L8">
    <w:name w:val="ParaNum2_L8"/>
    <w:basedOn w:val="ParaNum2L7"/>
    <w:uiPriority w:val="99"/>
    <w:rsid w:val="00726152"/>
    <w:pPr>
      <w:numPr>
        <w:ilvl w:val="7"/>
      </w:numPr>
      <w:outlineLvl w:val="7"/>
    </w:pPr>
  </w:style>
  <w:style w:type="paragraph" w:customStyle="1" w:styleId="ParaNum2L9">
    <w:name w:val="ParaNum2_L9"/>
    <w:basedOn w:val="ParaNum2L8"/>
    <w:uiPriority w:val="99"/>
    <w:rsid w:val="00726152"/>
    <w:pPr>
      <w:numPr>
        <w:ilvl w:val="8"/>
      </w:numPr>
      <w:outlineLvl w:val="8"/>
    </w:pPr>
  </w:style>
  <w:style w:type="paragraph" w:customStyle="1" w:styleId="NumB1">
    <w:name w:val="Num_B 1"/>
    <w:basedOn w:val="Normal"/>
    <w:next w:val="NumB2"/>
    <w:uiPriority w:val="85"/>
    <w:qFormat/>
    <w:rsid w:val="00705BB3"/>
    <w:pPr>
      <w:numPr>
        <w:numId w:val="11"/>
      </w:numPr>
      <w:spacing w:before="120" w:after="120" w:line="240" w:lineRule="auto"/>
      <w:ind w:left="0" w:firstLine="0"/>
      <w:jc w:val="right"/>
    </w:pPr>
    <w:rPr>
      <w:rFonts w:ascii="Times New Roman" w:eastAsia="Times New Roman" w:hAnsi="Times New Roman" w:cs="Times New Roman"/>
      <w:b/>
      <w:color w:val="000000"/>
    </w:rPr>
  </w:style>
  <w:style w:type="paragraph" w:customStyle="1" w:styleId="NumB2">
    <w:name w:val="Num_B 2"/>
    <w:basedOn w:val="Normal"/>
    <w:next w:val="Normal"/>
    <w:uiPriority w:val="85"/>
    <w:qFormat/>
    <w:rsid w:val="00705BB3"/>
    <w:pPr>
      <w:keepNext/>
      <w:numPr>
        <w:ilvl w:val="1"/>
        <w:numId w:val="11"/>
      </w:numPr>
      <w:spacing w:after="0" w:line="240" w:lineRule="auto"/>
      <w:jc w:val="left"/>
      <w:outlineLvl w:val="1"/>
    </w:pPr>
    <w:rPr>
      <w:rFonts w:ascii="Times New Roman" w:eastAsia="Times New Roman" w:hAnsi="Times New Roman" w:cs="Times New Roman"/>
      <w:b/>
      <w:color w:val="000000"/>
    </w:rPr>
  </w:style>
  <w:style w:type="paragraph" w:customStyle="1" w:styleId="NumB3">
    <w:name w:val="Num_B 3"/>
    <w:basedOn w:val="Normal"/>
    <w:uiPriority w:val="99"/>
    <w:rsid w:val="00705BB3"/>
    <w:pPr>
      <w:numPr>
        <w:ilvl w:val="2"/>
        <w:numId w:val="11"/>
      </w:numPr>
      <w:spacing w:after="0" w:line="240" w:lineRule="auto"/>
    </w:pPr>
    <w:rPr>
      <w:rFonts w:ascii="Times New Roman" w:eastAsia="Times New Roman" w:hAnsi="Times New Roman" w:cs="Times New Roman"/>
      <w:color w:val="000000"/>
    </w:rPr>
  </w:style>
  <w:style w:type="paragraph" w:customStyle="1" w:styleId="NumB4">
    <w:name w:val="Num_B 4"/>
    <w:basedOn w:val="Normal"/>
    <w:uiPriority w:val="99"/>
    <w:rsid w:val="00705BB3"/>
    <w:pPr>
      <w:numPr>
        <w:ilvl w:val="3"/>
        <w:numId w:val="11"/>
      </w:numPr>
      <w:spacing w:after="0" w:line="240" w:lineRule="auto"/>
    </w:pPr>
    <w:rPr>
      <w:rFonts w:ascii="Times New Roman" w:eastAsia="Times New Roman" w:hAnsi="Times New Roman" w:cs="Times New Roman"/>
      <w:color w:val="000000"/>
    </w:rPr>
  </w:style>
  <w:style w:type="paragraph" w:customStyle="1" w:styleId="NumB5">
    <w:name w:val="Num_B 5"/>
    <w:basedOn w:val="Normal"/>
    <w:uiPriority w:val="99"/>
    <w:rsid w:val="00705BB3"/>
    <w:pPr>
      <w:numPr>
        <w:ilvl w:val="4"/>
        <w:numId w:val="11"/>
      </w:numPr>
      <w:spacing w:after="0" w:line="240" w:lineRule="auto"/>
    </w:pPr>
    <w:rPr>
      <w:rFonts w:ascii="Times New Roman" w:eastAsia="Times New Roman" w:hAnsi="Times New Roman" w:cs="Times New Roman"/>
      <w:color w:val="000000"/>
    </w:rPr>
  </w:style>
  <w:style w:type="paragraph" w:customStyle="1" w:styleId="NumB6">
    <w:name w:val="Num_B 6"/>
    <w:basedOn w:val="Normal"/>
    <w:uiPriority w:val="99"/>
    <w:rsid w:val="00705BB3"/>
    <w:pPr>
      <w:numPr>
        <w:ilvl w:val="5"/>
        <w:numId w:val="11"/>
      </w:numPr>
      <w:spacing w:after="0" w:line="240" w:lineRule="auto"/>
    </w:pPr>
    <w:rPr>
      <w:rFonts w:ascii="Times New Roman" w:eastAsia="Times New Roman" w:hAnsi="Times New Roman" w:cs="Times New Roman"/>
      <w:color w:val="000000"/>
    </w:rPr>
  </w:style>
  <w:style w:type="paragraph" w:customStyle="1" w:styleId="NumB7">
    <w:name w:val="Num_B 7"/>
    <w:basedOn w:val="Normal"/>
    <w:uiPriority w:val="99"/>
    <w:rsid w:val="00705BB3"/>
    <w:pPr>
      <w:numPr>
        <w:ilvl w:val="6"/>
        <w:numId w:val="11"/>
      </w:numPr>
      <w:spacing w:after="0" w:line="240" w:lineRule="auto"/>
    </w:pPr>
    <w:rPr>
      <w:rFonts w:ascii="Times New Roman" w:eastAsia="Times New Roman" w:hAnsi="Times New Roman" w:cs="Times New Roman"/>
      <w:color w:val="000000"/>
    </w:rPr>
  </w:style>
  <w:style w:type="paragraph" w:customStyle="1" w:styleId="NumB8">
    <w:name w:val="Num_B 8"/>
    <w:basedOn w:val="Normal"/>
    <w:uiPriority w:val="99"/>
    <w:rsid w:val="00705BB3"/>
    <w:pPr>
      <w:numPr>
        <w:ilvl w:val="7"/>
        <w:numId w:val="11"/>
      </w:numPr>
      <w:spacing w:after="0" w:line="240" w:lineRule="auto"/>
    </w:pPr>
    <w:rPr>
      <w:rFonts w:ascii="Times New Roman" w:eastAsia="Times New Roman" w:hAnsi="Times New Roman" w:cs="Times New Roman"/>
      <w:color w:val="000000"/>
    </w:rPr>
  </w:style>
  <w:style w:type="paragraph" w:customStyle="1" w:styleId="NumB9">
    <w:name w:val="Num_B 9"/>
    <w:basedOn w:val="Normal"/>
    <w:uiPriority w:val="99"/>
    <w:rsid w:val="00705BB3"/>
    <w:pPr>
      <w:numPr>
        <w:ilvl w:val="8"/>
        <w:numId w:val="11"/>
      </w:numPr>
      <w:spacing w:after="0" w:line="240" w:lineRule="auto"/>
    </w:pPr>
    <w:rPr>
      <w:rFonts w:ascii="Times New Roman" w:eastAsia="Times New Roman" w:hAnsi="Times New Roman" w:cs="Times New Roman"/>
      <w:color w:val="000000"/>
    </w:rPr>
  </w:style>
  <w:style w:type="paragraph" w:customStyle="1" w:styleId="CitationJuris">
    <w:name w:val="Citation Juris"/>
    <w:basedOn w:val="Normal"/>
    <w:link w:val="CitationJurisChar"/>
    <w:uiPriority w:val="99"/>
    <w:rsid w:val="00705BB3"/>
    <w:pPr>
      <w:spacing w:before="120" w:after="120" w:line="240" w:lineRule="auto"/>
      <w:ind w:left="0" w:firstLine="0"/>
      <w:jc w:val="left"/>
    </w:pPr>
    <w:rPr>
      <w:rFonts w:ascii="Times New Roman" w:eastAsia="Times New Roman" w:hAnsi="Times New Roman" w:cs="Times New Roman"/>
      <w:color w:val="000000"/>
      <w:szCs w:val="24"/>
    </w:rPr>
  </w:style>
  <w:style w:type="character" w:customStyle="1" w:styleId="CitationJurisChar">
    <w:name w:val="Citation Juris Char"/>
    <w:basedOn w:val="Policepardfaut"/>
    <w:link w:val="CitationJuris"/>
    <w:uiPriority w:val="99"/>
    <w:locked/>
    <w:rsid w:val="00705BB3"/>
    <w:rPr>
      <w:rFonts w:ascii="Times New Roman" w:eastAsia="Times New Roman" w:hAnsi="Times New Roman" w:cs="Times New Roman"/>
      <w:color w:val="000000"/>
      <w:sz w:val="24"/>
      <w:szCs w:val="24"/>
      <w:lang w:val="fr-CA"/>
    </w:rPr>
  </w:style>
  <w:style w:type="paragraph" w:customStyle="1" w:styleId="ParaNum2FL1">
    <w:name w:val="ParaNum2F_L1"/>
    <w:basedOn w:val="Normal"/>
    <w:uiPriority w:val="99"/>
    <w:rsid w:val="00705BB3"/>
    <w:pPr>
      <w:numPr>
        <w:numId w:val="12"/>
      </w:numPr>
      <w:spacing w:after="0" w:line="240" w:lineRule="auto"/>
      <w:outlineLvl w:val="0"/>
    </w:pPr>
    <w:rPr>
      <w:rFonts w:ascii="Times New Roman" w:eastAsia="Times New Roman" w:hAnsi="Times New Roman" w:cs="Times New Roman"/>
      <w:color w:val="auto"/>
      <w:szCs w:val="20"/>
    </w:rPr>
  </w:style>
  <w:style w:type="paragraph" w:customStyle="1" w:styleId="ParaNum2FL2">
    <w:name w:val="ParaNum2F_L2"/>
    <w:basedOn w:val="ParaNum2FL1"/>
    <w:uiPriority w:val="99"/>
    <w:rsid w:val="00705BB3"/>
    <w:pPr>
      <w:numPr>
        <w:ilvl w:val="1"/>
      </w:numPr>
      <w:outlineLvl w:val="1"/>
    </w:pPr>
  </w:style>
  <w:style w:type="paragraph" w:customStyle="1" w:styleId="ParaNum2FL3">
    <w:name w:val="ParaNum2F_L3"/>
    <w:basedOn w:val="ParaNum2FL2"/>
    <w:uiPriority w:val="99"/>
    <w:rsid w:val="00705BB3"/>
    <w:pPr>
      <w:numPr>
        <w:ilvl w:val="2"/>
      </w:numPr>
      <w:outlineLvl w:val="2"/>
    </w:pPr>
  </w:style>
  <w:style w:type="paragraph" w:customStyle="1" w:styleId="ParaNum2FL4">
    <w:name w:val="ParaNum2F_L4"/>
    <w:basedOn w:val="ParaNum2FL3"/>
    <w:uiPriority w:val="99"/>
    <w:rsid w:val="00705BB3"/>
    <w:pPr>
      <w:numPr>
        <w:ilvl w:val="3"/>
      </w:numPr>
      <w:outlineLvl w:val="3"/>
    </w:pPr>
  </w:style>
  <w:style w:type="paragraph" w:customStyle="1" w:styleId="ParaNum2FL5">
    <w:name w:val="ParaNum2F_L5"/>
    <w:basedOn w:val="ParaNum2FL4"/>
    <w:uiPriority w:val="99"/>
    <w:rsid w:val="00705BB3"/>
    <w:pPr>
      <w:numPr>
        <w:ilvl w:val="4"/>
      </w:numPr>
      <w:outlineLvl w:val="4"/>
    </w:pPr>
  </w:style>
  <w:style w:type="paragraph" w:customStyle="1" w:styleId="ParaNum2FL6">
    <w:name w:val="ParaNum2F_L6"/>
    <w:basedOn w:val="ParaNum2FL5"/>
    <w:uiPriority w:val="99"/>
    <w:rsid w:val="00705BB3"/>
    <w:pPr>
      <w:numPr>
        <w:ilvl w:val="5"/>
      </w:numPr>
      <w:outlineLvl w:val="5"/>
    </w:pPr>
  </w:style>
  <w:style w:type="paragraph" w:customStyle="1" w:styleId="ParaNum2FL7">
    <w:name w:val="ParaNum2F_L7"/>
    <w:basedOn w:val="ParaNum2FL6"/>
    <w:uiPriority w:val="99"/>
    <w:rsid w:val="00705BB3"/>
    <w:pPr>
      <w:numPr>
        <w:ilvl w:val="6"/>
      </w:numPr>
      <w:outlineLvl w:val="6"/>
    </w:pPr>
  </w:style>
  <w:style w:type="paragraph" w:customStyle="1" w:styleId="ParaNum2FL8">
    <w:name w:val="ParaNum2F_L8"/>
    <w:basedOn w:val="ParaNum2FL7"/>
    <w:uiPriority w:val="99"/>
    <w:rsid w:val="00705BB3"/>
    <w:pPr>
      <w:numPr>
        <w:ilvl w:val="7"/>
      </w:numPr>
      <w:outlineLvl w:val="7"/>
    </w:pPr>
  </w:style>
  <w:style w:type="paragraph" w:customStyle="1" w:styleId="ParaNum2FL9">
    <w:name w:val="ParaNum2F_L9"/>
    <w:basedOn w:val="ParaNum2FL8"/>
    <w:uiPriority w:val="99"/>
    <w:rsid w:val="00705BB3"/>
    <w:pPr>
      <w:numPr>
        <w:ilvl w:val="8"/>
      </w:numPr>
      <w:outlineLvl w:val="8"/>
    </w:pPr>
  </w:style>
  <w:style w:type="numbering" w:customStyle="1" w:styleId="z-listNumB">
    <w:name w:val="z-list Num_B"/>
    <w:rsid w:val="00705BB3"/>
    <w:pPr>
      <w:numPr>
        <w:numId w:val="11"/>
      </w:numPr>
    </w:pPr>
  </w:style>
  <w:style w:type="character" w:customStyle="1" w:styleId="label-z">
    <w:name w:val="label-z"/>
    <w:basedOn w:val="Policepardfaut"/>
    <w:rsid w:val="00E70706"/>
  </w:style>
  <w:style w:type="character" w:customStyle="1" w:styleId="widthfixforlabel">
    <w:name w:val="widthfixforlabel"/>
    <w:basedOn w:val="Policepardfaut"/>
    <w:rsid w:val="00E70706"/>
  </w:style>
  <w:style w:type="character" w:customStyle="1" w:styleId="paragraph">
    <w:name w:val="paragraph"/>
    <w:basedOn w:val="Policepardfaut"/>
    <w:rsid w:val="00E70706"/>
  </w:style>
  <w:style w:type="paragraph" w:styleId="Rvision">
    <w:name w:val="Revision"/>
    <w:hidden/>
    <w:uiPriority w:val="99"/>
    <w:semiHidden/>
    <w:rsid w:val="001A160C"/>
    <w:pPr>
      <w:spacing w:before="0" w:after="0" w:line="240" w:lineRule="auto"/>
      <w:ind w:left="0" w:firstLine="0"/>
      <w:jc w:val="left"/>
    </w:pPr>
    <w:rPr>
      <w:color w:val="000000" w:themeColor="text1"/>
      <w:sz w:val="24"/>
      <w:lang w:val="fr-CA"/>
    </w:rPr>
  </w:style>
  <w:style w:type="character" w:styleId="Mention">
    <w:name w:val="Mention"/>
    <w:basedOn w:val="Policepardfaut"/>
    <w:uiPriority w:val="99"/>
    <w:unhideWhenUsed/>
    <w:rsid w:val="008D2D76"/>
    <w:rPr>
      <w:color w:val="2B579A"/>
      <w:shd w:val="clear" w:color="auto" w:fill="E1DFDD"/>
    </w:rPr>
  </w:style>
  <w:style w:type="paragraph" w:customStyle="1" w:styleId="QuoteCitationL1">
    <w:name w:val="Quote / Citation L1"/>
    <w:basedOn w:val="Normal"/>
    <w:link w:val="QuoteCitationL1Car"/>
    <w:uiPriority w:val="12"/>
    <w:qFormat/>
    <w:rsid w:val="00D71C57"/>
    <w:pPr>
      <w:spacing w:after="480" w:line="259" w:lineRule="auto"/>
      <w:ind w:left="720" w:right="720" w:firstLine="0"/>
      <w:contextualSpacing/>
    </w:pPr>
    <w:rPr>
      <w:color w:val="auto"/>
      <w:sz w:val="22"/>
    </w:rPr>
  </w:style>
  <w:style w:type="character" w:customStyle="1" w:styleId="QuoteCitationL1Car">
    <w:name w:val="Quote / Citation L1 Car"/>
    <w:basedOn w:val="Policepardfaut"/>
    <w:link w:val="QuoteCitationL1"/>
    <w:uiPriority w:val="12"/>
    <w:rsid w:val="00D71C57"/>
    <w:rPr>
      <w:lang w:val="fr-CA"/>
    </w:rPr>
  </w:style>
  <w:style w:type="paragraph" w:customStyle="1" w:styleId="ParaNum19">
    <w:name w:val="ParaNum 1_9"/>
    <w:basedOn w:val="Normal"/>
    <w:uiPriority w:val="19"/>
    <w:qFormat/>
    <w:rsid w:val="007D7789"/>
    <w:pPr>
      <w:numPr>
        <w:ilvl w:val="8"/>
        <w:numId w:val="14"/>
      </w:numPr>
      <w:outlineLvl w:val="8"/>
    </w:pPr>
    <w:rPr>
      <w:rFonts w:asciiTheme="majorHAnsi" w:eastAsia="Times New Roman" w:hAnsiTheme="majorHAnsi" w:cs="Times New Roman"/>
    </w:rPr>
  </w:style>
  <w:style w:type="paragraph" w:customStyle="1" w:styleId="ParaNum18">
    <w:name w:val="ParaNum 1_8"/>
    <w:basedOn w:val="Normal"/>
    <w:uiPriority w:val="19"/>
    <w:qFormat/>
    <w:rsid w:val="007D7789"/>
    <w:pPr>
      <w:numPr>
        <w:ilvl w:val="7"/>
        <w:numId w:val="14"/>
      </w:numPr>
    </w:pPr>
    <w:rPr>
      <w:rFonts w:asciiTheme="majorHAnsi" w:eastAsia="Times New Roman" w:hAnsiTheme="majorHAnsi" w:cs="Times New Roman"/>
    </w:rPr>
  </w:style>
  <w:style w:type="paragraph" w:customStyle="1" w:styleId="ParaNum17">
    <w:name w:val="ParaNum 1_7"/>
    <w:basedOn w:val="Normal"/>
    <w:uiPriority w:val="19"/>
    <w:qFormat/>
    <w:rsid w:val="007D7789"/>
    <w:pPr>
      <w:numPr>
        <w:ilvl w:val="6"/>
        <w:numId w:val="14"/>
      </w:numPr>
    </w:pPr>
    <w:rPr>
      <w:rFonts w:asciiTheme="majorHAnsi" w:eastAsia="Times New Roman" w:hAnsiTheme="majorHAnsi" w:cs="Times New Roman"/>
    </w:rPr>
  </w:style>
  <w:style w:type="paragraph" w:customStyle="1" w:styleId="ParaNum16">
    <w:name w:val="ParaNum 1_6"/>
    <w:basedOn w:val="Normal"/>
    <w:uiPriority w:val="19"/>
    <w:qFormat/>
    <w:rsid w:val="007D7789"/>
    <w:pPr>
      <w:numPr>
        <w:ilvl w:val="5"/>
        <w:numId w:val="14"/>
      </w:numPr>
    </w:pPr>
    <w:rPr>
      <w:rFonts w:asciiTheme="majorHAnsi" w:eastAsia="Times New Roman" w:hAnsiTheme="majorHAnsi" w:cs="Times New Roman"/>
    </w:rPr>
  </w:style>
  <w:style w:type="paragraph" w:customStyle="1" w:styleId="ParaNum15">
    <w:name w:val="ParaNum 1_5"/>
    <w:basedOn w:val="Normal"/>
    <w:uiPriority w:val="19"/>
    <w:qFormat/>
    <w:rsid w:val="007D7789"/>
    <w:pPr>
      <w:numPr>
        <w:ilvl w:val="4"/>
        <w:numId w:val="14"/>
      </w:numPr>
    </w:pPr>
    <w:rPr>
      <w:rFonts w:asciiTheme="majorHAnsi" w:eastAsia="Times New Roman" w:hAnsiTheme="majorHAnsi" w:cs="Times New Roman"/>
    </w:rPr>
  </w:style>
  <w:style w:type="paragraph" w:customStyle="1" w:styleId="ParaNum14">
    <w:name w:val="ParaNum 1_4"/>
    <w:basedOn w:val="Normal"/>
    <w:uiPriority w:val="19"/>
    <w:qFormat/>
    <w:rsid w:val="007D7789"/>
    <w:pPr>
      <w:numPr>
        <w:ilvl w:val="3"/>
        <w:numId w:val="14"/>
      </w:numPr>
    </w:pPr>
    <w:rPr>
      <w:rFonts w:asciiTheme="majorHAnsi" w:eastAsia="Times New Roman" w:hAnsiTheme="majorHAnsi" w:cs="Times New Roman"/>
    </w:rPr>
  </w:style>
  <w:style w:type="paragraph" w:customStyle="1" w:styleId="ParaNum13">
    <w:name w:val="ParaNum 1_3"/>
    <w:basedOn w:val="Normal"/>
    <w:uiPriority w:val="19"/>
    <w:qFormat/>
    <w:rsid w:val="007D7789"/>
    <w:pPr>
      <w:numPr>
        <w:ilvl w:val="2"/>
        <w:numId w:val="14"/>
      </w:numPr>
    </w:pPr>
    <w:rPr>
      <w:rFonts w:asciiTheme="majorHAnsi" w:eastAsia="Times New Roman" w:hAnsiTheme="majorHAnsi" w:cs="Times New Roman"/>
    </w:rPr>
  </w:style>
  <w:style w:type="paragraph" w:customStyle="1" w:styleId="ParaNum12">
    <w:name w:val="ParaNum 1_2"/>
    <w:basedOn w:val="Normal"/>
    <w:uiPriority w:val="19"/>
    <w:qFormat/>
    <w:rsid w:val="007D7789"/>
    <w:pPr>
      <w:numPr>
        <w:ilvl w:val="1"/>
        <w:numId w:val="14"/>
      </w:numPr>
    </w:pPr>
    <w:rPr>
      <w:rFonts w:asciiTheme="majorHAnsi" w:eastAsia="Times New Roman" w:hAnsiTheme="majorHAnsi" w:cs="Times New Roman"/>
    </w:rPr>
  </w:style>
  <w:style w:type="paragraph" w:customStyle="1" w:styleId="ParaNum11">
    <w:name w:val="ParaNum 1_1"/>
    <w:basedOn w:val="Normal"/>
    <w:link w:val="ParaNum11Car"/>
    <w:uiPriority w:val="19"/>
    <w:qFormat/>
    <w:rsid w:val="007D7789"/>
    <w:pPr>
      <w:numPr>
        <w:numId w:val="14"/>
      </w:numPr>
    </w:pPr>
    <w:rPr>
      <w:rFonts w:asciiTheme="majorHAnsi" w:eastAsia="Times New Roman" w:hAnsiTheme="majorHAnsi" w:cs="Times New Roman"/>
    </w:rPr>
  </w:style>
  <w:style w:type="character" w:customStyle="1" w:styleId="ParaNum11Car">
    <w:name w:val="ParaNum 1_1 Car"/>
    <w:basedOn w:val="CorpsdetexteCar"/>
    <w:link w:val="ParaNum11"/>
    <w:uiPriority w:val="19"/>
    <w:rsid w:val="007D7789"/>
    <w:rPr>
      <w:rFonts w:asciiTheme="majorHAnsi" w:eastAsia="Times New Roman" w:hAnsiTheme="majorHAnsi" w:cs="Times New Roman"/>
      <w:color w:val="000000" w:themeColor="text1"/>
      <w:sz w:val="24"/>
      <w:lang w:val="fr-CA"/>
    </w:rPr>
  </w:style>
  <w:style w:type="character" w:styleId="Lienhypertextesuivivisit">
    <w:name w:val="FollowedHyperlink"/>
    <w:basedOn w:val="Policepardfaut"/>
    <w:uiPriority w:val="99"/>
    <w:semiHidden/>
    <w:unhideWhenUsed/>
    <w:rsid w:val="009B4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342">
      <w:bodyDiv w:val="1"/>
      <w:marLeft w:val="0"/>
      <w:marRight w:val="0"/>
      <w:marTop w:val="0"/>
      <w:marBottom w:val="0"/>
      <w:divBdr>
        <w:top w:val="none" w:sz="0" w:space="0" w:color="auto"/>
        <w:left w:val="none" w:sz="0" w:space="0" w:color="auto"/>
        <w:bottom w:val="none" w:sz="0" w:space="0" w:color="auto"/>
        <w:right w:val="none" w:sz="0" w:space="0" w:color="auto"/>
      </w:divBdr>
    </w:div>
    <w:div w:id="190119976">
      <w:bodyDiv w:val="1"/>
      <w:marLeft w:val="0"/>
      <w:marRight w:val="0"/>
      <w:marTop w:val="0"/>
      <w:marBottom w:val="0"/>
      <w:divBdr>
        <w:top w:val="none" w:sz="0" w:space="0" w:color="auto"/>
        <w:left w:val="none" w:sz="0" w:space="0" w:color="auto"/>
        <w:bottom w:val="none" w:sz="0" w:space="0" w:color="auto"/>
        <w:right w:val="none" w:sz="0" w:space="0" w:color="auto"/>
      </w:divBdr>
    </w:div>
    <w:div w:id="280957960">
      <w:bodyDiv w:val="1"/>
      <w:marLeft w:val="0"/>
      <w:marRight w:val="0"/>
      <w:marTop w:val="0"/>
      <w:marBottom w:val="0"/>
      <w:divBdr>
        <w:top w:val="none" w:sz="0" w:space="0" w:color="auto"/>
        <w:left w:val="none" w:sz="0" w:space="0" w:color="auto"/>
        <w:bottom w:val="none" w:sz="0" w:space="0" w:color="auto"/>
        <w:right w:val="none" w:sz="0" w:space="0" w:color="auto"/>
      </w:divBdr>
    </w:div>
    <w:div w:id="296761227">
      <w:bodyDiv w:val="1"/>
      <w:marLeft w:val="0"/>
      <w:marRight w:val="0"/>
      <w:marTop w:val="0"/>
      <w:marBottom w:val="0"/>
      <w:divBdr>
        <w:top w:val="none" w:sz="0" w:space="0" w:color="auto"/>
        <w:left w:val="none" w:sz="0" w:space="0" w:color="auto"/>
        <w:bottom w:val="none" w:sz="0" w:space="0" w:color="auto"/>
        <w:right w:val="none" w:sz="0" w:space="0" w:color="auto"/>
      </w:divBdr>
    </w:div>
    <w:div w:id="390348392">
      <w:bodyDiv w:val="1"/>
      <w:marLeft w:val="0"/>
      <w:marRight w:val="0"/>
      <w:marTop w:val="0"/>
      <w:marBottom w:val="0"/>
      <w:divBdr>
        <w:top w:val="none" w:sz="0" w:space="0" w:color="auto"/>
        <w:left w:val="none" w:sz="0" w:space="0" w:color="auto"/>
        <w:bottom w:val="none" w:sz="0" w:space="0" w:color="auto"/>
        <w:right w:val="none" w:sz="0" w:space="0" w:color="auto"/>
      </w:divBdr>
      <w:divsChild>
        <w:div w:id="256911186">
          <w:marLeft w:val="0"/>
          <w:marRight w:val="0"/>
          <w:marTop w:val="260"/>
          <w:marBottom w:val="240"/>
          <w:divBdr>
            <w:top w:val="none" w:sz="0" w:space="0" w:color="auto"/>
            <w:left w:val="none" w:sz="0" w:space="0" w:color="auto"/>
            <w:bottom w:val="none" w:sz="0" w:space="0" w:color="auto"/>
            <w:right w:val="none" w:sz="0" w:space="0" w:color="auto"/>
          </w:divBdr>
        </w:div>
        <w:div w:id="1592425304">
          <w:marLeft w:val="0"/>
          <w:marRight w:val="0"/>
          <w:marTop w:val="219"/>
          <w:marBottom w:val="240"/>
          <w:divBdr>
            <w:top w:val="none" w:sz="0" w:space="0" w:color="auto"/>
            <w:left w:val="none" w:sz="0" w:space="0" w:color="auto"/>
            <w:bottom w:val="none" w:sz="0" w:space="0" w:color="auto"/>
            <w:right w:val="none" w:sz="0" w:space="0" w:color="auto"/>
          </w:divBdr>
        </w:div>
      </w:divsChild>
    </w:div>
    <w:div w:id="484130774">
      <w:bodyDiv w:val="1"/>
      <w:marLeft w:val="0"/>
      <w:marRight w:val="0"/>
      <w:marTop w:val="0"/>
      <w:marBottom w:val="0"/>
      <w:divBdr>
        <w:top w:val="none" w:sz="0" w:space="0" w:color="auto"/>
        <w:left w:val="none" w:sz="0" w:space="0" w:color="auto"/>
        <w:bottom w:val="none" w:sz="0" w:space="0" w:color="auto"/>
        <w:right w:val="none" w:sz="0" w:space="0" w:color="auto"/>
      </w:divBdr>
    </w:div>
    <w:div w:id="559681672">
      <w:bodyDiv w:val="1"/>
      <w:marLeft w:val="0"/>
      <w:marRight w:val="0"/>
      <w:marTop w:val="0"/>
      <w:marBottom w:val="0"/>
      <w:divBdr>
        <w:top w:val="none" w:sz="0" w:space="0" w:color="auto"/>
        <w:left w:val="none" w:sz="0" w:space="0" w:color="auto"/>
        <w:bottom w:val="none" w:sz="0" w:space="0" w:color="auto"/>
        <w:right w:val="none" w:sz="0" w:space="0" w:color="auto"/>
      </w:divBdr>
      <w:divsChild>
        <w:div w:id="795413352">
          <w:marLeft w:val="0"/>
          <w:marRight w:val="0"/>
          <w:marTop w:val="0"/>
          <w:marBottom w:val="0"/>
          <w:divBdr>
            <w:top w:val="none" w:sz="0" w:space="0" w:color="auto"/>
            <w:left w:val="none" w:sz="0" w:space="0" w:color="auto"/>
            <w:bottom w:val="none" w:sz="0" w:space="0" w:color="auto"/>
            <w:right w:val="none" w:sz="0" w:space="0" w:color="auto"/>
          </w:divBdr>
          <w:divsChild>
            <w:div w:id="2134977890">
              <w:marLeft w:val="0"/>
              <w:marRight w:val="0"/>
              <w:marTop w:val="0"/>
              <w:marBottom w:val="0"/>
              <w:divBdr>
                <w:top w:val="none" w:sz="0" w:space="0" w:color="auto"/>
                <w:left w:val="none" w:sz="0" w:space="0" w:color="auto"/>
                <w:bottom w:val="none" w:sz="0" w:space="0" w:color="auto"/>
                <w:right w:val="none" w:sz="0" w:space="0" w:color="auto"/>
              </w:divBdr>
              <w:divsChild>
                <w:div w:id="1295915660">
                  <w:marLeft w:val="0"/>
                  <w:marRight w:val="0"/>
                  <w:marTop w:val="0"/>
                  <w:marBottom w:val="0"/>
                  <w:divBdr>
                    <w:top w:val="none" w:sz="0" w:space="0" w:color="auto"/>
                    <w:left w:val="none" w:sz="0" w:space="0" w:color="auto"/>
                    <w:bottom w:val="none" w:sz="0" w:space="0" w:color="auto"/>
                    <w:right w:val="none" w:sz="0" w:space="0" w:color="auto"/>
                  </w:divBdr>
                  <w:divsChild>
                    <w:div w:id="1442147538">
                      <w:marLeft w:val="0"/>
                      <w:marRight w:val="0"/>
                      <w:marTop w:val="0"/>
                      <w:marBottom w:val="0"/>
                      <w:divBdr>
                        <w:top w:val="none" w:sz="0" w:space="0" w:color="auto"/>
                        <w:left w:val="none" w:sz="0" w:space="0" w:color="auto"/>
                        <w:bottom w:val="none" w:sz="0" w:space="0" w:color="auto"/>
                        <w:right w:val="none" w:sz="0" w:space="0" w:color="auto"/>
                      </w:divBdr>
                      <w:divsChild>
                        <w:div w:id="57095624">
                          <w:marLeft w:val="0"/>
                          <w:marRight w:val="0"/>
                          <w:marTop w:val="0"/>
                          <w:marBottom w:val="0"/>
                          <w:divBdr>
                            <w:top w:val="none" w:sz="0" w:space="0" w:color="auto"/>
                            <w:left w:val="none" w:sz="0" w:space="0" w:color="auto"/>
                            <w:bottom w:val="none" w:sz="0" w:space="0" w:color="auto"/>
                            <w:right w:val="none" w:sz="0" w:space="0" w:color="auto"/>
                          </w:divBdr>
                          <w:divsChild>
                            <w:div w:id="846598308">
                              <w:marLeft w:val="0"/>
                              <w:marRight w:val="0"/>
                              <w:marTop w:val="0"/>
                              <w:marBottom w:val="0"/>
                              <w:divBdr>
                                <w:top w:val="none" w:sz="0" w:space="0" w:color="auto"/>
                                <w:left w:val="none" w:sz="0" w:space="0" w:color="auto"/>
                                <w:bottom w:val="none" w:sz="0" w:space="0" w:color="auto"/>
                                <w:right w:val="none" w:sz="0" w:space="0" w:color="auto"/>
                              </w:divBdr>
                              <w:divsChild>
                                <w:div w:id="2038116670">
                                  <w:marLeft w:val="0"/>
                                  <w:marRight w:val="0"/>
                                  <w:marTop w:val="219"/>
                                  <w:marBottom w:val="0"/>
                                  <w:divBdr>
                                    <w:top w:val="none" w:sz="0" w:space="0" w:color="auto"/>
                                    <w:left w:val="none" w:sz="0" w:space="0" w:color="auto"/>
                                    <w:bottom w:val="none" w:sz="0" w:space="0" w:color="auto"/>
                                    <w:right w:val="none" w:sz="0" w:space="0" w:color="auto"/>
                                  </w:divBdr>
                                  <w:divsChild>
                                    <w:div w:id="275873394">
                                      <w:marLeft w:val="0"/>
                                      <w:marRight w:val="0"/>
                                      <w:marTop w:val="260"/>
                                      <w:marBottom w:val="240"/>
                                      <w:divBdr>
                                        <w:top w:val="none" w:sz="0" w:space="0" w:color="auto"/>
                                        <w:left w:val="none" w:sz="0" w:space="0" w:color="auto"/>
                                        <w:bottom w:val="none" w:sz="0" w:space="0" w:color="auto"/>
                                        <w:right w:val="none" w:sz="0" w:space="0" w:color="auto"/>
                                      </w:divBdr>
                                    </w:div>
                                    <w:div w:id="1153981987">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375990">
      <w:bodyDiv w:val="1"/>
      <w:marLeft w:val="0"/>
      <w:marRight w:val="0"/>
      <w:marTop w:val="0"/>
      <w:marBottom w:val="0"/>
      <w:divBdr>
        <w:top w:val="none" w:sz="0" w:space="0" w:color="auto"/>
        <w:left w:val="none" w:sz="0" w:space="0" w:color="auto"/>
        <w:bottom w:val="none" w:sz="0" w:space="0" w:color="auto"/>
        <w:right w:val="none" w:sz="0" w:space="0" w:color="auto"/>
      </w:divBdr>
      <w:divsChild>
        <w:div w:id="820849117">
          <w:marLeft w:val="0"/>
          <w:marRight w:val="0"/>
          <w:marTop w:val="0"/>
          <w:marBottom w:val="0"/>
          <w:divBdr>
            <w:top w:val="none" w:sz="0" w:space="0" w:color="auto"/>
            <w:left w:val="none" w:sz="0" w:space="0" w:color="auto"/>
            <w:bottom w:val="none" w:sz="0" w:space="0" w:color="auto"/>
            <w:right w:val="none" w:sz="0" w:space="0" w:color="auto"/>
          </w:divBdr>
        </w:div>
      </w:divsChild>
    </w:div>
    <w:div w:id="577449195">
      <w:bodyDiv w:val="1"/>
      <w:marLeft w:val="0"/>
      <w:marRight w:val="0"/>
      <w:marTop w:val="0"/>
      <w:marBottom w:val="0"/>
      <w:divBdr>
        <w:top w:val="none" w:sz="0" w:space="0" w:color="auto"/>
        <w:left w:val="none" w:sz="0" w:space="0" w:color="auto"/>
        <w:bottom w:val="none" w:sz="0" w:space="0" w:color="auto"/>
        <w:right w:val="none" w:sz="0" w:space="0" w:color="auto"/>
      </w:divBdr>
      <w:divsChild>
        <w:div w:id="761335561">
          <w:marLeft w:val="0"/>
          <w:marRight w:val="0"/>
          <w:marTop w:val="0"/>
          <w:marBottom w:val="0"/>
          <w:divBdr>
            <w:top w:val="none" w:sz="0" w:space="0" w:color="auto"/>
            <w:left w:val="none" w:sz="0" w:space="0" w:color="auto"/>
            <w:bottom w:val="none" w:sz="0" w:space="0" w:color="auto"/>
            <w:right w:val="none" w:sz="0" w:space="0" w:color="auto"/>
          </w:divBdr>
        </w:div>
        <w:div w:id="1179389762">
          <w:marLeft w:val="0"/>
          <w:marRight w:val="0"/>
          <w:marTop w:val="0"/>
          <w:marBottom w:val="0"/>
          <w:divBdr>
            <w:top w:val="none" w:sz="0" w:space="0" w:color="auto"/>
            <w:left w:val="none" w:sz="0" w:space="0" w:color="auto"/>
            <w:bottom w:val="none" w:sz="0" w:space="0" w:color="auto"/>
            <w:right w:val="none" w:sz="0" w:space="0" w:color="auto"/>
          </w:divBdr>
        </w:div>
        <w:div w:id="1427581152">
          <w:marLeft w:val="0"/>
          <w:marRight w:val="0"/>
          <w:marTop w:val="0"/>
          <w:marBottom w:val="0"/>
          <w:divBdr>
            <w:top w:val="none" w:sz="0" w:space="0" w:color="auto"/>
            <w:left w:val="none" w:sz="0" w:space="0" w:color="auto"/>
            <w:bottom w:val="none" w:sz="0" w:space="0" w:color="auto"/>
            <w:right w:val="none" w:sz="0" w:space="0" w:color="auto"/>
          </w:divBdr>
        </w:div>
      </w:divsChild>
    </w:div>
    <w:div w:id="693113414">
      <w:bodyDiv w:val="1"/>
      <w:marLeft w:val="0"/>
      <w:marRight w:val="0"/>
      <w:marTop w:val="0"/>
      <w:marBottom w:val="0"/>
      <w:divBdr>
        <w:top w:val="none" w:sz="0" w:space="0" w:color="auto"/>
        <w:left w:val="none" w:sz="0" w:space="0" w:color="auto"/>
        <w:bottom w:val="none" w:sz="0" w:space="0" w:color="auto"/>
        <w:right w:val="none" w:sz="0" w:space="0" w:color="auto"/>
      </w:divBdr>
    </w:div>
    <w:div w:id="772170090">
      <w:bodyDiv w:val="1"/>
      <w:marLeft w:val="0"/>
      <w:marRight w:val="0"/>
      <w:marTop w:val="0"/>
      <w:marBottom w:val="0"/>
      <w:divBdr>
        <w:top w:val="none" w:sz="0" w:space="0" w:color="auto"/>
        <w:left w:val="none" w:sz="0" w:space="0" w:color="auto"/>
        <w:bottom w:val="none" w:sz="0" w:space="0" w:color="auto"/>
        <w:right w:val="none" w:sz="0" w:space="0" w:color="auto"/>
      </w:divBdr>
    </w:div>
    <w:div w:id="772555184">
      <w:bodyDiv w:val="1"/>
      <w:marLeft w:val="0"/>
      <w:marRight w:val="0"/>
      <w:marTop w:val="0"/>
      <w:marBottom w:val="0"/>
      <w:divBdr>
        <w:top w:val="none" w:sz="0" w:space="0" w:color="auto"/>
        <w:left w:val="none" w:sz="0" w:space="0" w:color="auto"/>
        <w:bottom w:val="none" w:sz="0" w:space="0" w:color="auto"/>
        <w:right w:val="none" w:sz="0" w:space="0" w:color="auto"/>
      </w:divBdr>
    </w:div>
    <w:div w:id="846484740">
      <w:bodyDiv w:val="1"/>
      <w:marLeft w:val="0"/>
      <w:marRight w:val="0"/>
      <w:marTop w:val="0"/>
      <w:marBottom w:val="0"/>
      <w:divBdr>
        <w:top w:val="none" w:sz="0" w:space="0" w:color="auto"/>
        <w:left w:val="none" w:sz="0" w:space="0" w:color="auto"/>
        <w:bottom w:val="none" w:sz="0" w:space="0" w:color="auto"/>
        <w:right w:val="none" w:sz="0" w:space="0" w:color="auto"/>
      </w:divBdr>
    </w:div>
    <w:div w:id="858811395">
      <w:bodyDiv w:val="1"/>
      <w:marLeft w:val="0"/>
      <w:marRight w:val="0"/>
      <w:marTop w:val="0"/>
      <w:marBottom w:val="0"/>
      <w:divBdr>
        <w:top w:val="none" w:sz="0" w:space="0" w:color="auto"/>
        <w:left w:val="none" w:sz="0" w:space="0" w:color="auto"/>
        <w:bottom w:val="none" w:sz="0" w:space="0" w:color="auto"/>
        <w:right w:val="none" w:sz="0" w:space="0" w:color="auto"/>
      </w:divBdr>
    </w:div>
    <w:div w:id="1078938882">
      <w:bodyDiv w:val="1"/>
      <w:marLeft w:val="0"/>
      <w:marRight w:val="0"/>
      <w:marTop w:val="0"/>
      <w:marBottom w:val="0"/>
      <w:divBdr>
        <w:top w:val="none" w:sz="0" w:space="0" w:color="auto"/>
        <w:left w:val="none" w:sz="0" w:space="0" w:color="auto"/>
        <w:bottom w:val="none" w:sz="0" w:space="0" w:color="auto"/>
        <w:right w:val="none" w:sz="0" w:space="0" w:color="auto"/>
      </w:divBdr>
    </w:div>
    <w:div w:id="1123882734">
      <w:bodyDiv w:val="1"/>
      <w:marLeft w:val="0"/>
      <w:marRight w:val="0"/>
      <w:marTop w:val="0"/>
      <w:marBottom w:val="0"/>
      <w:divBdr>
        <w:top w:val="none" w:sz="0" w:space="0" w:color="auto"/>
        <w:left w:val="none" w:sz="0" w:space="0" w:color="auto"/>
        <w:bottom w:val="none" w:sz="0" w:space="0" w:color="auto"/>
        <w:right w:val="none" w:sz="0" w:space="0" w:color="auto"/>
      </w:divBdr>
      <w:divsChild>
        <w:div w:id="1895044910">
          <w:marLeft w:val="0"/>
          <w:marRight w:val="0"/>
          <w:marTop w:val="0"/>
          <w:marBottom w:val="0"/>
          <w:divBdr>
            <w:top w:val="none" w:sz="0" w:space="0" w:color="auto"/>
            <w:left w:val="none" w:sz="0" w:space="0" w:color="auto"/>
            <w:bottom w:val="none" w:sz="0" w:space="0" w:color="auto"/>
            <w:right w:val="none" w:sz="0" w:space="0" w:color="auto"/>
          </w:divBdr>
          <w:divsChild>
            <w:div w:id="1150563965">
              <w:marLeft w:val="0"/>
              <w:marRight w:val="0"/>
              <w:marTop w:val="0"/>
              <w:marBottom w:val="0"/>
              <w:divBdr>
                <w:top w:val="none" w:sz="0" w:space="0" w:color="auto"/>
                <w:left w:val="none" w:sz="0" w:space="0" w:color="auto"/>
                <w:bottom w:val="none" w:sz="0" w:space="0" w:color="auto"/>
                <w:right w:val="none" w:sz="0" w:space="0" w:color="auto"/>
              </w:divBdr>
              <w:divsChild>
                <w:div w:id="512643783">
                  <w:marLeft w:val="0"/>
                  <w:marRight w:val="0"/>
                  <w:marTop w:val="0"/>
                  <w:marBottom w:val="0"/>
                  <w:divBdr>
                    <w:top w:val="none" w:sz="0" w:space="0" w:color="auto"/>
                    <w:left w:val="none" w:sz="0" w:space="0" w:color="auto"/>
                    <w:bottom w:val="none" w:sz="0" w:space="0" w:color="auto"/>
                    <w:right w:val="none" w:sz="0" w:space="0" w:color="auto"/>
                  </w:divBdr>
                  <w:divsChild>
                    <w:div w:id="1558249586">
                      <w:marLeft w:val="0"/>
                      <w:marRight w:val="300"/>
                      <w:marTop w:val="0"/>
                      <w:marBottom w:val="0"/>
                      <w:divBdr>
                        <w:top w:val="none" w:sz="0" w:space="0" w:color="auto"/>
                        <w:left w:val="none" w:sz="0" w:space="0" w:color="auto"/>
                        <w:bottom w:val="none" w:sz="0" w:space="0" w:color="auto"/>
                        <w:right w:val="none" w:sz="0" w:space="0" w:color="auto"/>
                      </w:divBdr>
                      <w:divsChild>
                        <w:div w:id="2068334316">
                          <w:marLeft w:val="0"/>
                          <w:marRight w:val="0"/>
                          <w:marTop w:val="0"/>
                          <w:marBottom w:val="0"/>
                          <w:divBdr>
                            <w:top w:val="none" w:sz="0" w:space="0" w:color="auto"/>
                            <w:left w:val="none" w:sz="0" w:space="0" w:color="auto"/>
                            <w:bottom w:val="none" w:sz="0" w:space="0" w:color="auto"/>
                            <w:right w:val="none" w:sz="0" w:space="0" w:color="auto"/>
                          </w:divBdr>
                          <w:divsChild>
                            <w:div w:id="6230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1340">
      <w:bodyDiv w:val="1"/>
      <w:marLeft w:val="0"/>
      <w:marRight w:val="0"/>
      <w:marTop w:val="0"/>
      <w:marBottom w:val="0"/>
      <w:divBdr>
        <w:top w:val="none" w:sz="0" w:space="0" w:color="auto"/>
        <w:left w:val="none" w:sz="0" w:space="0" w:color="auto"/>
        <w:bottom w:val="none" w:sz="0" w:space="0" w:color="auto"/>
        <w:right w:val="none" w:sz="0" w:space="0" w:color="auto"/>
      </w:divBdr>
    </w:div>
    <w:div w:id="1313558920">
      <w:bodyDiv w:val="1"/>
      <w:marLeft w:val="0"/>
      <w:marRight w:val="0"/>
      <w:marTop w:val="0"/>
      <w:marBottom w:val="0"/>
      <w:divBdr>
        <w:top w:val="none" w:sz="0" w:space="0" w:color="auto"/>
        <w:left w:val="none" w:sz="0" w:space="0" w:color="auto"/>
        <w:bottom w:val="none" w:sz="0" w:space="0" w:color="auto"/>
        <w:right w:val="none" w:sz="0" w:space="0" w:color="auto"/>
      </w:divBdr>
      <w:divsChild>
        <w:div w:id="50422231">
          <w:marLeft w:val="0"/>
          <w:marRight w:val="0"/>
          <w:marTop w:val="219"/>
          <w:marBottom w:val="0"/>
          <w:divBdr>
            <w:top w:val="none" w:sz="0" w:space="0" w:color="auto"/>
            <w:left w:val="none" w:sz="0" w:space="0" w:color="auto"/>
            <w:bottom w:val="none" w:sz="0" w:space="0" w:color="auto"/>
            <w:right w:val="none" w:sz="0" w:space="0" w:color="auto"/>
          </w:divBdr>
        </w:div>
        <w:div w:id="431165636">
          <w:marLeft w:val="0"/>
          <w:marRight w:val="0"/>
          <w:marTop w:val="219"/>
          <w:marBottom w:val="0"/>
          <w:divBdr>
            <w:top w:val="none" w:sz="0" w:space="0" w:color="auto"/>
            <w:left w:val="none" w:sz="0" w:space="0" w:color="auto"/>
            <w:bottom w:val="none" w:sz="0" w:space="0" w:color="auto"/>
            <w:right w:val="none" w:sz="0" w:space="0" w:color="auto"/>
          </w:divBdr>
        </w:div>
        <w:div w:id="779179067">
          <w:marLeft w:val="0"/>
          <w:marRight w:val="0"/>
          <w:marTop w:val="219"/>
          <w:marBottom w:val="0"/>
          <w:divBdr>
            <w:top w:val="none" w:sz="0" w:space="0" w:color="auto"/>
            <w:left w:val="none" w:sz="0" w:space="0" w:color="auto"/>
            <w:bottom w:val="none" w:sz="0" w:space="0" w:color="auto"/>
            <w:right w:val="none" w:sz="0" w:space="0" w:color="auto"/>
          </w:divBdr>
        </w:div>
      </w:divsChild>
    </w:div>
    <w:div w:id="1314674070">
      <w:bodyDiv w:val="1"/>
      <w:marLeft w:val="0"/>
      <w:marRight w:val="0"/>
      <w:marTop w:val="0"/>
      <w:marBottom w:val="0"/>
      <w:divBdr>
        <w:top w:val="none" w:sz="0" w:space="0" w:color="auto"/>
        <w:left w:val="none" w:sz="0" w:space="0" w:color="auto"/>
        <w:bottom w:val="none" w:sz="0" w:space="0" w:color="auto"/>
        <w:right w:val="none" w:sz="0" w:space="0" w:color="auto"/>
      </w:divBdr>
    </w:div>
    <w:div w:id="1387098114">
      <w:bodyDiv w:val="1"/>
      <w:marLeft w:val="0"/>
      <w:marRight w:val="0"/>
      <w:marTop w:val="0"/>
      <w:marBottom w:val="0"/>
      <w:divBdr>
        <w:top w:val="none" w:sz="0" w:space="0" w:color="auto"/>
        <w:left w:val="none" w:sz="0" w:space="0" w:color="auto"/>
        <w:bottom w:val="none" w:sz="0" w:space="0" w:color="auto"/>
        <w:right w:val="none" w:sz="0" w:space="0" w:color="auto"/>
      </w:divBdr>
    </w:div>
    <w:div w:id="1397437549">
      <w:bodyDiv w:val="1"/>
      <w:marLeft w:val="0"/>
      <w:marRight w:val="0"/>
      <w:marTop w:val="0"/>
      <w:marBottom w:val="0"/>
      <w:divBdr>
        <w:top w:val="none" w:sz="0" w:space="0" w:color="auto"/>
        <w:left w:val="none" w:sz="0" w:space="0" w:color="auto"/>
        <w:bottom w:val="none" w:sz="0" w:space="0" w:color="auto"/>
        <w:right w:val="none" w:sz="0" w:space="0" w:color="auto"/>
      </w:divBdr>
    </w:div>
    <w:div w:id="1446385692">
      <w:bodyDiv w:val="1"/>
      <w:marLeft w:val="0"/>
      <w:marRight w:val="0"/>
      <w:marTop w:val="0"/>
      <w:marBottom w:val="0"/>
      <w:divBdr>
        <w:top w:val="none" w:sz="0" w:space="0" w:color="auto"/>
        <w:left w:val="none" w:sz="0" w:space="0" w:color="auto"/>
        <w:bottom w:val="none" w:sz="0" w:space="0" w:color="auto"/>
        <w:right w:val="none" w:sz="0" w:space="0" w:color="auto"/>
      </w:divBdr>
    </w:div>
    <w:div w:id="1519659614">
      <w:bodyDiv w:val="1"/>
      <w:marLeft w:val="0"/>
      <w:marRight w:val="0"/>
      <w:marTop w:val="0"/>
      <w:marBottom w:val="0"/>
      <w:divBdr>
        <w:top w:val="none" w:sz="0" w:space="0" w:color="auto"/>
        <w:left w:val="none" w:sz="0" w:space="0" w:color="auto"/>
        <w:bottom w:val="none" w:sz="0" w:space="0" w:color="auto"/>
        <w:right w:val="none" w:sz="0" w:space="0" w:color="auto"/>
      </w:divBdr>
      <w:divsChild>
        <w:div w:id="1745486947">
          <w:marLeft w:val="0"/>
          <w:marRight w:val="0"/>
          <w:marTop w:val="219"/>
          <w:marBottom w:val="0"/>
          <w:divBdr>
            <w:top w:val="none" w:sz="0" w:space="0" w:color="auto"/>
            <w:left w:val="none" w:sz="0" w:space="0" w:color="auto"/>
            <w:bottom w:val="none" w:sz="0" w:space="0" w:color="auto"/>
            <w:right w:val="none" w:sz="0" w:space="0" w:color="auto"/>
          </w:divBdr>
        </w:div>
      </w:divsChild>
    </w:div>
    <w:div w:id="1522474305">
      <w:bodyDiv w:val="1"/>
      <w:marLeft w:val="0"/>
      <w:marRight w:val="0"/>
      <w:marTop w:val="0"/>
      <w:marBottom w:val="0"/>
      <w:divBdr>
        <w:top w:val="none" w:sz="0" w:space="0" w:color="auto"/>
        <w:left w:val="none" w:sz="0" w:space="0" w:color="auto"/>
        <w:bottom w:val="none" w:sz="0" w:space="0" w:color="auto"/>
        <w:right w:val="none" w:sz="0" w:space="0" w:color="auto"/>
      </w:divBdr>
    </w:div>
    <w:div w:id="1665401508">
      <w:bodyDiv w:val="1"/>
      <w:marLeft w:val="0"/>
      <w:marRight w:val="0"/>
      <w:marTop w:val="0"/>
      <w:marBottom w:val="0"/>
      <w:divBdr>
        <w:top w:val="none" w:sz="0" w:space="0" w:color="auto"/>
        <w:left w:val="none" w:sz="0" w:space="0" w:color="auto"/>
        <w:bottom w:val="none" w:sz="0" w:space="0" w:color="auto"/>
        <w:right w:val="none" w:sz="0" w:space="0" w:color="auto"/>
      </w:divBdr>
      <w:divsChild>
        <w:div w:id="65151318">
          <w:marLeft w:val="0"/>
          <w:marRight w:val="0"/>
          <w:marTop w:val="0"/>
          <w:marBottom w:val="0"/>
          <w:divBdr>
            <w:top w:val="none" w:sz="0" w:space="0" w:color="auto"/>
            <w:left w:val="none" w:sz="0" w:space="0" w:color="auto"/>
            <w:bottom w:val="none" w:sz="0" w:space="0" w:color="auto"/>
            <w:right w:val="none" w:sz="0" w:space="0" w:color="auto"/>
          </w:divBdr>
        </w:div>
        <w:div w:id="1441681504">
          <w:marLeft w:val="0"/>
          <w:marRight w:val="0"/>
          <w:marTop w:val="0"/>
          <w:marBottom w:val="0"/>
          <w:divBdr>
            <w:top w:val="none" w:sz="0" w:space="0" w:color="auto"/>
            <w:left w:val="none" w:sz="0" w:space="0" w:color="auto"/>
            <w:bottom w:val="none" w:sz="0" w:space="0" w:color="auto"/>
            <w:right w:val="none" w:sz="0" w:space="0" w:color="auto"/>
          </w:divBdr>
        </w:div>
      </w:divsChild>
    </w:div>
    <w:div w:id="1755543082">
      <w:bodyDiv w:val="1"/>
      <w:marLeft w:val="0"/>
      <w:marRight w:val="0"/>
      <w:marTop w:val="0"/>
      <w:marBottom w:val="0"/>
      <w:divBdr>
        <w:top w:val="none" w:sz="0" w:space="0" w:color="auto"/>
        <w:left w:val="none" w:sz="0" w:space="0" w:color="auto"/>
        <w:bottom w:val="none" w:sz="0" w:space="0" w:color="auto"/>
        <w:right w:val="none" w:sz="0" w:space="0" w:color="auto"/>
      </w:divBdr>
      <w:divsChild>
        <w:div w:id="993414284">
          <w:marLeft w:val="0"/>
          <w:marRight w:val="0"/>
          <w:marTop w:val="0"/>
          <w:marBottom w:val="0"/>
          <w:divBdr>
            <w:top w:val="none" w:sz="0" w:space="0" w:color="auto"/>
            <w:left w:val="none" w:sz="0" w:space="0" w:color="auto"/>
            <w:bottom w:val="none" w:sz="0" w:space="0" w:color="auto"/>
            <w:right w:val="none" w:sz="0" w:space="0" w:color="auto"/>
          </w:divBdr>
        </w:div>
        <w:div w:id="1019937448">
          <w:marLeft w:val="0"/>
          <w:marRight w:val="0"/>
          <w:marTop w:val="0"/>
          <w:marBottom w:val="0"/>
          <w:divBdr>
            <w:top w:val="none" w:sz="0" w:space="0" w:color="auto"/>
            <w:left w:val="none" w:sz="0" w:space="0" w:color="auto"/>
            <w:bottom w:val="none" w:sz="0" w:space="0" w:color="auto"/>
            <w:right w:val="none" w:sz="0" w:space="0" w:color="auto"/>
          </w:divBdr>
        </w:div>
      </w:divsChild>
    </w:div>
    <w:div w:id="1805275446">
      <w:bodyDiv w:val="1"/>
      <w:marLeft w:val="0"/>
      <w:marRight w:val="0"/>
      <w:marTop w:val="0"/>
      <w:marBottom w:val="0"/>
      <w:divBdr>
        <w:top w:val="none" w:sz="0" w:space="0" w:color="auto"/>
        <w:left w:val="none" w:sz="0" w:space="0" w:color="auto"/>
        <w:bottom w:val="none" w:sz="0" w:space="0" w:color="auto"/>
        <w:right w:val="none" w:sz="0" w:space="0" w:color="auto"/>
      </w:divBdr>
      <w:divsChild>
        <w:div w:id="913205648">
          <w:marLeft w:val="0"/>
          <w:marRight w:val="0"/>
          <w:marTop w:val="0"/>
          <w:marBottom w:val="0"/>
          <w:divBdr>
            <w:top w:val="none" w:sz="0" w:space="0" w:color="auto"/>
            <w:left w:val="none" w:sz="0" w:space="0" w:color="auto"/>
            <w:bottom w:val="none" w:sz="0" w:space="0" w:color="auto"/>
            <w:right w:val="none" w:sz="0" w:space="0" w:color="auto"/>
          </w:divBdr>
          <w:divsChild>
            <w:div w:id="436019791">
              <w:marLeft w:val="0"/>
              <w:marRight w:val="0"/>
              <w:marTop w:val="0"/>
              <w:marBottom w:val="0"/>
              <w:divBdr>
                <w:top w:val="none" w:sz="0" w:space="0" w:color="auto"/>
                <w:left w:val="none" w:sz="0" w:space="0" w:color="auto"/>
                <w:bottom w:val="none" w:sz="0" w:space="0" w:color="auto"/>
                <w:right w:val="none" w:sz="0" w:space="0" w:color="auto"/>
              </w:divBdr>
              <w:divsChild>
                <w:div w:id="245505023">
                  <w:marLeft w:val="0"/>
                  <w:marRight w:val="0"/>
                  <w:marTop w:val="0"/>
                  <w:marBottom w:val="0"/>
                  <w:divBdr>
                    <w:top w:val="none" w:sz="0" w:space="0" w:color="auto"/>
                    <w:left w:val="none" w:sz="0" w:space="0" w:color="auto"/>
                    <w:bottom w:val="none" w:sz="0" w:space="0" w:color="auto"/>
                    <w:right w:val="none" w:sz="0" w:space="0" w:color="auto"/>
                  </w:divBdr>
                  <w:divsChild>
                    <w:div w:id="1551653424">
                      <w:marLeft w:val="0"/>
                      <w:marRight w:val="0"/>
                      <w:marTop w:val="0"/>
                      <w:marBottom w:val="0"/>
                      <w:divBdr>
                        <w:top w:val="none" w:sz="0" w:space="0" w:color="auto"/>
                        <w:left w:val="none" w:sz="0" w:space="0" w:color="auto"/>
                        <w:bottom w:val="none" w:sz="0" w:space="0" w:color="auto"/>
                        <w:right w:val="none" w:sz="0" w:space="0" w:color="auto"/>
                      </w:divBdr>
                      <w:divsChild>
                        <w:div w:id="796528884">
                          <w:marLeft w:val="0"/>
                          <w:marRight w:val="0"/>
                          <w:marTop w:val="0"/>
                          <w:marBottom w:val="0"/>
                          <w:divBdr>
                            <w:top w:val="none" w:sz="0" w:space="0" w:color="auto"/>
                            <w:left w:val="none" w:sz="0" w:space="0" w:color="auto"/>
                            <w:bottom w:val="none" w:sz="0" w:space="0" w:color="auto"/>
                            <w:right w:val="none" w:sz="0" w:space="0" w:color="auto"/>
                          </w:divBdr>
                          <w:divsChild>
                            <w:div w:id="801922780">
                              <w:marLeft w:val="0"/>
                              <w:marRight w:val="0"/>
                              <w:marTop w:val="0"/>
                              <w:marBottom w:val="0"/>
                              <w:divBdr>
                                <w:top w:val="none" w:sz="0" w:space="0" w:color="auto"/>
                                <w:left w:val="none" w:sz="0" w:space="0" w:color="auto"/>
                                <w:bottom w:val="none" w:sz="0" w:space="0" w:color="auto"/>
                                <w:right w:val="none" w:sz="0" w:space="0" w:color="auto"/>
                              </w:divBdr>
                              <w:divsChild>
                                <w:div w:id="380791797">
                                  <w:marLeft w:val="0"/>
                                  <w:marRight w:val="0"/>
                                  <w:marTop w:val="219"/>
                                  <w:marBottom w:val="0"/>
                                  <w:divBdr>
                                    <w:top w:val="none" w:sz="0" w:space="0" w:color="auto"/>
                                    <w:left w:val="none" w:sz="0" w:space="0" w:color="auto"/>
                                    <w:bottom w:val="none" w:sz="0" w:space="0" w:color="auto"/>
                                    <w:right w:val="none" w:sz="0" w:space="0" w:color="auto"/>
                                  </w:divBdr>
                                  <w:divsChild>
                                    <w:div w:id="13464126">
                                      <w:marLeft w:val="0"/>
                                      <w:marRight w:val="0"/>
                                      <w:marTop w:val="260"/>
                                      <w:marBottom w:val="240"/>
                                      <w:divBdr>
                                        <w:top w:val="none" w:sz="0" w:space="0" w:color="auto"/>
                                        <w:left w:val="none" w:sz="0" w:space="0" w:color="auto"/>
                                        <w:bottom w:val="none" w:sz="0" w:space="0" w:color="auto"/>
                                        <w:right w:val="none" w:sz="0" w:space="0" w:color="auto"/>
                                      </w:divBdr>
                                      <w:divsChild>
                                        <w:div w:id="176845301">
                                          <w:marLeft w:val="0"/>
                                          <w:marRight w:val="0"/>
                                          <w:marTop w:val="219"/>
                                          <w:marBottom w:val="0"/>
                                          <w:divBdr>
                                            <w:top w:val="none" w:sz="0" w:space="0" w:color="auto"/>
                                            <w:left w:val="none" w:sz="0" w:space="0" w:color="auto"/>
                                            <w:bottom w:val="none" w:sz="0" w:space="0" w:color="auto"/>
                                            <w:right w:val="none" w:sz="0" w:space="0" w:color="auto"/>
                                          </w:divBdr>
                                        </w:div>
                                        <w:div w:id="310182013">
                                          <w:marLeft w:val="0"/>
                                          <w:marRight w:val="0"/>
                                          <w:marTop w:val="219"/>
                                          <w:marBottom w:val="0"/>
                                          <w:divBdr>
                                            <w:top w:val="none" w:sz="0" w:space="0" w:color="auto"/>
                                            <w:left w:val="none" w:sz="0" w:space="0" w:color="auto"/>
                                            <w:bottom w:val="none" w:sz="0" w:space="0" w:color="auto"/>
                                            <w:right w:val="none" w:sz="0" w:space="0" w:color="auto"/>
                                          </w:divBdr>
                                        </w:div>
                                        <w:div w:id="332296212">
                                          <w:marLeft w:val="0"/>
                                          <w:marRight w:val="0"/>
                                          <w:marTop w:val="219"/>
                                          <w:marBottom w:val="0"/>
                                          <w:divBdr>
                                            <w:top w:val="none" w:sz="0" w:space="0" w:color="auto"/>
                                            <w:left w:val="none" w:sz="0" w:space="0" w:color="auto"/>
                                            <w:bottom w:val="none" w:sz="0" w:space="0" w:color="auto"/>
                                            <w:right w:val="none" w:sz="0" w:space="0" w:color="auto"/>
                                          </w:divBdr>
                                        </w:div>
                                        <w:div w:id="631713941">
                                          <w:marLeft w:val="0"/>
                                          <w:marRight w:val="0"/>
                                          <w:marTop w:val="219"/>
                                          <w:marBottom w:val="0"/>
                                          <w:divBdr>
                                            <w:top w:val="none" w:sz="0" w:space="0" w:color="auto"/>
                                            <w:left w:val="none" w:sz="0" w:space="0" w:color="auto"/>
                                            <w:bottom w:val="none" w:sz="0" w:space="0" w:color="auto"/>
                                            <w:right w:val="none" w:sz="0" w:space="0" w:color="auto"/>
                                          </w:divBdr>
                                        </w:div>
                                        <w:div w:id="1159346170">
                                          <w:marLeft w:val="0"/>
                                          <w:marRight w:val="0"/>
                                          <w:marTop w:val="219"/>
                                          <w:marBottom w:val="0"/>
                                          <w:divBdr>
                                            <w:top w:val="none" w:sz="0" w:space="0" w:color="auto"/>
                                            <w:left w:val="none" w:sz="0" w:space="0" w:color="auto"/>
                                            <w:bottom w:val="none" w:sz="0" w:space="0" w:color="auto"/>
                                            <w:right w:val="none" w:sz="0" w:space="0" w:color="auto"/>
                                          </w:divBdr>
                                        </w:div>
                                        <w:div w:id="1169364076">
                                          <w:marLeft w:val="0"/>
                                          <w:marRight w:val="0"/>
                                          <w:marTop w:val="219"/>
                                          <w:marBottom w:val="0"/>
                                          <w:divBdr>
                                            <w:top w:val="none" w:sz="0" w:space="0" w:color="auto"/>
                                            <w:left w:val="none" w:sz="0" w:space="0" w:color="auto"/>
                                            <w:bottom w:val="none" w:sz="0" w:space="0" w:color="auto"/>
                                            <w:right w:val="none" w:sz="0" w:space="0" w:color="auto"/>
                                          </w:divBdr>
                                        </w:div>
                                        <w:div w:id="1362171411">
                                          <w:marLeft w:val="0"/>
                                          <w:marRight w:val="0"/>
                                          <w:marTop w:val="219"/>
                                          <w:marBottom w:val="0"/>
                                          <w:divBdr>
                                            <w:top w:val="none" w:sz="0" w:space="0" w:color="auto"/>
                                            <w:left w:val="none" w:sz="0" w:space="0" w:color="auto"/>
                                            <w:bottom w:val="none" w:sz="0" w:space="0" w:color="auto"/>
                                            <w:right w:val="none" w:sz="0" w:space="0" w:color="auto"/>
                                          </w:divBdr>
                                        </w:div>
                                        <w:div w:id="1431897601">
                                          <w:marLeft w:val="0"/>
                                          <w:marRight w:val="0"/>
                                          <w:marTop w:val="219"/>
                                          <w:marBottom w:val="0"/>
                                          <w:divBdr>
                                            <w:top w:val="none" w:sz="0" w:space="0" w:color="auto"/>
                                            <w:left w:val="none" w:sz="0" w:space="0" w:color="auto"/>
                                            <w:bottom w:val="none" w:sz="0" w:space="0" w:color="auto"/>
                                            <w:right w:val="none" w:sz="0" w:space="0" w:color="auto"/>
                                          </w:divBdr>
                                        </w:div>
                                        <w:div w:id="1597328826">
                                          <w:marLeft w:val="0"/>
                                          <w:marRight w:val="0"/>
                                          <w:marTop w:val="219"/>
                                          <w:marBottom w:val="0"/>
                                          <w:divBdr>
                                            <w:top w:val="none" w:sz="0" w:space="0" w:color="auto"/>
                                            <w:left w:val="none" w:sz="0" w:space="0" w:color="auto"/>
                                            <w:bottom w:val="none" w:sz="0" w:space="0" w:color="auto"/>
                                            <w:right w:val="none" w:sz="0" w:space="0" w:color="auto"/>
                                          </w:divBdr>
                                        </w:div>
                                        <w:div w:id="1759711949">
                                          <w:marLeft w:val="0"/>
                                          <w:marRight w:val="0"/>
                                          <w:marTop w:val="219"/>
                                          <w:marBottom w:val="0"/>
                                          <w:divBdr>
                                            <w:top w:val="none" w:sz="0" w:space="0" w:color="auto"/>
                                            <w:left w:val="none" w:sz="0" w:space="0" w:color="auto"/>
                                            <w:bottom w:val="none" w:sz="0" w:space="0" w:color="auto"/>
                                            <w:right w:val="none" w:sz="0" w:space="0" w:color="auto"/>
                                          </w:divBdr>
                                        </w:div>
                                        <w:div w:id="1760905499">
                                          <w:marLeft w:val="0"/>
                                          <w:marRight w:val="0"/>
                                          <w:marTop w:val="219"/>
                                          <w:marBottom w:val="0"/>
                                          <w:divBdr>
                                            <w:top w:val="none" w:sz="0" w:space="0" w:color="auto"/>
                                            <w:left w:val="none" w:sz="0" w:space="0" w:color="auto"/>
                                            <w:bottom w:val="none" w:sz="0" w:space="0" w:color="auto"/>
                                            <w:right w:val="none" w:sz="0" w:space="0" w:color="auto"/>
                                          </w:divBdr>
                                        </w:div>
                                        <w:div w:id="1928421293">
                                          <w:marLeft w:val="0"/>
                                          <w:marRight w:val="0"/>
                                          <w:marTop w:val="219"/>
                                          <w:marBottom w:val="0"/>
                                          <w:divBdr>
                                            <w:top w:val="none" w:sz="0" w:space="0" w:color="auto"/>
                                            <w:left w:val="none" w:sz="0" w:space="0" w:color="auto"/>
                                            <w:bottom w:val="none" w:sz="0" w:space="0" w:color="auto"/>
                                            <w:right w:val="none" w:sz="0" w:space="0" w:color="auto"/>
                                          </w:divBdr>
                                        </w:div>
                                      </w:divsChild>
                                    </w:div>
                                    <w:div w:id="79378042">
                                      <w:marLeft w:val="0"/>
                                      <w:marRight w:val="0"/>
                                      <w:marTop w:val="260"/>
                                      <w:marBottom w:val="240"/>
                                      <w:divBdr>
                                        <w:top w:val="none" w:sz="0" w:space="0" w:color="auto"/>
                                        <w:left w:val="none" w:sz="0" w:space="0" w:color="auto"/>
                                        <w:bottom w:val="none" w:sz="0" w:space="0" w:color="auto"/>
                                        <w:right w:val="none" w:sz="0" w:space="0" w:color="auto"/>
                                      </w:divBdr>
                                    </w:div>
                                    <w:div w:id="262300856">
                                      <w:marLeft w:val="0"/>
                                      <w:marRight w:val="0"/>
                                      <w:marTop w:val="260"/>
                                      <w:marBottom w:val="240"/>
                                      <w:divBdr>
                                        <w:top w:val="none" w:sz="0" w:space="0" w:color="auto"/>
                                        <w:left w:val="none" w:sz="0" w:space="0" w:color="auto"/>
                                        <w:bottom w:val="none" w:sz="0" w:space="0" w:color="auto"/>
                                        <w:right w:val="none" w:sz="0" w:space="0" w:color="auto"/>
                                      </w:divBdr>
                                    </w:div>
                                    <w:div w:id="181221327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635594">
      <w:bodyDiv w:val="1"/>
      <w:marLeft w:val="0"/>
      <w:marRight w:val="0"/>
      <w:marTop w:val="0"/>
      <w:marBottom w:val="0"/>
      <w:divBdr>
        <w:top w:val="none" w:sz="0" w:space="0" w:color="auto"/>
        <w:left w:val="none" w:sz="0" w:space="0" w:color="auto"/>
        <w:bottom w:val="none" w:sz="0" w:space="0" w:color="auto"/>
        <w:right w:val="none" w:sz="0" w:space="0" w:color="auto"/>
      </w:divBdr>
    </w:div>
    <w:div w:id="2055692299">
      <w:bodyDiv w:val="1"/>
      <w:marLeft w:val="0"/>
      <w:marRight w:val="0"/>
      <w:marTop w:val="0"/>
      <w:marBottom w:val="0"/>
      <w:divBdr>
        <w:top w:val="none" w:sz="0" w:space="0" w:color="auto"/>
        <w:left w:val="none" w:sz="0" w:space="0" w:color="auto"/>
        <w:bottom w:val="none" w:sz="0" w:space="0" w:color="auto"/>
        <w:right w:val="none" w:sz="0" w:space="0" w:color="auto"/>
      </w:divBdr>
      <w:divsChild>
        <w:div w:id="1187450424">
          <w:marLeft w:val="0"/>
          <w:marRight w:val="0"/>
          <w:marTop w:val="260"/>
          <w:marBottom w:val="240"/>
          <w:divBdr>
            <w:top w:val="none" w:sz="0" w:space="0" w:color="auto"/>
            <w:left w:val="none" w:sz="0" w:space="0" w:color="auto"/>
            <w:bottom w:val="none" w:sz="0" w:space="0" w:color="auto"/>
            <w:right w:val="none" w:sz="0" w:space="0" w:color="auto"/>
          </w:divBdr>
        </w:div>
        <w:div w:id="1457718377">
          <w:marLeft w:val="0"/>
          <w:marRight w:val="0"/>
          <w:marTop w:val="260"/>
          <w:marBottom w:val="240"/>
          <w:divBdr>
            <w:top w:val="none" w:sz="0" w:space="0" w:color="auto"/>
            <w:left w:val="none" w:sz="0" w:space="0" w:color="auto"/>
            <w:bottom w:val="none" w:sz="0" w:space="0" w:color="auto"/>
            <w:right w:val="none" w:sz="0" w:space="0" w:color="auto"/>
          </w:divBdr>
        </w:div>
        <w:div w:id="1819569846">
          <w:marLeft w:val="0"/>
          <w:marRight w:val="0"/>
          <w:marTop w:val="219"/>
          <w:marBottom w:val="240"/>
          <w:divBdr>
            <w:top w:val="none" w:sz="0" w:space="0" w:color="auto"/>
            <w:left w:val="none" w:sz="0" w:space="0" w:color="auto"/>
            <w:bottom w:val="none" w:sz="0" w:space="0" w:color="auto"/>
            <w:right w:val="none" w:sz="0" w:space="0" w:color="auto"/>
          </w:divBdr>
          <w:divsChild>
            <w:div w:id="303201742">
              <w:marLeft w:val="0"/>
              <w:marRight w:val="0"/>
              <w:marTop w:val="219"/>
              <w:marBottom w:val="0"/>
              <w:divBdr>
                <w:top w:val="none" w:sz="0" w:space="0" w:color="auto"/>
                <w:left w:val="none" w:sz="0" w:space="0" w:color="auto"/>
                <w:bottom w:val="none" w:sz="0" w:space="0" w:color="auto"/>
                <w:right w:val="none" w:sz="0" w:space="0" w:color="auto"/>
              </w:divBdr>
            </w:div>
            <w:div w:id="1047342927">
              <w:marLeft w:val="0"/>
              <w:marRight w:val="0"/>
              <w:marTop w:val="219"/>
              <w:marBottom w:val="0"/>
              <w:divBdr>
                <w:top w:val="none" w:sz="0" w:space="0" w:color="auto"/>
                <w:left w:val="none" w:sz="0" w:space="0" w:color="auto"/>
                <w:bottom w:val="none" w:sz="0" w:space="0" w:color="auto"/>
                <w:right w:val="none" w:sz="0" w:space="0" w:color="auto"/>
              </w:divBdr>
            </w:div>
            <w:div w:id="1566572839">
              <w:marLeft w:val="0"/>
              <w:marRight w:val="0"/>
              <w:marTop w:val="219"/>
              <w:marBottom w:val="0"/>
              <w:divBdr>
                <w:top w:val="none" w:sz="0" w:space="0" w:color="auto"/>
                <w:left w:val="none" w:sz="0" w:space="0" w:color="auto"/>
                <w:bottom w:val="none" w:sz="0" w:space="0" w:color="auto"/>
                <w:right w:val="none" w:sz="0" w:space="0" w:color="auto"/>
              </w:divBdr>
              <w:divsChild>
                <w:div w:id="213126844">
                  <w:marLeft w:val="0"/>
                  <w:marRight w:val="0"/>
                  <w:marTop w:val="219"/>
                  <w:marBottom w:val="0"/>
                  <w:divBdr>
                    <w:top w:val="none" w:sz="0" w:space="0" w:color="auto"/>
                    <w:left w:val="none" w:sz="0" w:space="0" w:color="auto"/>
                    <w:bottom w:val="none" w:sz="0" w:space="0" w:color="auto"/>
                    <w:right w:val="none" w:sz="0" w:space="0" w:color="auto"/>
                  </w:divBdr>
                </w:div>
                <w:div w:id="547570131">
                  <w:marLeft w:val="0"/>
                  <w:marRight w:val="0"/>
                  <w:marTop w:val="219"/>
                  <w:marBottom w:val="0"/>
                  <w:divBdr>
                    <w:top w:val="none" w:sz="0" w:space="0" w:color="auto"/>
                    <w:left w:val="none" w:sz="0" w:space="0" w:color="auto"/>
                    <w:bottom w:val="none" w:sz="0" w:space="0" w:color="auto"/>
                    <w:right w:val="none" w:sz="0" w:space="0" w:color="auto"/>
                  </w:divBdr>
                </w:div>
                <w:div w:id="1171019898">
                  <w:marLeft w:val="0"/>
                  <w:marRight w:val="0"/>
                  <w:marTop w:val="219"/>
                  <w:marBottom w:val="0"/>
                  <w:divBdr>
                    <w:top w:val="none" w:sz="0" w:space="0" w:color="auto"/>
                    <w:left w:val="none" w:sz="0" w:space="0" w:color="auto"/>
                    <w:bottom w:val="none" w:sz="0" w:space="0" w:color="auto"/>
                    <w:right w:val="none" w:sz="0" w:space="0" w:color="auto"/>
                  </w:divBdr>
                </w:div>
                <w:div w:id="1958639855">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 w:id="2085031553">
      <w:bodyDiv w:val="1"/>
      <w:marLeft w:val="0"/>
      <w:marRight w:val="0"/>
      <w:marTop w:val="0"/>
      <w:marBottom w:val="0"/>
      <w:divBdr>
        <w:top w:val="none" w:sz="0" w:space="0" w:color="auto"/>
        <w:left w:val="none" w:sz="0" w:space="0" w:color="auto"/>
        <w:bottom w:val="none" w:sz="0" w:space="0" w:color="auto"/>
        <w:right w:val="none" w:sz="0" w:space="0" w:color="auto"/>
      </w:divBdr>
      <w:divsChild>
        <w:div w:id="85344089">
          <w:marLeft w:val="0"/>
          <w:marRight w:val="0"/>
          <w:marTop w:val="0"/>
          <w:marBottom w:val="0"/>
          <w:divBdr>
            <w:top w:val="none" w:sz="0" w:space="0" w:color="auto"/>
            <w:left w:val="none" w:sz="0" w:space="0" w:color="auto"/>
            <w:bottom w:val="none" w:sz="0" w:space="0" w:color="auto"/>
            <w:right w:val="none" w:sz="0" w:space="0" w:color="auto"/>
          </w:divBdr>
        </w:div>
        <w:div w:id="1709333894">
          <w:marLeft w:val="0"/>
          <w:marRight w:val="0"/>
          <w:marTop w:val="0"/>
          <w:marBottom w:val="0"/>
          <w:divBdr>
            <w:top w:val="none" w:sz="0" w:space="0" w:color="auto"/>
            <w:left w:val="none" w:sz="0" w:space="0" w:color="auto"/>
            <w:bottom w:val="none" w:sz="0" w:space="0" w:color="auto"/>
            <w:right w:val="none" w:sz="0" w:space="0" w:color="auto"/>
          </w:divBdr>
        </w:div>
        <w:div w:id="1951663091">
          <w:marLeft w:val="0"/>
          <w:marRight w:val="0"/>
          <w:marTop w:val="0"/>
          <w:marBottom w:val="0"/>
          <w:divBdr>
            <w:top w:val="none" w:sz="0" w:space="0" w:color="auto"/>
            <w:left w:val="none" w:sz="0" w:space="0" w:color="auto"/>
            <w:bottom w:val="none" w:sz="0" w:space="0" w:color="auto"/>
            <w:right w:val="none" w:sz="0" w:space="0" w:color="auto"/>
          </w:divBdr>
        </w:div>
      </w:divsChild>
    </w:div>
    <w:div w:id="21093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de projet" ma:contentTypeID="0x010100F6681E3BDF397F418586AC591ADC81BB0051C31966A1ACA448986E1F3A80F8A8D7" ma:contentTypeVersion="0" ma:contentTypeDescription="" ma:contentTypeScope="" ma:versionID="e97c4299cc7291c03dfe8af5cf79449e">
  <xsd:schema xmlns:xsd="http://www.w3.org/2001/XMLSchema" xmlns:xs="http://www.w3.org/2001/XMLSchema" xmlns:p="http://schemas.microsoft.com/office/2006/metadata/properties" xmlns:ns2="a091097b-8ae3-4832-a2b2-51f9a78aeacd" xmlns:ns3="a84ed267-86d5-4fa1-a3cb-2fed497fe84f" targetNamespace="http://schemas.microsoft.com/office/2006/metadata/properties" ma:root="true" ma:fieldsID="b7e9dbe386427f7c04dd1b10a57eb55d" ns2:_="" ns3:_="">
    <xsd:import namespace="a091097b-8ae3-4832-a2b2-51f9a78aeacd"/>
    <xsd:import namespace="a84ed267-86d5-4fa1-a3cb-2fed497fe84f"/>
    <xsd:element name="properties">
      <xsd:complexType>
        <xsd:sequence>
          <xsd:element name="documentManagement">
            <xsd:complexType>
              <xsd:all>
                <xsd:element ref="ns2:Projet"/>
                <xsd:element ref="ns2:Provenance" minOccurs="0"/>
                <xsd:element ref="ns2:Déposant"/>
                <xsd:element ref="ns2:Catégorie_x0020_de_x0020_document" minOccurs="0"/>
                <xsd:element ref="ns2:Sous-catégorie" minOccurs="0"/>
                <xsd:element ref="ns2:Phase"/>
                <xsd:element ref="ns2:Précision_x0020_de_x0020_document" minOccurs="0"/>
                <xsd:element ref="ns2:Sujet" minOccurs="0"/>
                <xsd:element ref="ns2:Cote_x0020_de_x0020_déposant" minOccurs="0"/>
                <xsd:element ref="ns2:Accés_x0020_restreint" minOccurs="0"/>
                <xsd:element ref="ns2:Cote_x0020_de_x0020_piéce" minOccurs="0"/>
                <xsd:element ref="ns2:Inscrit_x0020_au_x0020_plumitif" minOccurs="0"/>
                <xsd:element ref="ns2:Numéro_x0020_plumitif" minOccurs="0"/>
                <xsd:element ref="ns2:Diffusable_x0020_sur_x0020_le_x0020_Web" minOccurs="0"/>
                <xsd:element ref="ns2:Ne_x0020_pas_x0020_envoyer_x0020_d_x0027_alerte" minOccurs="0"/>
                <xsd:element ref="ns2:Confidentiel"/>
                <xsd:element ref="ns2:Date_x0020_de_x0020_confidentialité_x0020_relevée" minOccurs="0"/>
                <xsd:element ref="ns2:Copie_x0020_papier_x0020_reçue" minOccurs="0"/>
                <xsd:element ref="ns2:Date_x0020_de_x0020_réception_x0020_copie_x0020_papier" minOccurs="0"/>
                <xsd:element ref="ns3:_dlc_DocId" minOccurs="0"/>
                <xsd:element ref="ns3:_dlc_DocIdUrl" minOccurs="0"/>
                <xsd:element ref="ns3:_dlc_DocIdPersistId" minOccurs="0"/>
                <xsd:element ref="ns2:Hidden_UploadedBy" minOccurs="0"/>
                <xsd:element ref="ns2:Hidden_UploadedAt" minOccurs="0"/>
                <xsd:element ref="ns2:Hidden_ApprovedBy" minOccurs="0"/>
                <xsd:element ref="ns2:Hidden_ApprovedAt" minOccurs="0"/>
                <xsd:element ref="ns2:Stat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1097b-8ae3-4832-a2b2-51f9a78aeacd" elementFormDefault="qualified">
    <xsd:import namespace="http://schemas.microsoft.com/office/2006/documentManagement/types"/>
    <xsd:import namespace="http://schemas.microsoft.com/office/infopath/2007/PartnerControls"/>
    <xsd:element name="Projet" ma:index="1" ma:displayName="Projet" ma:list="{CE87CB4F-F3B1-42AD-9CE0-0125D6B4080B}" ma:internalName="Projet" ma:readOnly="false" ma:showField="Num_x00e9_ro_x0020_du_x0020_proj" ma:web="{76ddd5ea-d475-414e-8091-4675c7a4bd1a}">
      <xsd:simpleType>
        <xsd:restriction base="dms:Lookup"/>
      </xsd:simpleType>
    </xsd:element>
    <xsd:element name="Provenance" ma:index="2" nillable="true" ma:displayName="Provenance" ma:list="{3A1A4597-1672-4F84-9DE7-FBA0AEBF9CE3}" ma:internalName="Provenance" ma:showField="Title" ma:web="{76ddd5ea-d475-414e-8091-4675c7a4bd1a}">
      <xsd:simpleType>
        <xsd:restriction base="dms:Lookup"/>
      </xsd:simpleType>
    </xsd:element>
    <xsd:element name="Déposant" ma:index="3" ma:displayName="Déposant" ma:list="{A2D4550E-DC70-4FE1-8010-4C446E5D8D2C}" ma:internalName="D_x00e9_posant" ma:showField="Title" ma:web="{76ddd5ea-d475-414e-8091-4675c7a4bd1a}">
      <xsd:simpleType>
        <xsd:restriction base="dms:Lookup"/>
      </xsd:simpleType>
    </xsd:element>
    <xsd:element name="Catégorie_x0020_de_x0020_document" ma:index="4" nillable="true" ma:displayName="Catégorie de document" ma:list="{F7545102-6201-4483-9929-E858F36BE31E}" ma:internalName="Cat_x00e9_gorie_x0020_de_x0020_document" ma:showField="Title" ma:web="{76ddd5ea-d475-414e-8091-4675c7a4bd1a}">
      <xsd:simpleType>
        <xsd:restriction base="dms:Lookup"/>
      </xsd:simpleType>
    </xsd:element>
    <xsd:element name="Sous-catégorie" ma:index="5" nillable="true" ma:displayName="Sous-catégorie" ma:list="{8F61632E-9A95-48F5-95F9-D05D88255F44}" ma:internalName="Sous_x002d_cat_x00e9_gorie" ma:showField="Title" ma:web="{76ddd5ea-d475-414e-8091-4675c7a4bd1a}">
      <xsd:simpleType>
        <xsd:restriction base="dms:Lookup"/>
      </xsd:simpleType>
    </xsd:element>
    <xsd:element name="Phase" ma:index="6" ma:displayName="Phase" ma:list="{1721197D-7382-4457-968B-EC653058772A}" ma:internalName="Phase" ma:showField="Title" ma:web="{76ddd5ea-d475-414e-8091-4675c7a4bd1a}">
      <xsd:simpleType>
        <xsd:restriction base="dms:Lookup"/>
      </xsd:simpleType>
    </xsd:element>
    <xsd:element name="Précision_x0020_de_x0020_document" ma:index="7" nillable="true" ma:displayName="Précisions de document" ma:hidden="true" ma:list="{CD8F73AF-CF7D-4F56-B7C5-E37D10A86459}" ma:internalName="Pr_x00e9_cision_x0020_de_x0020_document" ma:readOnly="false" ma:showField="Title" ma:web="{76ddd5ea-d475-414e-8091-4675c7a4bd1a}">
      <xsd:simpleType>
        <xsd:restriction base="dms:Lookup"/>
      </xsd:simpleType>
    </xsd:element>
    <xsd:element name="Sujet" ma:index="8" nillable="true" ma:displayName="Sujet" ma:internalName="Sujet">
      <xsd:simpleType>
        <xsd:restriction base="dms:Note">
          <xsd:maxLength value="255"/>
        </xsd:restriction>
      </xsd:simpleType>
    </xsd:element>
    <xsd:element name="Cote_x0020_de_x0020_déposant" ma:index="9" nillable="true" ma:displayName="Cote déposant" ma:internalName="Cote_x0020_de_x0020_d_x00e9_posant">
      <xsd:simpleType>
        <xsd:restriction base="dms:Text">
          <xsd:maxLength value="255"/>
        </xsd:restriction>
      </xsd:simpleType>
    </xsd:element>
    <xsd:element name="Accés_x0020_restreint" ma:index="10" nillable="true" ma:displayName="Accès restreint" ma:default="0" ma:internalName="Acc_x00e9_s_x0020_restreint">
      <xsd:simpleType>
        <xsd:restriction base="dms:Boolean"/>
      </xsd:simpleType>
    </xsd:element>
    <xsd:element name="Cote_x0020_de_x0020_piéce" ma:index="11" nillable="true" ma:displayName="Cote de pièce" ma:internalName="Cote_x0020_de_x0020_pi_x00e9_ce">
      <xsd:simpleType>
        <xsd:restriction base="dms:Text">
          <xsd:maxLength value="255"/>
        </xsd:restriction>
      </xsd:simpleType>
    </xsd:element>
    <xsd:element name="Inscrit_x0020_au_x0020_plumitif" ma:index="12" nillable="true" ma:displayName="Inscrit au plumitif" ma:default="1" ma:internalName="Inscrit_x0020_au_x0020_plumitif">
      <xsd:simpleType>
        <xsd:restriction base="dms:Boolean"/>
      </xsd:simpleType>
    </xsd:element>
    <xsd:element name="Numéro_x0020_plumitif" ma:index="13" nillable="true" ma:displayName="Numéro plumitif" ma:decimals="0" ma:internalName="Num_x00e9_ro_x0020_plumitif">
      <xsd:simpleType>
        <xsd:restriction base="dms:Number">
          <xsd:maxInclusive value="9999"/>
          <xsd:minInclusive value="1"/>
        </xsd:restriction>
      </xsd:simpleType>
    </xsd:element>
    <xsd:element name="Diffusable_x0020_sur_x0020_le_x0020_Web" ma:index="14" nillable="true" ma:displayName="Diffusable sur le Web" ma:default="1" ma:internalName="Diffusable_x0020_sur_x0020_le_x0020_Web">
      <xsd:simpleType>
        <xsd:restriction base="dms:Boolean"/>
      </xsd:simpleType>
    </xsd:element>
    <xsd:element name="Ne_x0020_pas_x0020_envoyer_x0020_d_x0027_alerte" ma:index="15" nillable="true" ma:displayName="Ne pas envoyer d'alerte" ma:default="1" ma:internalName="Ne_x0020_pas_x0020_envoyer_x0020_d_x0027_alerte">
      <xsd:simpleType>
        <xsd:restriction base="dms:Boolean"/>
      </xsd:simpleType>
    </xsd:element>
    <xsd:element name="Confidentiel" ma:index="16" ma:displayName="Confidentiel" ma:list="{79B26B89-E55A-4B03-BEFA-7EE3A90275CF}" ma:internalName="Confidentiel" ma:showField="Title" ma:web="{76ddd5ea-d475-414e-8091-4675c7a4bd1a}">
      <xsd:simpleType>
        <xsd:restriction base="dms:Lookup"/>
      </xsd:simpleType>
    </xsd:element>
    <xsd:element name="Date_x0020_de_x0020_confidentialité_x0020_relevée" ma:index="17" nillable="true" ma:displayName="Date de confidentialité relevée" ma:format="DateOnly" ma:internalName="Date_x0020_de_x0020_confidentialit_x00e9__x0020_relev_x00e9_e">
      <xsd:simpleType>
        <xsd:restriction base="dms:DateTime"/>
      </xsd:simpleType>
    </xsd:element>
    <xsd:element name="Copie_x0020_papier_x0020_reçue" ma:index="18" nillable="true" ma:displayName="Copie papier reçue" ma:default="0" ma:internalName="Copie_x0020_papier_x0020_re_x00e7_ue">
      <xsd:simpleType>
        <xsd:restriction base="dms:Boolean"/>
      </xsd:simpleType>
    </xsd:element>
    <xsd:element name="Date_x0020_de_x0020_réception_x0020_copie_x0020_papier" ma:index="19" nillable="true" ma:displayName="Date de réception copie papier" ma:format="DateOnly" ma:internalName="Date_x0020_de_x0020_r_x00e9_ception_x0020_copie_x0020_papier">
      <xsd:simpleType>
        <xsd:restriction base="dms:DateTime"/>
      </xsd:simpleType>
    </xsd:element>
    <xsd:element name="Hidden_UploadedBy" ma:index="33" nillable="true" ma:displayName="Hidden_UploadedBy" ma:hidden="true" ma:internalName="Hidden_UploadedBy" ma:readOnly="false">
      <xsd:simpleType>
        <xsd:restriction base="dms:Text">
          <xsd:maxLength value="100"/>
        </xsd:restriction>
      </xsd:simpleType>
    </xsd:element>
    <xsd:element name="Hidden_UploadedAt" ma:index="34" nillable="true" ma:displayName="Hidden_UploadedAt" ma:default="[today]" ma:format="DateTime" ma:hidden="true" ma:internalName="Hidden_UploadedAt" ma:readOnly="false">
      <xsd:simpleType>
        <xsd:restriction base="dms:DateTime"/>
      </xsd:simpleType>
    </xsd:element>
    <xsd:element name="Hidden_ApprovedBy" ma:index="35" nillable="true" ma:displayName="Hidden_ApprovedBy" ma:hidden="true" ma:internalName="Hidden_ApprovedBy" ma:readOnly="false">
      <xsd:simpleType>
        <xsd:restriction base="dms:Text">
          <xsd:maxLength value="100"/>
        </xsd:restriction>
      </xsd:simpleType>
    </xsd:element>
    <xsd:element name="Hidden_ApprovedAt" ma:index="36" nillable="true" ma:displayName="Hidden_ApprovedAt" ma:default="[today]" ma:format="DateTime" ma:hidden="true" ma:internalName="Hidden_ApprovedAt" ma:readOnly="false">
      <xsd:simpleType>
        <xsd:restriction base="dms:DateTime"/>
      </xsd:simpleType>
    </xsd:element>
    <xsd:element name="Statut" ma:index="37" nillable="true" ma:displayName="Statut" ma:hidden="true" ma:internalName="Statut" ma:readOnly="false">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a84ed267-86d5-4fa1-a3cb-2fed497fe84f" elementFormDefault="qualified">
    <xsd:import namespace="http://schemas.microsoft.com/office/2006/documentManagement/types"/>
    <xsd:import namespace="http://schemas.microsoft.com/office/infopath/2007/PartnerControls"/>
    <xsd:element name="_dlc_DocId" ma:index="22" nillable="true" ma:displayName="Valeur d’ID de document" ma:description="Valeur de l’ID de document affecté à cet élément." ma:internalName="_dlc_DocId" ma:readOnly="true">
      <xsd:simpleType>
        <xsd:restriction base="dms:Text"/>
      </xsd:simpleType>
    </xsd:element>
    <xsd:element name="_dlc_DocIdUrl" ma:index="23"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den_UploadedAt xmlns="a091097b-8ae3-4832-a2b2-51f9a78aeacd">2023-06-21T12:47:26+00:00</Hidden_UploadedAt>
    <Provenance xmlns="a091097b-8ae3-4832-a2b2-51f9a78aeacd">2</Provenance>
    <Accés_x0020_restreint xmlns="a091097b-8ae3-4832-a2b2-51f9a78aeacd">false</Accés_x0020_restreint>
    <Précision_x0020_de_x0020_document xmlns="a091097b-8ae3-4832-a2b2-51f9a78aeacd">1</Précision_x0020_de_x0020_document>
    <Déposant xmlns="a091097b-8ae3-4832-a2b2-51f9a78aeacd">172</Déposant>
    <Sous-catégorie xmlns="a091097b-8ae3-4832-a2b2-51f9a78aeacd">291</Sous-catégorie>
    <Copie_x0020_papier_x0020_reçue xmlns="a091097b-8ae3-4832-a2b2-51f9a78aeacd">false</Copie_x0020_papier_x0020_reçue>
    <Phase xmlns="a091097b-8ae3-4832-a2b2-51f9a78aeacd">1</Phase>
    <Sujet xmlns="a091097b-8ae3-4832-a2b2-51f9a78aeacd">Plan d'argumentation de HIVE</Sujet>
    <Cote_x0020_de_x0020_déposant xmlns="a091097b-8ae3-4832-a2b2-51f9a78aeacd" xsi:nil="true"/>
    <Confidentiel xmlns="a091097b-8ae3-4832-a2b2-51f9a78aeacd">3</Confidentiel>
    <Hidden_UploadedBy xmlns="a091097b-8ae3-4832-a2b2-51f9a78aeacd">dduhamel_fasken.com#EXT#@rdeqc.onmicrosoft.com</Hidden_UploadedBy>
    <Inscrit_x0020_au_x0020_plumitif xmlns="a091097b-8ae3-4832-a2b2-51f9a78aeacd">true</Inscrit_x0020_au_x0020_plumitif>
    <Statut xmlns="a091097b-8ae3-4832-a2b2-51f9a78aeacd">Approuvé</Statut>
    <Catégorie_x0020_de_x0020_document xmlns="a091097b-8ae3-4832-a2b2-51f9a78aeacd">2</Catégorie_x0020_de_x0020_document>
    <Date_x0020_de_x0020_confidentialité_x0020_relevée xmlns="a091097b-8ae3-4832-a2b2-51f9a78aeacd" xsi:nil="true"/>
    <Diffusable_x0020_sur_x0020_le_x0020_Web xmlns="a091097b-8ae3-4832-a2b2-51f9a78aeacd">true</Diffusable_x0020_sur_x0020_le_x0020_Web>
    <Projet xmlns="a091097b-8ae3-4832-a2b2-51f9a78aeacd">1002</Projet>
    <Date_x0020_de_x0020_réception_x0020_copie_x0020_papier xmlns="a091097b-8ae3-4832-a2b2-51f9a78aeacd" xsi:nil="true"/>
    <Numéro_x0020_plumitif xmlns="a091097b-8ae3-4832-a2b2-51f9a78aeacd">668</Numéro_x0020_plumitif>
    <Hidden_ApprovedBy xmlns="a091097b-8ae3-4832-a2b2-51f9a78aeacd">Lévesque, Claudette</Hidden_ApprovedBy>
    <Hidden_ApprovedAt xmlns="a091097b-8ae3-4832-a2b2-51f9a78aeacd">2023-06-21T12:55:06+00:00</Hidden_ApprovedAt>
    <Cote_x0020_de_x0020_piéce xmlns="a091097b-8ae3-4832-a2b2-51f9a78aeacd">C-HIVE-0072</Cote_x0020_de_x0020_piéce>
    <Ne_x0020_pas_x0020_envoyer_x0020_d_x0027_alerte xmlns="a091097b-8ae3-4832-a2b2-51f9a78aeacd">false</Ne_x0020_pas_x0020_envoyer_x0020_d_x0027_alerte>
    <_dlc_DocId xmlns="a84ed267-86d5-4fa1-a3cb-2fed497fe84f">W2HFWTQUJJY6-304364381-2094</_dlc_DocId>
    <_dlc_DocIdUrl xmlns="a84ed267-86d5-4fa1-a3cb-2fed497fe84f">
      <Url>https://sde.regie-energie.qc.ca/1002/_layouts/15/DocIdRedir.aspx?ID=W2HFWTQUJJY6-304364381-2094</Url>
      <Description>W2HFWTQUJJY6-304364381-2094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idden_UploadedAt xmlns="a091097b-8ae3-4832-a2b2-51f9a78aeacd">2023-06-21T12:47:26+00:00</Hidden_UploadedAt>
    <Provenance xmlns="a091097b-8ae3-4832-a2b2-51f9a78aeacd">2</Provenance>
    <Accés_x0020_restreint xmlns="a091097b-8ae3-4832-a2b2-51f9a78aeacd">false</Accés_x0020_restreint>
    <Précision_x0020_de_x0020_document xmlns="a091097b-8ae3-4832-a2b2-51f9a78aeacd" xsi:nil="true"/>
    <Déposant xmlns="a091097b-8ae3-4832-a2b2-51f9a78aeacd">172</Déposant>
    <Sous-catégorie xmlns="a091097b-8ae3-4832-a2b2-51f9a78aeacd">291</Sous-catégorie>
    <Copie_x0020_papier_x0020_reçue xmlns="a091097b-8ae3-4832-a2b2-51f9a78aeacd">false</Copie_x0020_papier_x0020_reçue>
    <Phase xmlns="a091097b-8ae3-4832-a2b2-51f9a78aeacd">1</Phase>
    <Sujet xmlns="a091097b-8ae3-4832-a2b2-51f9a78aeacd" xsi:nil="true"/>
    <Cote_x0020_de_x0020_déposant xmlns="a091097b-8ae3-4832-a2b2-51f9a78aeacd" xsi:nil="true"/>
    <Confidentiel xmlns="a091097b-8ae3-4832-a2b2-51f9a78aeacd">3</Confidentiel>
    <Hidden_UploadedBy xmlns="a091097b-8ae3-4832-a2b2-51f9a78aeacd">dduhamel_fasken.com#EXT#@rdeqc.onmicrosoft.com</Hidden_UploadedBy>
    <Inscrit_x0020_au_x0020_plumitif xmlns="a091097b-8ae3-4832-a2b2-51f9a78aeacd">true</Inscrit_x0020_au_x0020_plumitif>
    <Statut xmlns="a091097b-8ae3-4832-a2b2-51f9a78aeacd">Déposé</Statut>
    <Catégorie_x0020_de_x0020_document xmlns="a091097b-8ae3-4832-a2b2-51f9a78aeacd">1</Catégorie_x0020_de_x0020_document>
    <Date_x0020_de_x0020_confidentialité_x0020_relevée xmlns="a091097b-8ae3-4832-a2b2-51f9a78aeacd" xsi:nil="true"/>
    <Diffusable_x0020_sur_x0020_le_x0020_Web xmlns="a091097b-8ae3-4832-a2b2-51f9a78aeacd">true</Diffusable_x0020_sur_x0020_le_x0020_Web>
    <Projet xmlns="a091097b-8ae3-4832-a2b2-51f9a78aeacd">1002</Projet>
    <Date_x0020_de_x0020_réception_x0020_copie_x0020_papier xmlns="a091097b-8ae3-4832-a2b2-51f9a78aeacd"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C60829-9DA6-4F90-A4DA-7380B697543E}"/>
</file>

<file path=customXml/itemProps2.xml><?xml version="1.0" encoding="utf-8"?>
<ds:datastoreItem xmlns:ds="http://schemas.openxmlformats.org/officeDocument/2006/customXml" ds:itemID="{137F11CF-32E6-4579-B2D8-DA8B38F421E3}"/>
</file>

<file path=customXml/itemProps3.xml><?xml version="1.0" encoding="utf-8"?>
<ds:datastoreItem xmlns:ds="http://schemas.openxmlformats.org/officeDocument/2006/customXml" ds:itemID="{F4E0C1DB-8588-4A1B-A83D-C00C7541C657}"/>
</file>

<file path=customXml/itemProps4.xml><?xml version="1.0" encoding="utf-8"?>
<ds:datastoreItem xmlns:ds="http://schemas.openxmlformats.org/officeDocument/2006/customXml" ds:itemID="{550AE358-2692-437D-81A4-AED24AC74F0B}"/>
</file>

<file path=customXml/itemProps5.xml><?xml version="1.0" encoding="utf-8"?>
<ds:datastoreItem xmlns:ds="http://schemas.openxmlformats.org/officeDocument/2006/customXml" ds:itemID="{137F11CF-32E6-4579-B2D8-DA8B38F421E3}"/>
</file>

<file path=customXml/itemProps6.xml><?xml version="1.0" encoding="utf-8"?>
<ds:datastoreItem xmlns:ds="http://schemas.openxmlformats.org/officeDocument/2006/customXml" ds:itemID="{B96F8DEA-6304-4C5D-B0AB-A32FA5F1E40A}"/>
</file>

<file path=docProps/app.xml><?xml version="1.0" encoding="utf-8"?>
<Properties xmlns="http://schemas.openxmlformats.org/officeDocument/2006/extended-properties" xmlns:vt="http://schemas.openxmlformats.org/officeDocument/2006/docPropsVTypes">
  <Template>Blank.dotm</Template>
  <TotalTime>220</TotalTime>
  <Pages>30</Pages>
  <Words>10151</Words>
  <Characters>55831</Characters>
  <Application>Microsoft Office Word</Application>
  <DocSecurity>0</DocSecurity>
  <Lines>465</Lines>
  <Paragraphs>131</Paragraphs>
  <ScaleCrop>false</ScaleCrop>
  <HeadingPairs>
    <vt:vector size="2" baseType="variant">
      <vt:variant>
        <vt:lpstr>Titre</vt:lpstr>
      </vt:variant>
      <vt:variant>
        <vt:i4>1</vt:i4>
      </vt:variant>
    </vt:vector>
  </HeadingPairs>
  <TitlesOfParts>
    <vt:vector size="1" baseType="lpstr">
      <vt:lpstr/>
    </vt:vector>
  </TitlesOfParts>
  <Company>FIRM</Company>
  <LinksUpToDate>false</LinksUpToDate>
  <CharactersWithSpaces>65851</CharactersWithSpaces>
  <SharedDoc>false</SharedDoc>
  <HLinks>
    <vt:vector size="6" baseType="variant">
      <vt:variant>
        <vt:i4>7143508</vt:i4>
      </vt:variant>
      <vt:variant>
        <vt:i4>0</vt:i4>
      </vt:variant>
      <vt:variant>
        <vt:i4>0</vt:i4>
      </vt:variant>
      <vt:variant>
        <vt:i4>5</vt:i4>
      </vt:variant>
      <vt:variant>
        <vt:lpwstr>https://www.canlii.org/fr/qc/qcrde/doc/2019/2019canlii75614/2019canlii75614.html?autocompleteStr=d-2019-052&amp;autocompletePos=1</vt:lpwstr>
      </vt:variant>
      <vt:variant>
        <vt:lpwstr>_ftn53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Therriault</dc:creator>
  <cp:keywords/>
  <cp:lastModifiedBy>Marie-Pierre Boudreau</cp:lastModifiedBy>
  <cp:revision>18</cp:revision>
  <cp:lastPrinted>2020-11-04T20:03:00Z</cp:lastPrinted>
  <dcterms:created xsi:type="dcterms:W3CDTF">2023-06-20T17:13:00Z</dcterms:created>
  <dcterms:modified xsi:type="dcterms:W3CDTF">2023-06-21T12:30:00Z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50">
    <vt:lpwstr>BLANK2</vt:lpwstr>
  </property>
  <property fmtid="{D5CDD505-2E9C-101B-9397-08002B2CF9AE}" pid="3" name="TemplateVersion50">
    <vt:lpwstr>8</vt:lpwstr>
  </property>
  <property fmtid="{D5CDD505-2E9C-101B-9397-08002B2CF9AE}" pid="4" name="FrTStylesDone">
    <vt:lpwstr>Y</vt:lpwstr>
  </property>
  <property fmtid="{D5CDD505-2E9C-101B-9397-08002B2CF9AE}" pid="5" name="DmAuthor">
    <vt:lpwstr>THERRIAUJ</vt:lpwstr>
  </property>
  <property fmtid="{D5CDD505-2E9C-101B-9397-08002B2CF9AE}" pid="6" name="DmClientNum">
    <vt:lpwstr>115805</vt:lpwstr>
  </property>
  <property fmtid="{D5CDD505-2E9C-101B-9397-08002B2CF9AE}" pid="7" name="DmDocDescription">
    <vt:lpwstr>Plan d'argumentation FCEI R-4008-2017 Étape B</vt:lpwstr>
  </property>
  <property fmtid="{D5CDD505-2E9C-101B-9397-08002B2CF9AE}" pid="8" name="DmDocID">
    <vt:lpwstr>115805.00191/106846366.2</vt:lpwstr>
  </property>
  <property fmtid="{D5CDD505-2E9C-101B-9397-08002B2CF9AE}" pid="9" name="DmDocNum">
    <vt:lpwstr>106846366</vt:lpwstr>
  </property>
  <property fmtid="{D5CDD505-2E9C-101B-9397-08002B2CF9AE}" pid="10" name="DmDocType">
    <vt:lpwstr>PLEADING</vt:lpwstr>
  </property>
  <property fmtid="{D5CDD505-2E9C-101B-9397-08002B2CF9AE}" pid="11" name="DmMatterNum">
    <vt:lpwstr>00191</vt:lpwstr>
  </property>
  <property fmtid="{D5CDD505-2E9C-101B-9397-08002B2CF9AE}" pid="12" name="DmTypist">
    <vt:lpwstr>THERRIAUJ</vt:lpwstr>
  </property>
  <property fmtid="{D5CDD505-2E9C-101B-9397-08002B2CF9AE}" pid="13" name="DmVersionNum">
    <vt:lpwstr>2</vt:lpwstr>
  </property>
  <property fmtid="{D5CDD505-2E9C-101B-9397-08002B2CF9AE}" pid="14" name="DmDatabase">
    <vt:lpwstr>CANADA_EAST</vt:lpwstr>
  </property>
  <property fmtid="{D5CDD505-2E9C-101B-9397-08002B2CF9AE}" pid="15" name="DmDocName">
    <vt:lpwstr>Plan d'argumentation FCEI R-4008-2017 Étape B</vt:lpwstr>
  </property>
  <property fmtid="{D5CDD505-2E9C-101B-9397-08002B2CF9AE}" pid="16" name="DMSFooterStatus50">
    <vt:lpwstr>SET</vt:lpwstr>
  </property>
  <property fmtid="{D5CDD505-2E9C-101B-9397-08002B2CF9AE}" pid="17" name="JEContextId">
    <vt:lpwstr>0fa5fd5b-4236-4228-8af3-b8c054a668f1</vt:lpwstr>
  </property>
  <property fmtid="{D5CDD505-2E9C-101B-9397-08002B2CF9AE}" pid="18" name="WSOrigTemplate">
    <vt:lpwstr>normal</vt:lpwstr>
  </property>
  <property fmtid="{D5CDD505-2E9C-101B-9397-08002B2CF9AE}" pid="19" name="DOCXDOCID">
    <vt:lpwstr>323195.00001/300153719.3</vt:lpwstr>
  </property>
  <property fmtid="{D5CDD505-2E9C-101B-9397-08002B2CF9AE}" pid="20" name="DocXLocation">
    <vt:lpwstr>Every Page</vt:lpwstr>
  </property>
  <property fmtid="{D5CDD505-2E9C-101B-9397-08002B2CF9AE}" pid="21" name="DocXFormat">
    <vt:lpwstr>FaskenDefault</vt:lpwstr>
  </property>
  <property fmtid="{D5CDD505-2E9C-101B-9397-08002B2CF9AE}" pid="22" name="JEWJCDocID">
    <vt:lpwstr>15b97bde-8574-439d-92cd-a0a2178fc74c</vt:lpwstr>
  </property>
  <property fmtid="{D5CDD505-2E9C-101B-9397-08002B2CF9AE}" pid="23" name="iManageFooter">
    <vt:lpwstr>#300153719v3&lt;CANADA&gt; - Plan argumentation HIVE - R-4210-2022 - juin 2023</vt:lpwstr>
  </property>
  <property fmtid="{D5CDD505-2E9C-101B-9397-08002B2CF9AE}" pid="24" name="ContentTypeId">
    <vt:lpwstr>0x010100F6681E3BDF397F418586AC591ADC81BB0051C31966A1ACA448986E1F3A80F8A8D7</vt:lpwstr>
  </property>
  <property fmtid="{D5CDD505-2E9C-101B-9397-08002B2CF9AE}" pid="25" name="_dlc_DocIdItemGuid">
    <vt:lpwstr>0332587e-ed0c-4dab-a084-9eed5e9ede92</vt:lpwstr>
  </property>
  <property fmtid="{D5CDD505-2E9C-101B-9397-08002B2CF9AE}" pid="27" name="xd_ProgID">
    <vt:lpwstr/>
  </property>
  <property fmtid="{D5CDD505-2E9C-101B-9397-08002B2CF9AE}" pid="28" name="_SourceUrl">
    <vt:lpwstr/>
  </property>
  <property fmtid="{D5CDD505-2E9C-101B-9397-08002B2CF9AE}" pid="29" name="_SharedFileIndex">
    <vt:lpwstr/>
  </property>
  <property fmtid="{D5CDD505-2E9C-101B-9397-08002B2CF9AE}" pid="30" name="TemplateUrl">
    <vt:lpwstr/>
  </property>
</Properties>
</file>