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1B3E8" w14:textId="42F0464D" w:rsidR="00A9607D" w:rsidRDefault="00A9607D" w:rsidP="00A9607D">
      <w:pPr>
        <w:shd w:val="clear" w:color="auto" w:fill="FFFFFF"/>
        <w:spacing w:after="0" w:line="240" w:lineRule="auto"/>
        <w:jc w:val="center"/>
        <w:rPr>
          <w:rFonts w:ascii="Seaford Display" w:eastAsia="Times New Roman" w:hAnsi="Seaford Display" w:cs="Arial"/>
          <w:color w:val="222222"/>
          <w:kern w:val="0"/>
          <w:lang w:eastAsia="fr-CA"/>
          <w14:ligatures w14:val="none"/>
        </w:rPr>
      </w:pPr>
      <w:r>
        <w:rPr>
          <w:rFonts w:ascii="Seaford Display" w:eastAsia="Times New Roman" w:hAnsi="Seaford Display" w:cs="Arial"/>
          <w:noProof/>
          <w:color w:val="222222"/>
          <w:kern w:val="0"/>
          <w:lang w:eastAsia="fr-CA"/>
        </w:rPr>
        <w:drawing>
          <wp:inline distT="0" distB="0" distL="0" distR="0" wp14:anchorId="16C5DFC0" wp14:editId="654865A1">
            <wp:extent cx="1734996" cy="1009403"/>
            <wp:effectExtent l="0" t="0" r="0" b="635"/>
            <wp:docPr id="8871352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35284" name="Image 8871352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0994" cy="1036164"/>
                    </a:xfrm>
                    <a:prstGeom prst="rect">
                      <a:avLst/>
                    </a:prstGeom>
                  </pic:spPr>
                </pic:pic>
              </a:graphicData>
            </a:graphic>
          </wp:inline>
        </w:drawing>
      </w:r>
    </w:p>
    <w:p w14:paraId="3A8A5571" w14:textId="77777777" w:rsidR="00A9607D" w:rsidRDefault="00A9607D" w:rsidP="00A9607D">
      <w:pPr>
        <w:shd w:val="clear" w:color="auto" w:fill="FFFFFF"/>
        <w:spacing w:after="0" w:line="240" w:lineRule="auto"/>
        <w:jc w:val="both"/>
        <w:rPr>
          <w:rFonts w:ascii="Seaford Display" w:eastAsia="Times New Roman" w:hAnsi="Seaford Display" w:cs="Arial"/>
          <w:color w:val="222222"/>
          <w:kern w:val="0"/>
          <w:lang w:eastAsia="fr-CA"/>
          <w14:ligatures w14:val="none"/>
        </w:rPr>
      </w:pPr>
    </w:p>
    <w:p w14:paraId="5FDB265B" w14:textId="3E0F2FE3" w:rsidR="00A9607D" w:rsidRPr="00FC2D66" w:rsidRDefault="00A9607D" w:rsidP="00A9607D">
      <w:pPr>
        <w:shd w:val="clear" w:color="auto" w:fill="FFFFFF"/>
        <w:spacing w:after="0" w:line="240" w:lineRule="auto"/>
        <w:jc w:val="right"/>
        <w:rPr>
          <w:rFonts w:ascii="Seaford Display" w:eastAsia="Times New Roman" w:hAnsi="Seaford Display" w:cs="Arial"/>
          <w:color w:val="222222"/>
          <w:kern w:val="0"/>
          <w:sz w:val="22"/>
          <w:szCs w:val="22"/>
          <w:u w:val="single"/>
          <w:lang w:eastAsia="fr-CA"/>
          <w14:ligatures w14:val="none"/>
        </w:rPr>
      </w:pPr>
      <w:r w:rsidRPr="00FC2D66">
        <w:rPr>
          <w:rFonts w:ascii="Seaford Display" w:eastAsia="Times New Roman" w:hAnsi="Seaford Display" w:cs="Arial"/>
          <w:color w:val="222222"/>
          <w:kern w:val="0"/>
          <w:sz w:val="22"/>
          <w:szCs w:val="22"/>
          <w:u w:val="single"/>
          <w:lang w:eastAsia="fr-CA"/>
          <w14:ligatures w14:val="none"/>
        </w:rPr>
        <w:t>PAR COURRIEL</w:t>
      </w:r>
    </w:p>
    <w:p w14:paraId="52E68618" w14:textId="77777777" w:rsidR="00A9607D" w:rsidRPr="00FC2D66" w:rsidRDefault="00A9607D" w:rsidP="00A9607D">
      <w:pPr>
        <w:shd w:val="clear" w:color="auto" w:fill="FFFFFF"/>
        <w:spacing w:after="0" w:line="240" w:lineRule="auto"/>
        <w:jc w:val="both"/>
        <w:rPr>
          <w:rFonts w:ascii="Seaford Display" w:eastAsia="Times New Roman" w:hAnsi="Seaford Display" w:cs="Arial"/>
          <w:color w:val="222222"/>
          <w:kern w:val="0"/>
          <w:sz w:val="22"/>
          <w:szCs w:val="22"/>
          <w:lang w:eastAsia="fr-CA"/>
          <w14:ligatures w14:val="none"/>
        </w:rPr>
      </w:pPr>
    </w:p>
    <w:p w14:paraId="5375233B" w14:textId="6B4BB834" w:rsidR="00A9607D" w:rsidRPr="00FC2D66" w:rsidRDefault="00A9607D" w:rsidP="00A9607D">
      <w:pPr>
        <w:shd w:val="clear" w:color="auto" w:fill="FFFFFF"/>
        <w:spacing w:after="0" w:line="240" w:lineRule="auto"/>
        <w:jc w:val="both"/>
        <w:rPr>
          <w:rFonts w:ascii="Seaford Display" w:eastAsia="Times New Roman" w:hAnsi="Seaford Display" w:cs="Arial"/>
          <w:color w:val="222222"/>
          <w:kern w:val="0"/>
          <w:sz w:val="22"/>
          <w:szCs w:val="22"/>
          <w:lang w:eastAsia="fr-CA"/>
          <w14:ligatures w14:val="none"/>
        </w:rPr>
      </w:pPr>
      <w:r w:rsidRPr="00FC2D66">
        <w:rPr>
          <w:rFonts w:ascii="Seaford Display" w:eastAsia="Times New Roman" w:hAnsi="Seaford Display" w:cs="Arial"/>
          <w:color w:val="222222"/>
          <w:kern w:val="0"/>
          <w:sz w:val="22"/>
          <w:szCs w:val="22"/>
          <w:lang w:eastAsia="fr-CA"/>
          <w14:ligatures w14:val="none"/>
        </w:rPr>
        <w:t>À l’attention du Greffe</w:t>
      </w:r>
    </w:p>
    <w:p w14:paraId="4FD56F04" w14:textId="77777777" w:rsidR="00A9607D" w:rsidRPr="00FC2D66" w:rsidRDefault="00A9607D" w:rsidP="00A9607D">
      <w:pPr>
        <w:shd w:val="clear" w:color="auto" w:fill="FFFFFF"/>
        <w:spacing w:after="0" w:line="240" w:lineRule="auto"/>
        <w:jc w:val="both"/>
        <w:rPr>
          <w:rFonts w:ascii="Seaford Display" w:eastAsia="Times New Roman" w:hAnsi="Seaford Display" w:cs="Arial"/>
          <w:color w:val="222222"/>
          <w:kern w:val="0"/>
          <w:sz w:val="22"/>
          <w:szCs w:val="22"/>
          <w:lang w:eastAsia="fr-CA"/>
          <w14:ligatures w14:val="none"/>
        </w:rPr>
      </w:pPr>
      <w:r w:rsidRPr="00FC2D66">
        <w:rPr>
          <w:rFonts w:ascii="Seaford Display" w:eastAsia="Times New Roman" w:hAnsi="Seaford Display" w:cs="Arial"/>
          <w:color w:val="222222"/>
          <w:kern w:val="0"/>
          <w:sz w:val="22"/>
          <w:szCs w:val="22"/>
          <w:lang w:eastAsia="fr-CA"/>
          <w14:ligatures w14:val="none"/>
        </w:rPr>
        <w:t>Régie de l’énergie</w:t>
      </w:r>
    </w:p>
    <w:p w14:paraId="4A10CB76" w14:textId="3ACE510F" w:rsidR="00A9607D" w:rsidRPr="00FC2D66" w:rsidRDefault="00A9607D" w:rsidP="00A9607D">
      <w:pPr>
        <w:shd w:val="clear" w:color="auto" w:fill="FFFFFF"/>
        <w:spacing w:after="0" w:line="240" w:lineRule="auto"/>
        <w:jc w:val="both"/>
        <w:rPr>
          <w:rFonts w:ascii="Seaford Display" w:eastAsia="Times New Roman" w:hAnsi="Seaford Display" w:cs="Arial"/>
          <w:color w:val="222222"/>
          <w:kern w:val="0"/>
          <w:sz w:val="22"/>
          <w:szCs w:val="22"/>
          <w:lang w:eastAsia="fr-CA"/>
          <w14:ligatures w14:val="none"/>
        </w:rPr>
      </w:pPr>
      <w:r w:rsidRPr="00FC2D66">
        <w:rPr>
          <w:rFonts w:ascii="Seaford Display" w:eastAsia="Times New Roman" w:hAnsi="Seaford Display" w:cs="Arial"/>
          <w:color w:val="222222"/>
          <w:kern w:val="0"/>
          <w:sz w:val="22"/>
          <w:szCs w:val="22"/>
          <w:lang w:eastAsia="fr-CA"/>
          <w14:ligatures w14:val="none"/>
        </w:rPr>
        <w:t>500, boulevard René-Lévesque Ouest, 5</w:t>
      </w:r>
      <w:r w:rsidRPr="00FC2D66">
        <w:rPr>
          <w:rFonts w:ascii="Seaford Display" w:eastAsia="Times New Roman" w:hAnsi="Seaford Display" w:cs="Arial"/>
          <w:color w:val="222222"/>
          <w:kern w:val="0"/>
          <w:sz w:val="22"/>
          <w:szCs w:val="22"/>
          <w:vertAlign w:val="superscript"/>
          <w:lang w:eastAsia="fr-CA"/>
          <w14:ligatures w14:val="none"/>
        </w:rPr>
        <w:t>e</w:t>
      </w:r>
      <w:r w:rsidRPr="00FC2D66">
        <w:rPr>
          <w:rFonts w:ascii="Seaford Display" w:eastAsia="Times New Roman" w:hAnsi="Seaford Display" w:cs="Arial"/>
          <w:color w:val="222222"/>
          <w:kern w:val="0"/>
          <w:sz w:val="22"/>
          <w:szCs w:val="22"/>
          <w:lang w:eastAsia="fr-CA"/>
          <w14:ligatures w14:val="none"/>
        </w:rPr>
        <w:t xml:space="preserve"> étage, bureau 5.100</w:t>
      </w:r>
    </w:p>
    <w:p w14:paraId="4DCD6344" w14:textId="015A5400" w:rsidR="00A9607D" w:rsidRPr="00FC2D66" w:rsidRDefault="00A9607D" w:rsidP="00A9607D">
      <w:pPr>
        <w:shd w:val="clear" w:color="auto" w:fill="FFFFFF"/>
        <w:spacing w:after="0" w:line="240" w:lineRule="auto"/>
        <w:jc w:val="both"/>
        <w:rPr>
          <w:rFonts w:ascii="Seaford Display" w:eastAsia="Times New Roman" w:hAnsi="Seaford Display" w:cs="Arial"/>
          <w:color w:val="222222"/>
          <w:kern w:val="0"/>
          <w:sz w:val="22"/>
          <w:szCs w:val="22"/>
          <w:lang w:eastAsia="fr-CA"/>
          <w14:ligatures w14:val="none"/>
        </w:rPr>
      </w:pPr>
      <w:r w:rsidRPr="00FC2D66">
        <w:rPr>
          <w:rFonts w:ascii="Seaford Display" w:eastAsia="Times New Roman" w:hAnsi="Seaford Display" w:cs="Arial"/>
          <w:color w:val="222222"/>
          <w:kern w:val="0"/>
          <w:sz w:val="22"/>
          <w:szCs w:val="22"/>
          <w:lang w:eastAsia="fr-CA"/>
          <w14:ligatures w14:val="none"/>
        </w:rPr>
        <w:t>Montréal (Québec) H2Z 1W7</w:t>
      </w:r>
    </w:p>
    <w:p w14:paraId="722B109D" w14:textId="77777777" w:rsidR="00A9607D" w:rsidRPr="00FC2D66" w:rsidRDefault="00A9607D" w:rsidP="00A9607D">
      <w:pPr>
        <w:shd w:val="clear" w:color="auto" w:fill="FFFFFF"/>
        <w:spacing w:after="0" w:line="240" w:lineRule="auto"/>
        <w:jc w:val="both"/>
        <w:rPr>
          <w:rFonts w:ascii="Seaford Display" w:eastAsia="Times New Roman" w:hAnsi="Seaford Display" w:cs="Arial"/>
          <w:color w:val="222222"/>
          <w:kern w:val="0"/>
          <w:sz w:val="22"/>
          <w:szCs w:val="22"/>
          <w:lang w:eastAsia="fr-CA"/>
          <w14:ligatures w14:val="none"/>
        </w:rPr>
      </w:pPr>
    </w:p>
    <w:p w14:paraId="4550C91D" w14:textId="40BAF393" w:rsidR="00A9607D" w:rsidRPr="00FC2D66" w:rsidRDefault="00A9607D" w:rsidP="00A9607D">
      <w:pPr>
        <w:shd w:val="clear" w:color="auto" w:fill="FFFFFF"/>
        <w:spacing w:after="0" w:line="240" w:lineRule="auto"/>
        <w:jc w:val="both"/>
        <w:rPr>
          <w:rFonts w:ascii="Seaford Display" w:eastAsia="Times New Roman" w:hAnsi="Seaford Display" w:cs="Arial"/>
          <w:b/>
          <w:bCs/>
          <w:color w:val="222222"/>
          <w:kern w:val="0"/>
          <w:sz w:val="22"/>
          <w:szCs w:val="22"/>
          <w:lang w:eastAsia="fr-CA"/>
          <w14:ligatures w14:val="none"/>
        </w:rPr>
      </w:pPr>
      <w:r w:rsidRPr="00FC2D66">
        <w:rPr>
          <w:rFonts w:ascii="Seaford Display" w:eastAsia="Times New Roman" w:hAnsi="Seaford Display" w:cs="Arial"/>
          <w:b/>
          <w:bCs/>
          <w:color w:val="222222"/>
          <w:kern w:val="0"/>
          <w:sz w:val="22"/>
          <w:szCs w:val="22"/>
          <w:lang w:eastAsia="fr-CA"/>
          <w14:ligatures w14:val="none"/>
        </w:rPr>
        <w:t xml:space="preserve">Objet : </w:t>
      </w:r>
      <w:r w:rsidR="008D31BD" w:rsidRPr="008D31BD">
        <w:rPr>
          <w:rFonts w:ascii="Seaford Display" w:eastAsia="Times New Roman" w:hAnsi="Seaford Display" w:cs="Arial"/>
          <w:b/>
          <w:bCs/>
          <w:color w:val="222222"/>
          <w:kern w:val="0"/>
          <w:sz w:val="22"/>
          <w:szCs w:val="22"/>
          <w:lang w:eastAsia="fr-CA"/>
          <w14:ligatures w14:val="none"/>
        </w:rPr>
        <w:t>Dossier R-4333-2026</w:t>
      </w:r>
      <w:r w:rsidR="008D31BD">
        <w:rPr>
          <w:rFonts w:ascii="Seaford Display" w:eastAsia="Times New Roman" w:hAnsi="Seaford Display" w:cs="Arial"/>
          <w:b/>
          <w:bCs/>
          <w:color w:val="222222"/>
          <w:kern w:val="0"/>
          <w:sz w:val="22"/>
          <w:szCs w:val="22"/>
          <w:lang w:eastAsia="fr-CA"/>
          <w14:ligatures w14:val="none"/>
        </w:rPr>
        <w:t xml:space="preserve"> – </w:t>
      </w:r>
      <w:r w:rsidR="00871ACE">
        <w:rPr>
          <w:rFonts w:ascii="Seaford Display" w:eastAsia="Times New Roman" w:hAnsi="Seaford Display" w:cs="Arial"/>
          <w:b/>
          <w:bCs/>
          <w:color w:val="222222"/>
          <w:kern w:val="0"/>
          <w:sz w:val="22"/>
          <w:szCs w:val="22"/>
          <w:lang w:eastAsia="fr-CA"/>
          <w14:ligatures w14:val="none"/>
        </w:rPr>
        <w:t>n</w:t>
      </w:r>
      <w:r w:rsidR="008D31BD" w:rsidRPr="008D31BD">
        <w:rPr>
          <w:rFonts w:ascii="Seaford Display" w:eastAsia="Times New Roman" w:hAnsi="Seaford Display" w:cs="Arial"/>
          <w:b/>
          <w:bCs/>
          <w:color w:val="222222"/>
          <w:kern w:val="0"/>
          <w:sz w:val="22"/>
          <w:szCs w:val="22"/>
          <w:lang w:eastAsia="fr-CA"/>
          <w14:ligatures w14:val="none"/>
        </w:rPr>
        <w:t>ouveaux tarifs applicables aux centres de données et aux chaînes de blocs</w:t>
      </w:r>
      <w:r w:rsidR="008D31BD">
        <w:rPr>
          <w:rFonts w:ascii="Seaford Display" w:eastAsia="Times New Roman" w:hAnsi="Seaford Display" w:cs="Arial"/>
          <w:b/>
          <w:bCs/>
          <w:color w:val="222222"/>
          <w:kern w:val="0"/>
          <w:sz w:val="22"/>
          <w:szCs w:val="22"/>
          <w:lang w:eastAsia="fr-CA"/>
          <w14:ligatures w14:val="none"/>
        </w:rPr>
        <w:t>. Observation et soutien de l’AIEQ.</w:t>
      </w:r>
    </w:p>
    <w:p w14:paraId="47403460" w14:textId="77777777" w:rsidR="00A9607D" w:rsidRPr="00FC2D66" w:rsidRDefault="00A9607D" w:rsidP="00A9607D">
      <w:pPr>
        <w:pBdr>
          <w:bottom w:val="single" w:sz="12" w:space="1" w:color="auto"/>
        </w:pBdr>
        <w:shd w:val="clear" w:color="auto" w:fill="FFFFFF"/>
        <w:spacing w:after="0" w:line="240" w:lineRule="auto"/>
        <w:jc w:val="both"/>
        <w:rPr>
          <w:rFonts w:ascii="Seaford Display" w:eastAsia="Times New Roman" w:hAnsi="Seaford Display" w:cs="Arial"/>
          <w:color w:val="222222"/>
          <w:kern w:val="0"/>
          <w:sz w:val="22"/>
          <w:szCs w:val="22"/>
          <w:lang w:eastAsia="fr-CA"/>
          <w14:ligatures w14:val="none"/>
        </w:rPr>
      </w:pPr>
    </w:p>
    <w:p w14:paraId="312F81E4" w14:textId="77777777" w:rsidR="00A9607D" w:rsidRPr="00FC2D66" w:rsidRDefault="00A9607D" w:rsidP="00A9607D">
      <w:pPr>
        <w:shd w:val="clear" w:color="auto" w:fill="FFFFFF"/>
        <w:spacing w:after="0" w:line="240" w:lineRule="auto"/>
        <w:jc w:val="both"/>
        <w:rPr>
          <w:rFonts w:ascii="Seaford Display" w:eastAsia="Times New Roman" w:hAnsi="Seaford Display" w:cs="Arial"/>
          <w:color w:val="222222"/>
          <w:kern w:val="0"/>
          <w:sz w:val="22"/>
          <w:szCs w:val="22"/>
          <w:lang w:eastAsia="fr-CA"/>
          <w14:ligatures w14:val="none"/>
        </w:rPr>
      </w:pPr>
    </w:p>
    <w:p w14:paraId="011B5904" w14:textId="0E4D9C96" w:rsidR="00775A20" w:rsidRDefault="00775A20" w:rsidP="00775A20">
      <w:pPr>
        <w:spacing w:after="0" w:line="240" w:lineRule="auto"/>
        <w:jc w:val="both"/>
        <w:rPr>
          <w:rFonts w:ascii="Seaford Display" w:hAnsi="Seaford Display"/>
          <w:sz w:val="22"/>
          <w:szCs w:val="22"/>
        </w:rPr>
      </w:pPr>
      <w:r>
        <w:rPr>
          <w:rFonts w:ascii="Seaford Display" w:hAnsi="Seaford Display"/>
          <w:sz w:val="22"/>
          <w:szCs w:val="22"/>
        </w:rPr>
        <w:t>Madame, Monsieur,</w:t>
      </w:r>
    </w:p>
    <w:p w14:paraId="5D7844C6" w14:textId="77777777" w:rsidR="00775A20" w:rsidRDefault="00775A20" w:rsidP="00775A20">
      <w:pPr>
        <w:spacing w:after="0" w:line="240" w:lineRule="auto"/>
        <w:jc w:val="both"/>
        <w:rPr>
          <w:rFonts w:ascii="Seaford Display" w:hAnsi="Seaford Display"/>
          <w:sz w:val="22"/>
          <w:szCs w:val="22"/>
        </w:rPr>
      </w:pPr>
    </w:p>
    <w:p w14:paraId="7D314E7C" w14:textId="11329B30" w:rsidR="00775A20" w:rsidRPr="00775A20"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L’Association de l’industrie électrique du Québec (AIEQ) souhaite présenter à la Régie de l’énergie ses observations dans le cadre du dossier R-4333-2026 portant sur la fixation de nouveaux tarifs applicables aux centres de données et aux chaînes de blocs.</w:t>
      </w:r>
    </w:p>
    <w:p w14:paraId="679CDC56" w14:textId="77777777" w:rsidR="00775A20" w:rsidRPr="00775A20" w:rsidRDefault="00775A20" w:rsidP="00775A20">
      <w:pPr>
        <w:spacing w:after="0" w:line="240" w:lineRule="auto"/>
        <w:jc w:val="both"/>
        <w:rPr>
          <w:rFonts w:ascii="Seaford Display" w:hAnsi="Seaford Display"/>
          <w:sz w:val="22"/>
          <w:szCs w:val="22"/>
        </w:rPr>
      </w:pPr>
    </w:p>
    <w:p w14:paraId="07BDC1A9" w14:textId="77777777" w:rsidR="00775A20" w:rsidRPr="00775A20"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L’AIEQ appuie le principe d’un traitement tarifaire distinct pour ces usages. Elle estime toutefois que cette réflexion doit s’inscrire dans une perspective plus large : comment le Québec peut-il maximiser la valeur économique et stratégique de son avantage énergétique dans un contexte de croissance importante de la demande d’électricité?</w:t>
      </w:r>
    </w:p>
    <w:p w14:paraId="15BB31E3" w14:textId="77777777" w:rsidR="00775A20" w:rsidRPr="00775A20" w:rsidRDefault="00775A20" w:rsidP="00775A20">
      <w:pPr>
        <w:spacing w:after="0" w:line="240" w:lineRule="auto"/>
        <w:jc w:val="both"/>
        <w:rPr>
          <w:rFonts w:ascii="Seaford Display" w:hAnsi="Seaford Display"/>
          <w:sz w:val="22"/>
          <w:szCs w:val="22"/>
        </w:rPr>
      </w:pPr>
    </w:p>
    <w:p w14:paraId="3B0FB385" w14:textId="44C118BF" w:rsidR="00775A20" w:rsidRPr="00C4528B" w:rsidRDefault="00775A20" w:rsidP="00775A20">
      <w:pPr>
        <w:spacing w:after="0" w:line="240" w:lineRule="auto"/>
        <w:jc w:val="both"/>
        <w:rPr>
          <w:rFonts w:ascii="Seaford Display" w:hAnsi="Seaford Display"/>
          <w:b/>
          <w:bCs/>
          <w:sz w:val="22"/>
          <w:szCs w:val="22"/>
        </w:rPr>
      </w:pPr>
      <w:r w:rsidRPr="00C4528B">
        <w:rPr>
          <w:rFonts w:ascii="Seaford Display" w:hAnsi="Seaford Display"/>
          <w:b/>
          <w:bCs/>
          <w:sz w:val="22"/>
          <w:szCs w:val="22"/>
        </w:rPr>
        <w:t>Le Québec offre plus qu’un prix d’électricité</w:t>
      </w:r>
    </w:p>
    <w:p w14:paraId="15AF35E1" w14:textId="77777777" w:rsidR="00C4528B" w:rsidRPr="00775A20" w:rsidRDefault="00C4528B" w:rsidP="00775A20">
      <w:pPr>
        <w:spacing w:after="0" w:line="240" w:lineRule="auto"/>
        <w:jc w:val="both"/>
        <w:rPr>
          <w:rFonts w:ascii="Seaford Display" w:hAnsi="Seaford Display"/>
          <w:sz w:val="22"/>
          <w:szCs w:val="22"/>
        </w:rPr>
      </w:pPr>
    </w:p>
    <w:p w14:paraId="6466BCDF" w14:textId="68C5C718" w:rsidR="00775A20" w:rsidRPr="00775A20"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Le coût d’accès à l’électricité varie considérablement d’une juridiction à l’autre en Amérique du Nord. Le tarif proposé au Québec</w:t>
      </w:r>
      <w:r w:rsidR="004A01CA">
        <w:rPr>
          <w:rFonts w:ascii="Seaford Display" w:hAnsi="Seaford Display"/>
          <w:sz w:val="22"/>
          <w:szCs w:val="22"/>
        </w:rPr>
        <w:t xml:space="preserve"> pour les centres de données est</w:t>
      </w:r>
      <w:r w:rsidRPr="00775A20">
        <w:rPr>
          <w:rFonts w:ascii="Seaford Display" w:hAnsi="Seaford Display"/>
          <w:sz w:val="22"/>
          <w:szCs w:val="22"/>
        </w:rPr>
        <w:t xml:space="preserve"> de l’ordre de 13 ¢/kWh,</w:t>
      </w:r>
      <w:r w:rsidR="00F76BF0">
        <w:rPr>
          <w:rFonts w:ascii="Seaford Display" w:hAnsi="Seaford Display"/>
          <w:sz w:val="22"/>
          <w:szCs w:val="22"/>
        </w:rPr>
        <w:t xml:space="preserve"> soit le coût marginal de nouvelles infrastructures </w:t>
      </w:r>
      <w:r w:rsidR="00797E0D">
        <w:rPr>
          <w:rFonts w:ascii="Seaford Display" w:hAnsi="Seaford Display"/>
          <w:sz w:val="22"/>
          <w:szCs w:val="22"/>
        </w:rPr>
        <w:t xml:space="preserve">de 12 </w:t>
      </w:r>
      <w:r w:rsidR="00797E0D" w:rsidRPr="00775A20">
        <w:rPr>
          <w:rFonts w:ascii="Seaford Display" w:hAnsi="Seaford Display"/>
          <w:sz w:val="22"/>
          <w:szCs w:val="22"/>
        </w:rPr>
        <w:t>¢/</w:t>
      </w:r>
      <w:r w:rsidR="00053B26" w:rsidRPr="00775A20">
        <w:rPr>
          <w:rFonts w:ascii="Seaford Display" w:hAnsi="Seaford Display"/>
          <w:sz w:val="22"/>
          <w:szCs w:val="22"/>
        </w:rPr>
        <w:t>kWh</w:t>
      </w:r>
      <w:r w:rsidR="00053B26">
        <w:rPr>
          <w:rFonts w:ascii="Seaford Display" w:hAnsi="Seaford Display"/>
          <w:sz w:val="22"/>
          <w:szCs w:val="22"/>
        </w:rPr>
        <w:t xml:space="preserve"> </w:t>
      </w:r>
      <w:r w:rsidR="00053B26" w:rsidRPr="00775A20">
        <w:rPr>
          <w:rFonts w:ascii="Seaford Display" w:hAnsi="Seaford Display"/>
          <w:sz w:val="22"/>
          <w:szCs w:val="22"/>
        </w:rPr>
        <w:t>et</w:t>
      </w:r>
      <w:r w:rsidR="00EA7ABE">
        <w:rPr>
          <w:rFonts w:ascii="Seaford Display" w:hAnsi="Seaford Display"/>
          <w:sz w:val="22"/>
          <w:szCs w:val="22"/>
        </w:rPr>
        <w:t xml:space="preserve"> le </w:t>
      </w:r>
      <w:r w:rsidR="003117E3">
        <w:rPr>
          <w:rFonts w:ascii="Seaford Display" w:hAnsi="Seaford Display"/>
          <w:sz w:val="22"/>
          <w:szCs w:val="22"/>
        </w:rPr>
        <w:t>coût équivalent</w:t>
      </w:r>
      <w:r w:rsidR="00EA7ABE">
        <w:rPr>
          <w:rFonts w:ascii="Seaford Display" w:hAnsi="Seaford Display"/>
          <w:sz w:val="22"/>
          <w:szCs w:val="22"/>
        </w:rPr>
        <w:t xml:space="preserve"> en puissance. </w:t>
      </w:r>
      <w:r w:rsidR="003117E3">
        <w:rPr>
          <w:rFonts w:ascii="Seaford Display" w:hAnsi="Seaford Display"/>
          <w:sz w:val="22"/>
          <w:szCs w:val="22"/>
        </w:rPr>
        <w:t>Il doit</w:t>
      </w:r>
      <w:r w:rsidRPr="00775A20">
        <w:rPr>
          <w:rFonts w:ascii="Seaford Display" w:hAnsi="Seaford Display"/>
          <w:sz w:val="22"/>
          <w:szCs w:val="22"/>
        </w:rPr>
        <w:t xml:space="preserve"> être mis en perspective avec les prix observés ailleurs sur le continent</w:t>
      </w:r>
      <w:r w:rsidR="003117E3">
        <w:rPr>
          <w:rFonts w:ascii="Seaford Display" w:hAnsi="Seaford Display"/>
          <w:sz w:val="22"/>
          <w:szCs w:val="22"/>
        </w:rPr>
        <w:t xml:space="preserve">, obtenus </w:t>
      </w:r>
      <w:r w:rsidR="00A13B44">
        <w:rPr>
          <w:rFonts w:ascii="Seaford Display" w:hAnsi="Seaford Display"/>
          <w:sz w:val="22"/>
          <w:szCs w:val="22"/>
        </w:rPr>
        <w:t xml:space="preserve">dépendamment </w:t>
      </w:r>
      <w:r w:rsidR="003117E3">
        <w:rPr>
          <w:rFonts w:ascii="Seaford Display" w:hAnsi="Seaford Display"/>
          <w:sz w:val="22"/>
          <w:szCs w:val="22"/>
        </w:rPr>
        <w:t xml:space="preserve">par la </w:t>
      </w:r>
      <w:r w:rsidR="00053B26">
        <w:rPr>
          <w:rFonts w:ascii="Seaford Display" w:hAnsi="Seaford Display"/>
          <w:sz w:val="22"/>
          <w:szCs w:val="22"/>
        </w:rPr>
        <w:t>vigie, les</w:t>
      </w:r>
      <w:r w:rsidR="00A13B44">
        <w:rPr>
          <w:rFonts w:ascii="Seaford Display" w:hAnsi="Seaford Display"/>
          <w:sz w:val="22"/>
          <w:szCs w:val="22"/>
        </w:rPr>
        <w:t xml:space="preserve"> </w:t>
      </w:r>
      <w:r w:rsidR="008468EE">
        <w:rPr>
          <w:rFonts w:ascii="Seaford Display" w:hAnsi="Seaford Display"/>
          <w:sz w:val="22"/>
          <w:szCs w:val="22"/>
        </w:rPr>
        <w:t xml:space="preserve">éditions publiques ou l’IEA </w:t>
      </w:r>
      <w:r w:rsidR="00053B26">
        <w:rPr>
          <w:rFonts w:ascii="Seaford Display" w:hAnsi="Seaford Display"/>
          <w:sz w:val="22"/>
          <w:szCs w:val="22"/>
        </w:rPr>
        <w:t>(Agence</w:t>
      </w:r>
      <w:r w:rsidR="008468EE">
        <w:rPr>
          <w:rFonts w:ascii="Seaford Display" w:hAnsi="Seaford Display"/>
          <w:sz w:val="22"/>
          <w:szCs w:val="22"/>
        </w:rPr>
        <w:t xml:space="preserve"> Internationale de </w:t>
      </w:r>
      <w:r w:rsidR="00053B26">
        <w:rPr>
          <w:rFonts w:ascii="Seaford Display" w:hAnsi="Seaford Display"/>
          <w:sz w:val="22"/>
          <w:szCs w:val="22"/>
        </w:rPr>
        <w:t>l’Énergie</w:t>
      </w:r>
      <w:r w:rsidR="00B6151C">
        <w:rPr>
          <w:rFonts w:ascii="Seaford Display" w:hAnsi="Seaford Display"/>
          <w:sz w:val="22"/>
          <w:szCs w:val="22"/>
        </w:rPr>
        <w:t>).</w:t>
      </w:r>
      <w:r w:rsidRPr="00775A20">
        <w:rPr>
          <w:rFonts w:ascii="Seaford Display" w:hAnsi="Seaford Display"/>
          <w:sz w:val="22"/>
          <w:szCs w:val="22"/>
        </w:rPr>
        <w:t xml:space="preserve"> </w:t>
      </w:r>
      <w:r w:rsidR="00B6151C">
        <w:rPr>
          <w:rFonts w:ascii="Seaford Display" w:hAnsi="Seaford Display"/>
          <w:sz w:val="22"/>
          <w:szCs w:val="22"/>
        </w:rPr>
        <w:t xml:space="preserve">Il s’avère que le prix proposé au Québec est plus bas </w:t>
      </w:r>
      <w:r w:rsidR="00217790">
        <w:rPr>
          <w:rFonts w:ascii="Seaford Display" w:hAnsi="Seaford Display"/>
          <w:sz w:val="22"/>
          <w:szCs w:val="22"/>
        </w:rPr>
        <w:t xml:space="preserve">d’une part </w:t>
      </w:r>
      <w:r w:rsidR="00B6151C">
        <w:rPr>
          <w:rFonts w:ascii="Seaford Display" w:hAnsi="Seaford Display"/>
          <w:sz w:val="22"/>
          <w:szCs w:val="22"/>
        </w:rPr>
        <w:t xml:space="preserve">que la majorité des provinces canadiennes </w:t>
      </w:r>
      <w:r w:rsidR="00C11C6D">
        <w:rPr>
          <w:rFonts w:ascii="Seaford Display" w:hAnsi="Seaford Display"/>
          <w:sz w:val="22"/>
          <w:szCs w:val="22"/>
        </w:rPr>
        <w:t>offrant un pr</w:t>
      </w:r>
      <w:r w:rsidR="00A040A2">
        <w:rPr>
          <w:rFonts w:ascii="Seaford Display" w:hAnsi="Seaford Display"/>
          <w:sz w:val="22"/>
          <w:szCs w:val="22"/>
        </w:rPr>
        <w:t>i</w:t>
      </w:r>
      <w:r w:rsidR="00C11C6D">
        <w:rPr>
          <w:rFonts w:ascii="Seaford Display" w:hAnsi="Seaford Display"/>
          <w:sz w:val="22"/>
          <w:szCs w:val="22"/>
        </w:rPr>
        <w:t xml:space="preserve">x au-delà de 20 </w:t>
      </w:r>
      <w:r w:rsidR="00C11C6D" w:rsidRPr="00775A20">
        <w:rPr>
          <w:rFonts w:ascii="Seaford Display" w:hAnsi="Seaford Display"/>
          <w:sz w:val="22"/>
          <w:szCs w:val="22"/>
        </w:rPr>
        <w:t>¢/kWh</w:t>
      </w:r>
      <w:r w:rsidR="00C30884">
        <w:rPr>
          <w:rFonts w:ascii="Seaford Display" w:hAnsi="Seaford Display"/>
          <w:sz w:val="22"/>
          <w:szCs w:val="22"/>
        </w:rPr>
        <w:t>; d’autre part,</w:t>
      </w:r>
      <w:r w:rsidR="00F54A50">
        <w:rPr>
          <w:rFonts w:ascii="Seaford Display" w:hAnsi="Seaford Display"/>
          <w:sz w:val="22"/>
          <w:szCs w:val="22"/>
        </w:rPr>
        <w:t xml:space="preserve"> </w:t>
      </w:r>
      <w:r w:rsidR="00A040A2">
        <w:rPr>
          <w:rFonts w:ascii="Seaford Display" w:hAnsi="Seaford Display"/>
          <w:sz w:val="22"/>
          <w:szCs w:val="22"/>
        </w:rPr>
        <w:t xml:space="preserve">aux États-Unis, </w:t>
      </w:r>
      <w:r w:rsidR="00C30884">
        <w:rPr>
          <w:rFonts w:ascii="Seaford Display" w:hAnsi="Seaford Display"/>
          <w:sz w:val="22"/>
          <w:szCs w:val="22"/>
        </w:rPr>
        <w:t>à part au Texa</w:t>
      </w:r>
      <w:r w:rsidR="00C34530">
        <w:rPr>
          <w:rFonts w:ascii="Seaford Display" w:hAnsi="Seaford Display"/>
          <w:sz w:val="22"/>
          <w:szCs w:val="22"/>
        </w:rPr>
        <w:t xml:space="preserve">s- </w:t>
      </w:r>
      <w:r w:rsidR="00F54A50">
        <w:rPr>
          <w:rFonts w:ascii="Seaford Display" w:hAnsi="Seaford Display"/>
          <w:sz w:val="22"/>
          <w:szCs w:val="22"/>
        </w:rPr>
        <w:t>o</w:t>
      </w:r>
      <w:r w:rsidR="00DD1214">
        <w:rPr>
          <w:rFonts w:ascii="Seaford Display" w:hAnsi="Seaford Display"/>
          <w:sz w:val="22"/>
          <w:szCs w:val="22"/>
        </w:rPr>
        <w:t>u</w:t>
      </w:r>
      <w:r w:rsidR="00F54A50">
        <w:rPr>
          <w:rFonts w:ascii="Seaford Display" w:hAnsi="Seaford Display"/>
          <w:sz w:val="22"/>
          <w:szCs w:val="22"/>
        </w:rPr>
        <w:t xml:space="preserve"> l’offre a explosé les dernières années </w:t>
      </w:r>
      <w:r w:rsidR="00C34530">
        <w:rPr>
          <w:rFonts w:ascii="Seaford Display" w:hAnsi="Seaford Display"/>
          <w:sz w:val="22"/>
          <w:szCs w:val="22"/>
        </w:rPr>
        <w:t xml:space="preserve">contrairement au Québec- </w:t>
      </w:r>
      <w:r w:rsidR="00C30884">
        <w:rPr>
          <w:rFonts w:ascii="Seaford Display" w:hAnsi="Seaford Display"/>
          <w:sz w:val="22"/>
          <w:szCs w:val="22"/>
        </w:rPr>
        <w:t xml:space="preserve"> et au Nevada</w:t>
      </w:r>
      <w:r w:rsidR="00DD1214">
        <w:rPr>
          <w:rFonts w:ascii="Seaford Display" w:hAnsi="Seaford Display"/>
          <w:sz w:val="22"/>
          <w:szCs w:val="22"/>
        </w:rPr>
        <w:t xml:space="preserve"> </w:t>
      </w:r>
      <w:r w:rsidR="00647040">
        <w:rPr>
          <w:rFonts w:ascii="Seaford Display" w:hAnsi="Seaford Display"/>
          <w:sz w:val="22"/>
          <w:szCs w:val="22"/>
        </w:rPr>
        <w:t xml:space="preserve">ou l’autoproduction est permise, les prix </w:t>
      </w:r>
      <w:r w:rsidR="00D16D27">
        <w:rPr>
          <w:rFonts w:ascii="Seaford Display" w:hAnsi="Seaford Display"/>
          <w:sz w:val="22"/>
          <w:szCs w:val="22"/>
        </w:rPr>
        <w:t xml:space="preserve">offerts industriels </w:t>
      </w:r>
      <w:r w:rsidR="00647040">
        <w:rPr>
          <w:rFonts w:ascii="Seaford Display" w:hAnsi="Seaford Display"/>
          <w:sz w:val="22"/>
          <w:szCs w:val="22"/>
        </w:rPr>
        <w:t xml:space="preserve">se situent </w:t>
      </w:r>
      <w:r w:rsidR="00266FED">
        <w:rPr>
          <w:rFonts w:ascii="Seaford Display" w:hAnsi="Seaford Display"/>
          <w:sz w:val="22"/>
          <w:szCs w:val="22"/>
        </w:rPr>
        <w:t>dans la moyenne</w:t>
      </w:r>
      <w:r w:rsidR="00D53A51">
        <w:rPr>
          <w:rFonts w:ascii="Seaford Display" w:hAnsi="Seaford Display"/>
          <w:sz w:val="22"/>
          <w:szCs w:val="22"/>
        </w:rPr>
        <w:t xml:space="preserve"> autour de 13 </w:t>
      </w:r>
      <w:r w:rsidR="00D53A51" w:rsidRPr="00775A20">
        <w:rPr>
          <w:rFonts w:ascii="Seaford Display" w:hAnsi="Seaford Display"/>
          <w:sz w:val="22"/>
          <w:szCs w:val="22"/>
        </w:rPr>
        <w:t>¢/kWh</w:t>
      </w:r>
      <w:r w:rsidR="00D53A51">
        <w:rPr>
          <w:rFonts w:ascii="Seaford Display" w:hAnsi="Seaford Display"/>
          <w:sz w:val="22"/>
          <w:szCs w:val="22"/>
        </w:rPr>
        <w:t xml:space="preserve">, </w:t>
      </w:r>
      <w:r w:rsidR="00D16D27">
        <w:rPr>
          <w:rFonts w:ascii="Seaford Display" w:hAnsi="Seaford Display"/>
          <w:sz w:val="22"/>
          <w:szCs w:val="22"/>
        </w:rPr>
        <w:t xml:space="preserve">majoritairement de </w:t>
      </w:r>
      <w:r w:rsidR="00D53A51">
        <w:rPr>
          <w:rFonts w:ascii="Seaford Display" w:hAnsi="Seaford Display"/>
          <w:sz w:val="22"/>
          <w:szCs w:val="22"/>
        </w:rPr>
        <w:t xml:space="preserve">source </w:t>
      </w:r>
      <w:r w:rsidR="00D16D27">
        <w:rPr>
          <w:rFonts w:ascii="Seaford Display" w:hAnsi="Seaford Display"/>
          <w:sz w:val="22"/>
          <w:szCs w:val="22"/>
        </w:rPr>
        <w:t xml:space="preserve">fossile, L’explosion de la demande </w:t>
      </w:r>
      <w:r w:rsidR="008913AE">
        <w:rPr>
          <w:rFonts w:ascii="Seaford Display" w:hAnsi="Seaford Display"/>
          <w:sz w:val="22"/>
          <w:szCs w:val="22"/>
        </w:rPr>
        <w:t xml:space="preserve">sera en outre comblée en grande partie par </w:t>
      </w:r>
      <w:r w:rsidR="009029E9">
        <w:rPr>
          <w:rFonts w:ascii="Seaford Display" w:hAnsi="Seaford Display"/>
          <w:sz w:val="22"/>
          <w:szCs w:val="22"/>
        </w:rPr>
        <w:t xml:space="preserve">des turbines à gaz, émettrices de gaz à effet de serres d’origine fossile. </w:t>
      </w:r>
      <w:r w:rsidR="00A040A2">
        <w:rPr>
          <w:rFonts w:ascii="Seaford Display" w:hAnsi="Seaford Display"/>
          <w:sz w:val="22"/>
          <w:szCs w:val="22"/>
        </w:rPr>
        <w:t xml:space="preserve"> </w:t>
      </w:r>
      <w:r w:rsidR="00C30884">
        <w:rPr>
          <w:rFonts w:ascii="Seaford Display" w:hAnsi="Seaford Display"/>
          <w:sz w:val="22"/>
          <w:szCs w:val="22"/>
        </w:rPr>
        <w:t xml:space="preserve">  </w:t>
      </w:r>
    </w:p>
    <w:p w14:paraId="5468A2C2" w14:textId="77777777" w:rsidR="00775A20" w:rsidRPr="00775A20" w:rsidRDefault="00775A20" w:rsidP="00775A20">
      <w:pPr>
        <w:spacing w:after="0" w:line="240" w:lineRule="auto"/>
        <w:jc w:val="both"/>
        <w:rPr>
          <w:rFonts w:ascii="Seaford Display" w:hAnsi="Seaford Display"/>
          <w:sz w:val="22"/>
          <w:szCs w:val="22"/>
        </w:rPr>
      </w:pPr>
    </w:p>
    <w:p w14:paraId="4D38CDF5" w14:textId="12934A0C" w:rsidR="00775A20" w:rsidRPr="00775A20" w:rsidRDefault="009029E9" w:rsidP="00775A20">
      <w:pPr>
        <w:spacing w:after="0" w:line="240" w:lineRule="auto"/>
        <w:jc w:val="both"/>
        <w:rPr>
          <w:rFonts w:ascii="Seaford Display" w:hAnsi="Seaford Display"/>
          <w:sz w:val="22"/>
          <w:szCs w:val="22"/>
        </w:rPr>
      </w:pPr>
      <w:r>
        <w:rPr>
          <w:rFonts w:ascii="Seaford Display" w:hAnsi="Seaford Display"/>
          <w:sz w:val="22"/>
          <w:szCs w:val="22"/>
        </w:rPr>
        <w:t xml:space="preserve">Et c’est bien là que </w:t>
      </w:r>
      <w:r w:rsidR="00F779E8">
        <w:rPr>
          <w:rFonts w:ascii="Seaford Display" w:hAnsi="Seaford Display"/>
          <w:sz w:val="22"/>
          <w:szCs w:val="22"/>
        </w:rPr>
        <w:t xml:space="preserve">le Québec se différence. </w:t>
      </w:r>
      <w:r>
        <w:rPr>
          <w:rFonts w:ascii="Seaford Display" w:hAnsi="Seaford Display"/>
          <w:sz w:val="22"/>
          <w:szCs w:val="22"/>
        </w:rPr>
        <w:t xml:space="preserve"> </w:t>
      </w:r>
      <w:r w:rsidR="00775A20" w:rsidRPr="00775A20">
        <w:rPr>
          <w:rFonts w:ascii="Seaford Display" w:hAnsi="Seaford Display"/>
          <w:sz w:val="22"/>
          <w:szCs w:val="22"/>
        </w:rPr>
        <w:t>Son véritable avantage comparatif ne repose toutefois pas uniquement sur le prix</w:t>
      </w:r>
      <w:r w:rsidR="00F779E8">
        <w:rPr>
          <w:rFonts w:ascii="Seaford Display" w:hAnsi="Seaford Display"/>
          <w:sz w:val="22"/>
          <w:szCs w:val="22"/>
        </w:rPr>
        <w:t xml:space="preserve"> avantageux</w:t>
      </w:r>
      <w:r w:rsidR="00775A20" w:rsidRPr="00775A20">
        <w:rPr>
          <w:rFonts w:ascii="Seaford Display" w:hAnsi="Seaford Display"/>
          <w:sz w:val="22"/>
          <w:szCs w:val="22"/>
        </w:rPr>
        <w:t xml:space="preserve"> du kilowattheure. Il tient également </w:t>
      </w:r>
      <w:r w:rsidR="00F72258">
        <w:rPr>
          <w:rFonts w:ascii="Seaford Display" w:hAnsi="Seaford Display"/>
          <w:sz w:val="22"/>
          <w:szCs w:val="22"/>
        </w:rPr>
        <w:t xml:space="preserve">au </w:t>
      </w:r>
      <w:r w:rsidR="00B05B48">
        <w:rPr>
          <w:rFonts w:ascii="Seaford Display" w:hAnsi="Seaford Display"/>
          <w:sz w:val="22"/>
          <w:szCs w:val="22"/>
        </w:rPr>
        <w:t>privilège</w:t>
      </w:r>
      <w:r w:rsidR="00D8167D">
        <w:rPr>
          <w:rFonts w:ascii="Seaford Display" w:hAnsi="Seaford Display"/>
          <w:sz w:val="22"/>
          <w:szCs w:val="22"/>
        </w:rPr>
        <w:t xml:space="preserve">, pour un </w:t>
      </w:r>
      <w:proofErr w:type="gramStart"/>
      <w:r w:rsidR="00D8167D">
        <w:rPr>
          <w:rFonts w:ascii="Seaford Display" w:hAnsi="Seaford Display"/>
          <w:sz w:val="22"/>
          <w:szCs w:val="22"/>
        </w:rPr>
        <w:lastRenderedPageBreak/>
        <w:t>producteur</w:t>
      </w:r>
      <w:proofErr w:type="gramEnd"/>
      <w:r w:rsidR="00D8167D">
        <w:rPr>
          <w:rFonts w:ascii="Seaford Display" w:hAnsi="Seaford Display"/>
          <w:sz w:val="22"/>
          <w:szCs w:val="22"/>
        </w:rPr>
        <w:t xml:space="preserve"> de centre de données, d’accéder à </w:t>
      </w:r>
      <w:r w:rsidR="00775A20" w:rsidRPr="00775A20">
        <w:rPr>
          <w:rFonts w:ascii="Seaford Display" w:hAnsi="Seaford Display"/>
          <w:sz w:val="22"/>
          <w:szCs w:val="22"/>
        </w:rPr>
        <w:t>une électricité fiable et</w:t>
      </w:r>
      <w:r w:rsidR="00D8167D">
        <w:rPr>
          <w:rFonts w:ascii="Seaford Display" w:hAnsi="Seaford Display"/>
          <w:sz w:val="22"/>
          <w:szCs w:val="22"/>
        </w:rPr>
        <w:t xml:space="preserve"> </w:t>
      </w:r>
      <w:r w:rsidR="00F72258">
        <w:rPr>
          <w:rFonts w:ascii="Seaford Display" w:hAnsi="Seaford Display"/>
          <w:sz w:val="22"/>
          <w:szCs w:val="22"/>
        </w:rPr>
        <w:t>décarbonée</w:t>
      </w:r>
      <w:r w:rsidR="00775A20" w:rsidRPr="00775A20">
        <w:rPr>
          <w:rFonts w:ascii="Seaford Display" w:hAnsi="Seaford Display"/>
          <w:sz w:val="22"/>
          <w:szCs w:val="22"/>
        </w:rPr>
        <w:t xml:space="preserve"> à plus de 9</w:t>
      </w:r>
      <w:r w:rsidR="00D8167D">
        <w:rPr>
          <w:rFonts w:ascii="Seaford Display" w:hAnsi="Seaford Display"/>
          <w:sz w:val="22"/>
          <w:szCs w:val="22"/>
        </w:rPr>
        <w:t>6</w:t>
      </w:r>
      <w:r w:rsidR="00775A20" w:rsidRPr="00775A20">
        <w:rPr>
          <w:rFonts w:ascii="Seaford Display" w:hAnsi="Seaford Display"/>
          <w:sz w:val="22"/>
          <w:szCs w:val="22"/>
        </w:rPr>
        <w:t xml:space="preserve"> %, principalement issue de l’hydroélectricité</w:t>
      </w:r>
      <w:r w:rsidR="001B2A52">
        <w:rPr>
          <w:rFonts w:ascii="Seaford Display" w:hAnsi="Seaford Display"/>
          <w:sz w:val="22"/>
          <w:szCs w:val="22"/>
        </w:rPr>
        <w:t xml:space="preserve">, couplée à l’éolien </w:t>
      </w:r>
      <w:r w:rsidR="00C86C9B">
        <w:rPr>
          <w:rFonts w:ascii="Seaford Display" w:hAnsi="Seaford Display"/>
          <w:sz w:val="22"/>
          <w:szCs w:val="22"/>
        </w:rPr>
        <w:t xml:space="preserve">et au solaire </w:t>
      </w:r>
      <w:r w:rsidR="001B2A52">
        <w:rPr>
          <w:rFonts w:ascii="Seaford Display" w:hAnsi="Seaford Display"/>
          <w:sz w:val="22"/>
          <w:szCs w:val="22"/>
        </w:rPr>
        <w:t>d’ici 2035</w:t>
      </w:r>
      <w:r w:rsidR="00775A20" w:rsidRPr="00775A20">
        <w:rPr>
          <w:rFonts w:ascii="Seaford Display" w:hAnsi="Seaford Display"/>
          <w:sz w:val="22"/>
          <w:szCs w:val="22"/>
        </w:rPr>
        <w:t>.</w:t>
      </w:r>
    </w:p>
    <w:p w14:paraId="174215E9" w14:textId="77777777" w:rsidR="00775A20" w:rsidRPr="00775A20" w:rsidRDefault="00775A20" w:rsidP="00775A20">
      <w:pPr>
        <w:spacing w:after="0" w:line="240" w:lineRule="auto"/>
        <w:jc w:val="both"/>
        <w:rPr>
          <w:rFonts w:ascii="Seaford Display" w:hAnsi="Seaford Display"/>
          <w:sz w:val="22"/>
          <w:szCs w:val="22"/>
        </w:rPr>
      </w:pPr>
    </w:p>
    <w:p w14:paraId="6252556E" w14:textId="623B0BFC" w:rsidR="00D74CAB"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 xml:space="preserve">Pour un secteur comme celui des centres de données, </w:t>
      </w:r>
      <w:r w:rsidR="00D8167D" w:rsidRPr="00775A20">
        <w:rPr>
          <w:rFonts w:ascii="Seaford Display" w:hAnsi="Seaford Display"/>
          <w:sz w:val="22"/>
          <w:szCs w:val="22"/>
        </w:rPr>
        <w:t>cette caractéristique constitue une valeur réell</w:t>
      </w:r>
      <w:r w:rsidR="00C312C5">
        <w:rPr>
          <w:rFonts w:ascii="Seaford Display" w:hAnsi="Seaford Display"/>
          <w:sz w:val="22"/>
          <w:szCs w:val="22"/>
        </w:rPr>
        <w:t xml:space="preserve">e, qui pourrait difficilement être disponible ailleurs </w:t>
      </w:r>
      <w:r w:rsidR="00051DC3">
        <w:rPr>
          <w:rFonts w:ascii="Seaford Display" w:hAnsi="Seaford Display"/>
          <w:sz w:val="22"/>
          <w:szCs w:val="22"/>
        </w:rPr>
        <w:t xml:space="preserve">rapidement. </w:t>
      </w:r>
      <w:r w:rsidR="00F25706">
        <w:rPr>
          <w:rFonts w:ascii="Seaford Display" w:hAnsi="Seaford Display"/>
          <w:sz w:val="22"/>
          <w:szCs w:val="22"/>
        </w:rPr>
        <w:t xml:space="preserve">A ce </w:t>
      </w:r>
      <w:r w:rsidR="00C86C9B">
        <w:rPr>
          <w:rFonts w:ascii="Seaford Display" w:hAnsi="Seaford Display"/>
          <w:sz w:val="22"/>
          <w:szCs w:val="22"/>
        </w:rPr>
        <w:t>titre, le</w:t>
      </w:r>
      <w:r w:rsidR="00F25706">
        <w:rPr>
          <w:rFonts w:ascii="Seaford Display" w:hAnsi="Seaford Display"/>
          <w:sz w:val="22"/>
          <w:szCs w:val="22"/>
        </w:rPr>
        <w:t xml:space="preserve"> prix de 13</w:t>
      </w:r>
      <w:r w:rsidR="00F25706" w:rsidRPr="00775A20">
        <w:rPr>
          <w:rFonts w:ascii="Seaford Display" w:hAnsi="Seaford Display"/>
          <w:sz w:val="22"/>
          <w:szCs w:val="22"/>
        </w:rPr>
        <w:t>¢/kWh</w:t>
      </w:r>
      <w:r w:rsidR="00F25706">
        <w:rPr>
          <w:rFonts w:ascii="Seaford Display" w:hAnsi="Seaford Display"/>
          <w:sz w:val="22"/>
          <w:szCs w:val="22"/>
        </w:rPr>
        <w:t xml:space="preserve"> n’inclut pas la taxe carbone</w:t>
      </w:r>
      <w:r w:rsidR="00205550">
        <w:rPr>
          <w:rFonts w:ascii="Seaford Display" w:hAnsi="Seaford Display"/>
          <w:sz w:val="22"/>
          <w:szCs w:val="22"/>
        </w:rPr>
        <w:t xml:space="preserve"> et ne reflète pas</w:t>
      </w:r>
      <w:r w:rsidR="0001069F">
        <w:rPr>
          <w:rFonts w:ascii="Seaford Display" w:hAnsi="Seaford Display"/>
          <w:sz w:val="22"/>
          <w:szCs w:val="22"/>
        </w:rPr>
        <w:t xml:space="preserve"> la valeur de durabilité</w:t>
      </w:r>
      <w:r w:rsidR="00205550">
        <w:rPr>
          <w:rFonts w:ascii="Seaford Display" w:hAnsi="Seaford Display"/>
          <w:sz w:val="22"/>
          <w:szCs w:val="22"/>
        </w:rPr>
        <w:t xml:space="preserve"> que la compagnie d</w:t>
      </w:r>
      <w:r w:rsidR="00D132FC">
        <w:rPr>
          <w:rFonts w:ascii="Seaford Display" w:hAnsi="Seaford Display"/>
          <w:sz w:val="22"/>
          <w:szCs w:val="22"/>
        </w:rPr>
        <w:t xml:space="preserve">’un centre de données pourra y associer : il faudrait </w:t>
      </w:r>
      <w:r w:rsidR="007F402A">
        <w:rPr>
          <w:rFonts w:ascii="Seaford Display" w:hAnsi="Seaford Display"/>
          <w:sz w:val="22"/>
          <w:szCs w:val="22"/>
        </w:rPr>
        <w:t xml:space="preserve">donc le considérer comme un prix plancher, sa valeur commerciale et stratégique étant bien plus élevée. </w:t>
      </w:r>
    </w:p>
    <w:p w14:paraId="389D2834" w14:textId="77777777" w:rsidR="00D74CAB" w:rsidRDefault="00D74CAB" w:rsidP="00775A20">
      <w:pPr>
        <w:spacing w:after="0" w:line="240" w:lineRule="auto"/>
        <w:jc w:val="both"/>
        <w:rPr>
          <w:rFonts w:ascii="Seaford Display" w:hAnsi="Seaford Display"/>
          <w:sz w:val="22"/>
          <w:szCs w:val="22"/>
        </w:rPr>
      </w:pPr>
    </w:p>
    <w:p w14:paraId="3BE87D8B" w14:textId="77777777" w:rsidR="003A0423" w:rsidRDefault="00D74CAB" w:rsidP="00775A20">
      <w:pPr>
        <w:spacing w:after="0" w:line="240" w:lineRule="auto"/>
        <w:jc w:val="both"/>
        <w:rPr>
          <w:rFonts w:ascii="Seaford Display" w:hAnsi="Seaford Display"/>
          <w:sz w:val="22"/>
          <w:szCs w:val="22"/>
        </w:rPr>
      </w:pPr>
      <w:r>
        <w:rPr>
          <w:rFonts w:ascii="Seaford Display" w:hAnsi="Seaford Display"/>
          <w:sz w:val="22"/>
          <w:szCs w:val="22"/>
        </w:rPr>
        <w:t xml:space="preserve">Par ailleurs, </w:t>
      </w:r>
      <w:r w:rsidR="00884A53">
        <w:rPr>
          <w:rFonts w:ascii="Seaford Display" w:hAnsi="Seaford Display"/>
          <w:sz w:val="22"/>
          <w:szCs w:val="22"/>
        </w:rPr>
        <w:t>en plus</w:t>
      </w:r>
      <w:r w:rsidR="00884A53" w:rsidRPr="00884A53">
        <w:rPr>
          <w:rFonts w:ascii="Seaford Display" w:hAnsi="Seaford Display"/>
          <w:sz w:val="22"/>
          <w:szCs w:val="22"/>
        </w:rPr>
        <w:t xml:space="preserve"> </w:t>
      </w:r>
      <w:r w:rsidR="00884A53">
        <w:rPr>
          <w:rFonts w:ascii="Seaford Display" w:hAnsi="Seaford Display"/>
          <w:sz w:val="22"/>
          <w:szCs w:val="22"/>
        </w:rPr>
        <w:t>d’</w:t>
      </w:r>
      <w:r w:rsidR="00884A53" w:rsidRPr="00775A20">
        <w:rPr>
          <w:rFonts w:ascii="Seaford Display" w:hAnsi="Seaford Display"/>
          <w:sz w:val="22"/>
          <w:szCs w:val="22"/>
        </w:rPr>
        <w:t>une proposition de valeur qui combine électricité propre, stabilité de l’approvisionnement</w:t>
      </w:r>
      <w:r w:rsidR="00884A53">
        <w:rPr>
          <w:rFonts w:ascii="Seaford Display" w:hAnsi="Seaford Display"/>
          <w:sz w:val="22"/>
          <w:szCs w:val="22"/>
        </w:rPr>
        <w:t xml:space="preserve"> </w:t>
      </w:r>
      <w:r w:rsidR="00C86C9B">
        <w:rPr>
          <w:rFonts w:ascii="Seaford Display" w:hAnsi="Seaford Display"/>
          <w:sz w:val="22"/>
          <w:szCs w:val="22"/>
        </w:rPr>
        <w:t xml:space="preserve">et </w:t>
      </w:r>
      <w:r w:rsidR="00C86C9B" w:rsidRPr="00775A20">
        <w:rPr>
          <w:rFonts w:ascii="Seaford Display" w:hAnsi="Seaford Display"/>
          <w:sz w:val="22"/>
          <w:szCs w:val="22"/>
        </w:rPr>
        <w:t>compétitivité</w:t>
      </w:r>
      <w:r w:rsidR="00884A53" w:rsidRPr="00775A20">
        <w:rPr>
          <w:rFonts w:ascii="Seaford Display" w:hAnsi="Seaford Display"/>
          <w:sz w:val="22"/>
          <w:szCs w:val="22"/>
        </w:rPr>
        <w:t xml:space="preserve"> des coûts</w:t>
      </w:r>
      <w:r w:rsidR="00884A53">
        <w:rPr>
          <w:rFonts w:ascii="Seaford Display" w:hAnsi="Seaford Display"/>
          <w:sz w:val="22"/>
          <w:szCs w:val="22"/>
        </w:rPr>
        <w:t>, le Québec offre</w:t>
      </w:r>
      <w:r w:rsidR="00884A53" w:rsidRPr="00884A53">
        <w:rPr>
          <w:rFonts w:ascii="Seaford Display" w:hAnsi="Seaford Display"/>
          <w:sz w:val="22"/>
          <w:szCs w:val="22"/>
        </w:rPr>
        <w:t xml:space="preserve"> </w:t>
      </w:r>
      <w:r w:rsidR="00884A53">
        <w:rPr>
          <w:rFonts w:ascii="Seaford Display" w:hAnsi="Seaford Display"/>
          <w:sz w:val="22"/>
          <w:szCs w:val="22"/>
        </w:rPr>
        <w:t>l’</w:t>
      </w:r>
      <w:r w:rsidR="00884A53" w:rsidRPr="00775A20">
        <w:rPr>
          <w:rFonts w:ascii="Seaford Display" w:hAnsi="Seaford Display"/>
          <w:sz w:val="22"/>
          <w:szCs w:val="22"/>
        </w:rPr>
        <w:t>accès à un écosystème technologique et de recherche de calibre international</w:t>
      </w:r>
      <w:r w:rsidR="00884A53">
        <w:rPr>
          <w:rFonts w:ascii="Seaford Display" w:hAnsi="Seaford Display"/>
          <w:sz w:val="22"/>
          <w:szCs w:val="22"/>
        </w:rPr>
        <w:t>, particulièrement</w:t>
      </w:r>
      <w:r w:rsidR="003A0423">
        <w:rPr>
          <w:rFonts w:ascii="Seaford Display" w:hAnsi="Seaford Display"/>
          <w:sz w:val="22"/>
          <w:szCs w:val="22"/>
        </w:rPr>
        <w:t> :</w:t>
      </w:r>
    </w:p>
    <w:p w14:paraId="5407940B" w14:textId="0A697732" w:rsidR="003A0423" w:rsidRDefault="003A0423" w:rsidP="00775A20">
      <w:pPr>
        <w:spacing w:after="0" w:line="240" w:lineRule="auto"/>
        <w:jc w:val="both"/>
        <w:rPr>
          <w:rFonts w:ascii="Seaford Display" w:hAnsi="Seaford Display"/>
          <w:sz w:val="22"/>
          <w:szCs w:val="22"/>
        </w:rPr>
      </w:pPr>
      <w:r>
        <w:rPr>
          <w:rFonts w:ascii="Seaford Display" w:hAnsi="Seaford Display"/>
          <w:sz w:val="22"/>
          <w:szCs w:val="22"/>
        </w:rPr>
        <w:t>-</w:t>
      </w:r>
      <w:r w:rsidR="0004506D">
        <w:rPr>
          <w:rFonts w:ascii="Seaford Display" w:hAnsi="Seaford Display"/>
          <w:sz w:val="22"/>
          <w:szCs w:val="22"/>
        </w:rPr>
        <w:t xml:space="preserve"> en </w:t>
      </w:r>
      <w:r w:rsidR="0004506D" w:rsidRPr="00775A20">
        <w:rPr>
          <w:rFonts w:ascii="Seaford Display" w:hAnsi="Seaford Display"/>
          <w:sz w:val="22"/>
          <w:szCs w:val="22"/>
        </w:rPr>
        <w:t>l’intelligence artificielle</w:t>
      </w:r>
      <w:r w:rsidR="004B56DB">
        <w:rPr>
          <w:rFonts w:ascii="Seaford Display" w:hAnsi="Seaford Display"/>
          <w:sz w:val="22"/>
          <w:szCs w:val="22"/>
        </w:rPr>
        <w:t xml:space="preserve"> avec MILA et MITACS, </w:t>
      </w:r>
      <w:r w:rsidR="00C279FC">
        <w:rPr>
          <w:rFonts w:ascii="Seaford Display" w:hAnsi="Seaford Display"/>
          <w:sz w:val="22"/>
          <w:szCs w:val="22"/>
        </w:rPr>
        <w:t xml:space="preserve">permettant d’abriter des données souveraines pour le Québec; </w:t>
      </w:r>
    </w:p>
    <w:p w14:paraId="154029D2" w14:textId="77777777" w:rsidR="003A0423" w:rsidRDefault="003A0423" w:rsidP="00775A20">
      <w:pPr>
        <w:spacing w:after="0" w:line="240" w:lineRule="auto"/>
        <w:jc w:val="both"/>
        <w:rPr>
          <w:rFonts w:ascii="Seaford Display" w:hAnsi="Seaford Display"/>
          <w:sz w:val="22"/>
          <w:szCs w:val="22"/>
        </w:rPr>
      </w:pPr>
      <w:r>
        <w:rPr>
          <w:rFonts w:ascii="Seaford Display" w:hAnsi="Seaford Display"/>
          <w:sz w:val="22"/>
          <w:szCs w:val="22"/>
        </w:rPr>
        <w:t xml:space="preserve">- en </w:t>
      </w:r>
      <w:r w:rsidR="004B56DB">
        <w:rPr>
          <w:rFonts w:ascii="Seaford Display" w:hAnsi="Seaford Display"/>
          <w:sz w:val="22"/>
          <w:szCs w:val="22"/>
        </w:rPr>
        <w:t xml:space="preserve">quantique </w:t>
      </w:r>
      <w:r w:rsidR="000D72E1">
        <w:rPr>
          <w:rFonts w:ascii="Seaford Display" w:hAnsi="Seaford Display"/>
          <w:sz w:val="22"/>
          <w:szCs w:val="22"/>
        </w:rPr>
        <w:t xml:space="preserve">avec la zone d’innovation </w:t>
      </w:r>
      <w:proofErr w:type="spellStart"/>
      <w:r w:rsidR="000D72E1">
        <w:rPr>
          <w:rFonts w:ascii="Seaford Display" w:hAnsi="Seaford Display"/>
          <w:sz w:val="22"/>
          <w:szCs w:val="22"/>
        </w:rPr>
        <w:t>Dis</w:t>
      </w:r>
      <w:r w:rsidR="00A64FC9">
        <w:rPr>
          <w:rFonts w:ascii="Seaford Display" w:hAnsi="Seaford Display"/>
          <w:sz w:val="22"/>
          <w:szCs w:val="22"/>
        </w:rPr>
        <w:t>t</w:t>
      </w:r>
      <w:r w:rsidR="000D72E1">
        <w:rPr>
          <w:rFonts w:ascii="Seaford Display" w:hAnsi="Seaford Display"/>
          <w:sz w:val="22"/>
          <w:szCs w:val="22"/>
        </w:rPr>
        <w:t>riQ</w:t>
      </w:r>
      <w:proofErr w:type="spellEnd"/>
      <w:r w:rsidR="000D72E1">
        <w:rPr>
          <w:rFonts w:ascii="Seaford Display" w:hAnsi="Seaford Display"/>
          <w:sz w:val="22"/>
          <w:szCs w:val="22"/>
        </w:rPr>
        <w:t xml:space="preserve"> à Sherbrooke et Bromont-</w:t>
      </w:r>
      <w:r w:rsidR="00E46DFE">
        <w:rPr>
          <w:rFonts w:ascii="Seaford Display" w:hAnsi="Seaford Display"/>
          <w:sz w:val="22"/>
          <w:szCs w:val="22"/>
        </w:rPr>
        <w:t>PINQ</w:t>
      </w:r>
      <w:r w:rsidR="000D72E1">
        <w:rPr>
          <w:rFonts w:ascii="Seaford Display" w:hAnsi="Seaford Display"/>
          <w:sz w:val="22"/>
          <w:szCs w:val="22"/>
        </w:rPr>
        <w:t>5</w:t>
      </w:r>
      <w:r w:rsidR="007A5C55">
        <w:rPr>
          <w:rFonts w:ascii="Seaford Display" w:hAnsi="Seaford Display"/>
          <w:sz w:val="22"/>
          <w:szCs w:val="22"/>
        </w:rPr>
        <w:t xml:space="preserve"> qui deviennent un hub en Amérique; </w:t>
      </w:r>
    </w:p>
    <w:p w14:paraId="141CBE00" w14:textId="77777777" w:rsidR="009E64AE" w:rsidRDefault="003A0423" w:rsidP="00775A20">
      <w:pPr>
        <w:spacing w:after="0" w:line="240" w:lineRule="auto"/>
        <w:jc w:val="both"/>
        <w:rPr>
          <w:rFonts w:ascii="Seaford Display" w:hAnsi="Seaford Display"/>
          <w:sz w:val="22"/>
          <w:szCs w:val="22"/>
        </w:rPr>
      </w:pPr>
      <w:r>
        <w:rPr>
          <w:rFonts w:ascii="Seaford Display" w:hAnsi="Seaford Display"/>
          <w:sz w:val="22"/>
          <w:szCs w:val="22"/>
        </w:rPr>
        <w:t>-</w:t>
      </w:r>
      <w:r w:rsidR="00893BAA">
        <w:rPr>
          <w:rFonts w:ascii="Seaford Display" w:hAnsi="Seaford Display"/>
          <w:sz w:val="22"/>
          <w:szCs w:val="22"/>
        </w:rPr>
        <w:t xml:space="preserve"> </w:t>
      </w:r>
      <w:r w:rsidR="007A5C55">
        <w:rPr>
          <w:rFonts w:ascii="Seaford Display" w:hAnsi="Seaford Display"/>
          <w:sz w:val="22"/>
          <w:szCs w:val="22"/>
        </w:rPr>
        <w:t>en</w:t>
      </w:r>
      <w:r w:rsidR="009E3086">
        <w:rPr>
          <w:rFonts w:ascii="Seaford Display" w:hAnsi="Seaford Display"/>
          <w:sz w:val="22"/>
          <w:szCs w:val="22"/>
        </w:rPr>
        <w:t xml:space="preserve"> </w:t>
      </w:r>
      <w:r w:rsidR="009E3086" w:rsidRPr="00775A20">
        <w:rPr>
          <w:rFonts w:ascii="Seaford Display" w:hAnsi="Seaford Display"/>
          <w:sz w:val="22"/>
          <w:szCs w:val="22"/>
        </w:rPr>
        <w:t>transformation</w:t>
      </w:r>
      <w:r w:rsidR="0004506D" w:rsidRPr="00775A20">
        <w:rPr>
          <w:rFonts w:ascii="Seaford Display" w:hAnsi="Seaford Display"/>
          <w:sz w:val="22"/>
          <w:szCs w:val="22"/>
        </w:rPr>
        <w:t xml:space="preserve"> numériqu</w:t>
      </w:r>
      <w:r w:rsidR="0004506D">
        <w:rPr>
          <w:rFonts w:ascii="Seaford Display" w:hAnsi="Seaford Display"/>
          <w:sz w:val="22"/>
          <w:szCs w:val="22"/>
        </w:rPr>
        <w:t>e</w:t>
      </w:r>
      <w:r w:rsidR="00E46DFE">
        <w:rPr>
          <w:rFonts w:ascii="Seaford Display" w:hAnsi="Seaford Display"/>
          <w:sz w:val="22"/>
          <w:szCs w:val="22"/>
        </w:rPr>
        <w:t xml:space="preserve"> des systèmes énergétiques au Canada</w:t>
      </w:r>
      <w:r w:rsidR="003D3EB9">
        <w:rPr>
          <w:rFonts w:ascii="Seaford Display" w:hAnsi="Seaford Display"/>
          <w:sz w:val="22"/>
          <w:szCs w:val="22"/>
        </w:rPr>
        <w:t>, avec l’IREQ et les autres utilités</w:t>
      </w:r>
      <w:r w:rsidR="007A5C55">
        <w:rPr>
          <w:rFonts w:ascii="Seaford Display" w:hAnsi="Seaford Display"/>
          <w:sz w:val="22"/>
          <w:szCs w:val="22"/>
        </w:rPr>
        <w:t xml:space="preserve"> est une occasion d’impliquer dans </w:t>
      </w:r>
      <w:r>
        <w:rPr>
          <w:rFonts w:ascii="Seaford Display" w:hAnsi="Seaford Display"/>
          <w:sz w:val="22"/>
          <w:szCs w:val="22"/>
        </w:rPr>
        <w:t>la modernisation des réseaux</w:t>
      </w:r>
      <w:r w:rsidR="00E46DFE">
        <w:rPr>
          <w:rFonts w:ascii="Seaford Display" w:hAnsi="Seaford Display"/>
          <w:sz w:val="22"/>
          <w:szCs w:val="22"/>
        </w:rPr>
        <w:t>.</w:t>
      </w:r>
      <w:r w:rsidR="0004506D">
        <w:rPr>
          <w:rFonts w:ascii="Seaford Display" w:hAnsi="Seaford Display"/>
          <w:sz w:val="22"/>
          <w:szCs w:val="22"/>
        </w:rPr>
        <w:t xml:space="preserve"> </w:t>
      </w:r>
    </w:p>
    <w:p w14:paraId="5D4F4051" w14:textId="106F2CF7" w:rsidR="00775A20" w:rsidRPr="00775A20" w:rsidRDefault="008B79FF" w:rsidP="00775A20">
      <w:pPr>
        <w:spacing w:after="0" w:line="240" w:lineRule="auto"/>
        <w:jc w:val="both"/>
        <w:rPr>
          <w:rFonts w:ascii="Seaford Display" w:hAnsi="Seaford Display"/>
          <w:sz w:val="22"/>
          <w:szCs w:val="22"/>
        </w:rPr>
      </w:pPr>
      <w:r>
        <w:rPr>
          <w:rFonts w:ascii="Seaford Display" w:hAnsi="Seaford Display"/>
          <w:sz w:val="22"/>
          <w:szCs w:val="22"/>
        </w:rPr>
        <w:br/>
      </w:r>
      <w:r>
        <w:rPr>
          <w:rFonts w:ascii="Seaford Display" w:hAnsi="Seaford Display"/>
          <w:sz w:val="22"/>
          <w:szCs w:val="22"/>
        </w:rPr>
        <w:br/>
      </w:r>
      <w:r w:rsidR="00F6738A">
        <w:rPr>
          <w:rFonts w:ascii="Seaford Display" w:hAnsi="Seaford Display"/>
          <w:sz w:val="22"/>
          <w:szCs w:val="22"/>
        </w:rPr>
        <w:t xml:space="preserve">La présence d’un centre de données au Québec favorisera </w:t>
      </w:r>
      <w:r w:rsidR="009E3086">
        <w:rPr>
          <w:rFonts w:ascii="Seaford Display" w:hAnsi="Seaford Display"/>
          <w:sz w:val="22"/>
          <w:szCs w:val="22"/>
        </w:rPr>
        <w:t xml:space="preserve">les occasions de collaboration et accélération </w:t>
      </w:r>
      <w:r w:rsidR="003D3EB9">
        <w:rPr>
          <w:rFonts w:ascii="Seaford Display" w:hAnsi="Seaford Display"/>
          <w:sz w:val="22"/>
          <w:szCs w:val="22"/>
        </w:rPr>
        <w:t>avec ces centres d’expertise</w:t>
      </w:r>
      <w:r>
        <w:rPr>
          <w:rFonts w:ascii="Seaford Display" w:hAnsi="Seaford Display"/>
          <w:sz w:val="22"/>
          <w:szCs w:val="22"/>
        </w:rPr>
        <w:t xml:space="preserve">. Pour toutes ces raisons invoquées, la valeur perçue </w:t>
      </w:r>
      <w:r w:rsidR="00517ED1">
        <w:rPr>
          <w:rFonts w:ascii="Seaford Display" w:hAnsi="Seaford Display"/>
          <w:sz w:val="22"/>
          <w:szCs w:val="22"/>
        </w:rPr>
        <w:t xml:space="preserve">dépasse largement le prix proposé par Hydro-Québec à la Régie, </w:t>
      </w:r>
      <w:r w:rsidR="000601D6">
        <w:rPr>
          <w:rFonts w:ascii="Seaford Display" w:hAnsi="Seaford Display"/>
          <w:sz w:val="22"/>
          <w:szCs w:val="22"/>
        </w:rPr>
        <w:t>d’au moins20 à 30%.</w:t>
      </w:r>
      <w:r w:rsidR="007A5C55">
        <w:rPr>
          <w:rFonts w:ascii="Seaford Display" w:hAnsi="Seaford Display"/>
          <w:sz w:val="22"/>
          <w:szCs w:val="22"/>
        </w:rPr>
        <w:t xml:space="preserve"> </w:t>
      </w:r>
    </w:p>
    <w:p w14:paraId="446357DD" w14:textId="77777777" w:rsidR="00775A20" w:rsidRPr="00775A20" w:rsidRDefault="00775A20" w:rsidP="00775A20">
      <w:pPr>
        <w:spacing w:after="0" w:line="240" w:lineRule="auto"/>
        <w:jc w:val="both"/>
        <w:rPr>
          <w:rFonts w:ascii="Seaford Display" w:hAnsi="Seaford Display"/>
          <w:sz w:val="22"/>
          <w:szCs w:val="22"/>
        </w:rPr>
      </w:pPr>
    </w:p>
    <w:p w14:paraId="322E9D77" w14:textId="6CA61A81" w:rsidR="00775A20" w:rsidRPr="00262325" w:rsidRDefault="00775A20" w:rsidP="00775A20">
      <w:pPr>
        <w:spacing w:after="0" w:line="240" w:lineRule="auto"/>
        <w:jc w:val="both"/>
        <w:rPr>
          <w:rFonts w:ascii="Seaford Display" w:hAnsi="Seaford Display"/>
          <w:b/>
          <w:bCs/>
          <w:sz w:val="22"/>
          <w:szCs w:val="22"/>
        </w:rPr>
      </w:pPr>
      <w:r w:rsidRPr="00262325">
        <w:rPr>
          <w:rFonts w:ascii="Seaford Display" w:hAnsi="Seaford Display"/>
          <w:b/>
          <w:bCs/>
          <w:sz w:val="22"/>
          <w:szCs w:val="22"/>
        </w:rPr>
        <w:t>Un contexte nord-américain en évolution</w:t>
      </w:r>
    </w:p>
    <w:p w14:paraId="415BB273" w14:textId="77777777" w:rsidR="00775A20" w:rsidRPr="00775A20" w:rsidRDefault="00775A20" w:rsidP="00775A20">
      <w:pPr>
        <w:spacing w:after="0" w:line="240" w:lineRule="auto"/>
        <w:jc w:val="both"/>
        <w:rPr>
          <w:rFonts w:ascii="Seaford Display" w:hAnsi="Seaford Display"/>
          <w:sz w:val="22"/>
          <w:szCs w:val="22"/>
        </w:rPr>
      </w:pPr>
    </w:p>
    <w:p w14:paraId="75D9C5E8" w14:textId="5E538475" w:rsidR="00775A20" w:rsidRPr="00775A20"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 xml:space="preserve">Le Québec n’est par ailleurs pas seul à devoir adapter son cadre à la croissance rapide des besoins énergétiques associés aux centres de données et aux autres usages à forte consommation. Aux États-Unis comme au Canada, plusieurs juridictions ont déjà adopté ou envisagent des mécanismes tarifaires et </w:t>
      </w:r>
      <w:r w:rsidR="008C2F19">
        <w:rPr>
          <w:rFonts w:ascii="Seaford Display" w:hAnsi="Seaford Display"/>
          <w:sz w:val="22"/>
          <w:szCs w:val="22"/>
        </w:rPr>
        <w:t xml:space="preserve">des </w:t>
      </w:r>
      <w:r w:rsidRPr="00775A20">
        <w:rPr>
          <w:rFonts w:ascii="Seaford Display" w:hAnsi="Seaford Display"/>
          <w:sz w:val="22"/>
          <w:szCs w:val="22"/>
        </w:rPr>
        <w:t>réglementaires spécifiques afin de mieux prendre en compte les coûts, les besoins d’infrastructure et les impacts de ces nouvelles charges.</w:t>
      </w:r>
    </w:p>
    <w:p w14:paraId="3E8A5735" w14:textId="77777777" w:rsidR="00775A20" w:rsidRPr="00775A20" w:rsidRDefault="00775A20" w:rsidP="00775A20">
      <w:pPr>
        <w:spacing w:after="0" w:line="240" w:lineRule="auto"/>
        <w:jc w:val="both"/>
        <w:rPr>
          <w:rFonts w:ascii="Seaford Display" w:hAnsi="Seaford Display"/>
          <w:sz w:val="22"/>
          <w:szCs w:val="22"/>
        </w:rPr>
      </w:pPr>
    </w:p>
    <w:p w14:paraId="5C4064E5" w14:textId="396E15B3" w:rsidR="00775A20" w:rsidRPr="00775A20"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Ce mouvement témoigne d’une volonté nord-américaine croissante de mieux encadrer ces usages. Dans un contexte où les investissements en centres de données et en infrastructures numériques s’accélèrent, il importe que le Québec dispose rapidement d’un cadre clair, prévisible et évolutif, afin d’éviter qu’un vide tarifaire ou réglementaire ne limite sa capacité à encadrer ces nouvelles demandes d’électricité.</w:t>
      </w:r>
      <w:r w:rsidR="00555DC8">
        <w:rPr>
          <w:rFonts w:ascii="Seaford Display" w:hAnsi="Seaford Display"/>
          <w:sz w:val="22"/>
          <w:szCs w:val="22"/>
        </w:rPr>
        <w:t xml:space="preserve"> Les autres juridictions sont en train de légiférer, il serait </w:t>
      </w:r>
      <w:r w:rsidR="00AB7799">
        <w:rPr>
          <w:rFonts w:ascii="Seaford Display" w:hAnsi="Seaford Display"/>
          <w:sz w:val="22"/>
          <w:szCs w:val="22"/>
        </w:rPr>
        <w:t xml:space="preserve">désavantageux pour le Québec de créer un vide tarifaire.  </w:t>
      </w:r>
    </w:p>
    <w:p w14:paraId="0434F6D4" w14:textId="77777777" w:rsidR="00775A20" w:rsidRPr="00775A20" w:rsidRDefault="00775A20" w:rsidP="00775A20">
      <w:pPr>
        <w:spacing w:after="0" w:line="240" w:lineRule="auto"/>
        <w:jc w:val="both"/>
        <w:rPr>
          <w:rFonts w:ascii="Seaford Display" w:hAnsi="Seaford Display"/>
          <w:sz w:val="22"/>
          <w:szCs w:val="22"/>
        </w:rPr>
      </w:pPr>
    </w:p>
    <w:p w14:paraId="015181A7" w14:textId="51E0AE2A" w:rsidR="00775A20" w:rsidRPr="00775A20" w:rsidRDefault="009E64AE" w:rsidP="00775A20">
      <w:pPr>
        <w:spacing w:after="0" w:line="240" w:lineRule="auto"/>
        <w:jc w:val="both"/>
        <w:rPr>
          <w:rFonts w:ascii="Seaford Display" w:hAnsi="Seaford Display"/>
          <w:sz w:val="22"/>
          <w:szCs w:val="22"/>
        </w:rPr>
      </w:pPr>
      <w:r>
        <w:rPr>
          <w:rFonts w:ascii="Seaford Display" w:hAnsi="Seaford Display"/>
          <w:sz w:val="22"/>
          <w:szCs w:val="22"/>
        </w:rPr>
        <w:t xml:space="preserve">Enfin, </w:t>
      </w:r>
      <w:r w:rsidRPr="00775A20">
        <w:rPr>
          <w:rFonts w:ascii="Seaford Display" w:hAnsi="Seaford Display"/>
          <w:sz w:val="22"/>
          <w:szCs w:val="22"/>
        </w:rPr>
        <w:t>l’AIEQ</w:t>
      </w:r>
      <w:r w:rsidR="00775A20" w:rsidRPr="00775A20">
        <w:rPr>
          <w:rFonts w:ascii="Seaford Display" w:hAnsi="Seaford Display"/>
          <w:sz w:val="22"/>
          <w:szCs w:val="22"/>
        </w:rPr>
        <w:t xml:space="preserve"> considère comme pertinent d</w:t>
      </w:r>
      <w:r w:rsidR="008E04A4">
        <w:rPr>
          <w:rFonts w:ascii="Seaford Display" w:hAnsi="Seaford Display"/>
          <w:sz w:val="22"/>
          <w:szCs w:val="22"/>
        </w:rPr>
        <w:t>’évoluer vers</w:t>
      </w:r>
      <w:r w:rsidR="00775A20" w:rsidRPr="00775A20">
        <w:rPr>
          <w:rFonts w:ascii="Seaford Display" w:hAnsi="Seaford Display"/>
          <w:sz w:val="22"/>
          <w:szCs w:val="22"/>
        </w:rPr>
        <w:t xml:space="preserve"> une approche tarifaire différenciée entre les centres de données et les chaînes de blocs, puisque les caractéristiques </w:t>
      </w:r>
      <w:r w:rsidR="00722E14">
        <w:rPr>
          <w:rFonts w:ascii="Seaford Display" w:hAnsi="Seaford Display"/>
          <w:sz w:val="22"/>
          <w:szCs w:val="22"/>
        </w:rPr>
        <w:t xml:space="preserve">de leur impact </w:t>
      </w:r>
      <w:r w:rsidR="00775A20" w:rsidRPr="00775A20">
        <w:rPr>
          <w:rFonts w:ascii="Seaford Display" w:hAnsi="Seaford Display"/>
          <w:sz w:val="22"/>
          <w:szCs w:val="22"/>
        </w:rPr>
        <w:t xml:space="preserve">et leurs retombées économiques </w:t>
      </w:r>
      <w:r w:rsidR="00722E14">
        <w:rPr>
          <w:rFonts w:ascii="Seaford Display" w:hAnsi="Seaford Display"/>
          <w:sz w:val="22"/>
          <w:szCs w:val="22"/>
        </w:rPr>
        <w:t xml:space="preserve">et stratégiques </w:t>
      </w:r>
      <w:r w:rsidR="00775A20" w:rsidRPr="00775A20">
        <w:rPr>
          <w:rFonts w:ascii="Seaford Display" w:hAnsi="Seaford Display"/>
          <w:sz w:val="22"/>
          <w:szCs w:val="22"/>
        </w:rPr>
        <w:t>ne sont pas comparables.</w:t>
      </w:r>
    </w:p>
    <w:p w14:paraId="2EE7852A" w14:textId="77777777" w:rsidR="00775A20" w:rsidRPr="00775A20" w:rsidRDefault="00775A20" w:rsidP="00775A20">
      <w:pPr>
        <w:spacing w:after="0" w:line="240" w:lineRule="auto"/>
        <w:jc w:val="both"/>
        <w:rPr>
          <w:rFonts w:ascii="Seaford Display" w:hAnsi="Seaford Display"/>
          <w:sz w:val="22"/>
          <w:szCs w:val="22"/>
        </w:rPr>
      </w:pPr>
    </w:p>
    <w:p w14:paraId="02EC5728" w14:textId="29FD18C2" w:rsidR="00775A20" w:rsidRPr="00CE6827" w:rsidRDefault="00775A20" w:rsidP="00775A20">
      <w:pPr>
        <w:spacing w:after="0" w:line="240" w:lineRule="auto"/>
        <w:jc w:val="both"/>
        <w:rPr>
          <w:rFonts w:ascii="Seaford Display" w:hAnsi="Seaford Display"/>
          <w:b/>
          <w:bCs/>
          <w:sz w:val="22"/>
          <w:szCs w:val="22"/>
        </w:rPr>
      </w:pPr>
      <w:r w:rsidRPr="00CE6827">
        <w:rPr>
          <w:rFonts w:ascii="Seaford Display" w:hAnsi="Seaford Display"/>
          <w:b/>
          <w:bCs/>
          <w:sz w:val="22"/>
          <w:szCs w:val="22"/>
        </w:rPr>
        <w:t>Un cadre prévisible et créateur de valeur</w:t>
      </w:r>
    </w:p>
    <w:p w14:paraId="3FD84FAB" w14:textId="77777777" w:rsidR="00775A20" w:rsidRPr="00775A20" w:rsidRDefault="00775A20" w:rsidP="00775A20">
      <w:pPr>
        <w:spacing w:after="0" w:line="240" w:lineRule="auto"/>
        <w:jc w:val="both"/>
        <w:rPr>
          <w:rFonts w:ascii="Seaford Display" w:hAnsi="Seaford Display"/>
          <w:sz w:val="22"/>
          <w:szCs w:val="22"/>
        </w:rPr>
      </w:pPr>
    </w:p>
    <w:p w14:paraId="0AC3B295" w14:textId="77777777" w:rsidR="00CE6827"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lastRenderedPageBreak/>
        <w:t>L’AIEQ invite ainsi la Régie à considérer quatre principes :</w:t>
      </w:r>
    </w:p>
    <w:p w14:paraId="664E9519" w14:textId="77777777" w:rsidR="00CE6827" w:rsidRDefault="00CE6827" w:rsidP="00775A20">
      <w:pPr>
        <w:spacing w:after="0" w:line="240" w:lineRule="auto"/>
        <w:jc w:val="both"/>
        <w:rPr>
          <w:rFonts w:ascii="Seaford Display" w:hAnsi="Seaford Display"/>
          <w:sz w:val="22"/>
          <w:szCs w:val="22"/>
        </w:rPr>
      </w:pPr>
    </w:p>
    <w:p w14:paraId="7CFAAB0B" w14:textId="0C8F8803" w:rsidR="00CE6827" w:rsidRDefault="00775A20" w:rsidP="00775A20">
      <w:pPr>
        <w:pStyle w:val="Paragraphedeliste"/>
        <w:numPr>
          <w:ilvl w:val="0"/>
          <w:numId w:val="6"/>
        </w:numPr>
        <w:spacing w:after="0" w:line="240" w:lineRule="auto"/>
        <w:jc w:val="both"/>
        <w:rPr>
          <w:rFonts w:ascii="Seaford Display" w:hAnsi="Seaford Display"/>
          <w:sz w:val="22"/>
          <w:szCs w:val="22"/>
        </w:rPr>
      </w:pPr>
      <w:r w:rsidRPr="00CE6827">
        <w:rPr>
          <w:rFonts w:ascii="Seaford Display" w:hAnsi="Seaford Display"/>
          <w:sz w:val="22"/>
          <w:szCs w:val="22"/>
        </w:rPr>
        <w:t>Reconnaître la valeur stratégique de l’électricité propre et renouvelable du Québec</w:t>
      </w:r>
      <w:r w:rsidR="006564A0">
        <w:rPr>
          <w:rFonts w:ascii="Seaford Display" w:hAnsi="Seaford Display"/>
          <w:sz w:val="22"/>
          <w:szCs w:val="22"/>
        </w:rPr>
        <w:t xml:space="preserve"> et l’accès au hub d’intelligences artificielle et quantique </w:t>
      </w:r>
      <w:r w:rsidR="00104FC0">
        <w:rPr>
          <w:rFonts w:ascii="Seaford Display" w:hAnsi="Seaford Display"/>
          <w:sz w:val="22"/>
          <w:szCs w:val="22"/>
        </w:rPr>
        <w:t xml:space="preserve">au Québec </w:t>
      </w:r>
      <w:r w:rsidRPr="00CE6827">
        <w:rPr>
          <w:rFonts w:ascii="Seaford Display" w:hAnsi="Seaford Display"/>
          <w:sz w:val="22"/>
          <w:szCs w:val="22"/>
        </w:rPr>
        <w:t>;</w:t>
      </w:r>
      <w:r w:rsidR="009E64AE">
        <w:rPr>
          <w:rFonts w:ascii="Seaford Display" w:hAnsi="Seaford Display"/>
          <w:sz w:val="22"/>
          <w:szCs w:val="22"/>
        </w:rPr>
        <w:t xml:space="preserve"> considérer en ce sens que le prix proposé est un plancher; </w:t>
      </w:r>
    </w:p>
    <w:p w14:paraId="5B9EC7D1" w14:textId="77777777" w:rsidR="00D0289F" w:rsidRDefault="00775A20" w:rsidP="00775A20">
      <w:pPr>
        <w:pStyle w:val="Paragraphedeliste"/>
        <w:numPr>
          <w:ilvl w:val="0"/>
          <w:numId w:val="6"/>
        </w:numPr>
        <w:spacing w:after="0" w:line="240" w:lineRule="auto"/>
        <w:jc w:val="both"/>
        <w:rPr>
          <w:rFonts w:ascii="Seaford Display" w:hAnsi="Seaford Display"/>
          <w:sz w:val="22"/>
          <w:szCs w:val="22"/>
        </w:rPr>
      </w:pPr>
      <w:r w:rsidRPr="00CE6827">
        <w:rPr>
          <w:rFonts w:ascii="Seaford Display" w:hAnsi="Seaford Display"/>
          <w:sz w:val="22"/>
          <w:szCs w:val="22"/>
        </w:rPr>
        <w:t>Assurer une contribution appropriée des nouvelles charges aux coûts qu’elles engendrent pour le système, en considérant notamment le coût marginal d’approvisionnement et, lorsque pertinent, la valeur d’opportunité de la capacité énergétique mobilisée;</w:t>
      </w:r>
    </w:p>
    <w:p w14:paraId="21EED598" w14:textId="77777777" w:rsidR="00D0289F" w:rsidRDefault="00775A20" w:rsidP="00775A20">
      <w:pPr>
        <w:pStyle w:val="Paragraphedeliste"/>
        <w:numPr>
          <w:ilvl w:val="0"/>
          <w:numId w:val="6"/>
        </w:numPr>
        <w:spacing w:after="0" w:line="240" w:lineRule="auto"/>
        <w:jc w:val="both"/>
        <w:rPr>
          <w:rFonts w:ascii="Seaford Display" w:hAnsi="Seaford Display"/>
          <w:sz w:val="22"/>
          <w:szCs w:val="22"/>
        </w:rPr>
      </w:pPr>
      <w:r w:rsidRPr="00D0289F">
        <w:rPr>
          <w:rFonts w:ascii="Seaford Display" w:hAnsi="Seaford Display"/>
          <w:sz w:val="22"/>
          <w:szCs w:val="22"/>
        </w:rPr>
        <w:t>Préserver un cadre tarifaire prévisible permettant d’attirer des investissements à forte valeur ajoutée;</w:t>
      </w:r>
    </w:p>
    <w:p w14:paraId="33170846" w14:textId="2B18EFBC" w:rsidR="00775A20" w:rsidRPr="00D0289F" w:rsidRDefault="00104FC0" w:rsidP="00775A20">
      <w:pPr>
        <w:pStyle w:val="Paragraphedeliste"/>
        <w:numPr>
          <w:ilvl w:val="0"/>
          <w:numId w:val="6"/>
        </w:numPr>
        <w:spacing w:after="0" w:line="240" w:lineRule="auto"/>
        <w:jc w:val="both"/>
        <w:rPr>
          <w:rFonts w:ascii="Seaford Display" w:hAnsi="Seaford Display"/>
          <w:sz w:val="22"/>
          <w:szCs w:val="22"/>
        </w:rPr>
      </w:pPr>
      <w:r>
        <w:rPr>
          <w:rFonts w:ascii="Seaford Display" w:hAnsi="Seaford Display"/>
          <w:sz w:val="22"/>
          <w:szCs w:val="22"/>
        </w:rPr>
        <w:t>Évoluer vers</w:t>
      </w:r>
      <w:r w:rsidR="00775A20" w:rsidRPr="00D0289F">
        <w:rPr>
          <w:rFonts w:ascii="Seaford Display" w:hAnsi="Seaford Display"/>
          <w:sz w:val="22"/>
          <w:szCs w:val="22"/>
        </w:rPr>
        <w:t xml:space="preserve"> la distinction entre les centres de données et les usages cryptographiques lorsque leurs caractéristiques objectives le justifient.</w:t>
      </w:r>
    </w:p>
    <w:p w14:paraId="15A53FB9" w14:textId="77777777" w:rsidR="00775A20" w:rsidRPr="00775A20" w:rsidRDefault="00775A20" w:rsidP="00775A20">
      <w:pPr>
        <w:spacing w:after="0" w:line="240" w:lineRule="auto"/>
        <w:jc w:val="both"/>
        <w:rPr>
          <w:rFonts w:ascii="Seaford Display" w:hAnsi="Seaford Display"/>
          <w:sz w:val="22"/>
          <w:szCs w:val="22"/>
        </w:rPr>
      </w:pPr>
    </w:p>
    <w:p w14:paraId="776AA664" w14:textId="77777777" w:rsidR="00775A20" w:rsidRPr="00775A20" w:rsidRDefault="00775A20" w:rsidP="00775A20">
      <w:pPr>
        <w:spacing w:after="0" w:line="240" w:lineRule="auto"/>
        <w:jc w:val="both"/>
        <w:rPr>
          <w:rFonts w:ascii="Seaford Display" w:hAnsi="Seaford Display"/>
          <w:sz w:val="22"/>
          <w:szCs w:val="22"/>
        </w:rPr>
      </w:pPr>
    </w:p>
    <w:p w14:paraId="517E413D" w14:textId="77777777" w:rsidR="00775A20" w:rsidRPr="00775A20"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Enfin, l’AIEQ remercie la Régie de l’occasion de présenter ses observations et demeure disponible pour contribuer, dans le cadre de ses compétences, à cette réflexion sur la valorisation optimale de l’électricité québécoise.</w:t>
      </w:r>
    </w:p>
    <w:p w14:paraId="7399A530" w14:textId="77777777" w:rsidR="00775A20" w:rsidRPr="00775A20" w:rsidRDefault="00775A20" w:rsidP="00775A20">
      <w:pPr>
        <w:spacing w:after="0" w:line="240" w:lineRule="auto"/>
        <w:jc w:val="both"/>
        <w:rPr>
          <w:rFonts w:ascii="Seaford Display" w:hAnsi="Seaford Display"/>
          <w:sz w:val="22"/>
          <w:szCs w:val="22"/>
        </w:rPr>
      </w:pPr>
    </w:p>
    <w:p w14:paraId="0CE92558" w14:textId="77777777" w:rsidR="000445DD"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Veuillez agréer, Madame, Monsieur, l’expression de nos sentiments distingués.</w:t>
      </w:r>
    </w:p>
    <w:p w14:paraId="2A2EC43C" w14:textId="77777777" w:rsidR="000445DD" w:rsidRDefault="000445DD" w:rsidP="00775A20">
      <w:pPr>
        <w:spacing w:after="0" w:line="240" w:lineRule="auto"/>
        <w:jc w:val="both"/>
        <w:rPr>
          <w:rFonts w:ascii="Seaford Display" w:hAnsi="Seaford Display"/>
          <w:sz w:val="22"/>
          <w:szCs w:val="22"/>
        </w:rPr>
      </w:pPr>
    </w:p>
    <w:p w14:paraId="485715AF" w14:textId="77777777" w:rsidR="000445DD" w:rsidRDefault="000445DD" w:rsidP="00775A20">
      <w:pPr>
        <w:spacing w:after="0" w:line="240" w:lineRule="auto"/>
        <w:jc w:val="both"/>
        <w:rPr>
          <w:rFonts w:ascii="Seaford Display" w:hAnsi="Seaford Display"/>
          <w:sz w:val="22"/>
          <w:szCs w:val="22"/>
        </w:rPr>
      </w:pPr>
    </w:p>
    <w:p w14:paraId="0474958A" w14:textId="77777777" w:rsidR="000445DD" w:rsidRDefault="000445DD" w:rsidP="00775A20">
      <w:pPr>
        <w:spacing w:after="0" w:line="240" w:lineRule="auto"/>
        <w:jc w:val="both"/>
        <w:rPr>
          <w:rFonts w:ascii="Seaford Display" w:hAnsi="Seaford Display"/>
          <w:sz w:val="22"/>
          <w:szCs w:val="22"/>
        </w:rPr>
      </w:pPr>
    </w:p>
    <w:p w14:paraId="295973A5" w14:textId="77777777" w:rsidR="000445DD" w:rsidRDefault="000445DD" w:rsidP="00775A20">
      <w:pPr>
        <w:spacing w:after="0" w:line="240" w:lineRule="auto"/>
        <w:jc w:val="both"/>
        <w:rPr>
          <w:rFonts w:ascii="Seaford Display" w:hAnsi="Seaford Display"/>
          <w:sz w:val="22"/>
          <w:szCs w:val="22"/>
        </w:rPr>
      </w:pPr>
    </w:p>
    <w:p w14:paraId="56BA7F60" w14:textId="77777777" w:rsidR="000445DD" w:rsidRDefault="000445DD" w:rsidP="00775A20">
      <w:pPr>
        <w:spacing w:after="0" w:line="240" w:lineRule="auto"/>
        <w:jc w:val="both"/>
        <w:rPr>
          <w:rFonts w:ascii="Seaford Display" w:hAnsi="Seaford Display"/>
          <w:sz w:val="22"/>
          <w:szCs w:val="22"/>
        </w:rPr>
      </w:pPr>
    </w:p>
    <w:p w14:paraId="08B85A8F" w14:textId="77777777" w:rsidR="000445DD" w:rsidRDefault="000445DD" w:rsidP="00775A20">
      <w:pPr>
        <w:spacing w:after="0" w:line="240" w:lineRule="auto"/>
        <w:jc w:val="both"/>
        <w:rPr>
          <w:rFonts w:ascii="Seaford Display" w:hAnsi="Seaford Display"/>
          <w:sz w:val="22"/>
          <w:szCs w:val="22"/>
        </w:rPr>
      </w:pPr>
    </w:p>
    <w:p w14:paraId="1AD59DEC" w14:textId="4BB56389" w:rsidR="00775A20" w:rsidRPr="00775A20"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Marie Lapointe</w:t>
      </w:r>
    </w:p>
    <w:p w14:paraId="07509FB1" w14:textId="77777777" w:rsidR="00775A20" w:rsidRPr="00775A20"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Présidente-directrice générale</w:t>
      </w:r>
    </w:p>
    <w:p w14:paraId="24D721F0" w14:textId="2D7F47C3" w:rsidR="003958A3" w:rsidRDefault="00775A20" w:rsidP="00775A20">
      <w:pPr>
        <w:spacing w:after="0" w:line="240" w:lineRule="auto"/>
        <w:jc w:val="both"/>
        <w:rPr>
          <w:rFonts w:ascii="Seaford Display" w:hAnsi="Seaford Display"/>
          <w:sz w:val="22"/>
          <w:szCs w:val="22"/>
        </w:rPr>
      </w:pPr>
      <w:r w:rsidRPr="00775A20">
        <w:rPr>
          <w:rFonts w:ascii="Seaford Display" w:hAnsi="Seaford Display"/>
          <w:sz w:val="22"/>
          <w:szCs w:val="22"/>
        </w:rPr>
        <w:t>Association de l’industrie électrique du Québec (AIEQ)</w:t>
      </w:r>
    </w:p>
    <w:p w14:paraId="5269E496" w14:textId="77777777" w:rsidR="00F7567A" w:rsidRDefault="00F7567A" w:rsidP="00775A20">
      <w:pPr>
        <w:spacing w:after="0" w:line="240" w:lineRule="auto"/>
        <w:jc w:val="both"/>
        <w:rPr>
          <w:rFonts w:ascii="Seaford Display" w:hAnsi="Seaford Display"/>
          <w:sz w:val="22"/>
          <w:szCs w:val="22"/>
        </w:rPr>
      </w:pPr>
    </w:p>
    <w:p w14:paraId="366B9932" w14:textId="5E927B1E" w:rsidR="00F7567A" w:rsidRPr="00FC2D66" w:rsidRDefault="00F7567A" w:rsidP="00775A20">
      <w:pPr>
        <w:spacing w:after="0" w:line="240" w:lineRule="auto"/>
        <w:jc w:val="both"/>
        <w:rPr>
          <w:rFonts w:ascii="Seaford Display" w:hAnsi="Seaford Display"/>
          <w:sz w:val="22"/>
          <w:szCs w:val="22"/>
        </w:rPr>
      </w:pPr>
      <w:r>
        <w:rPr>
          <w:rFonts w:ascii="Seaford Display" w:hAnsi="Seaford Display"/>
          <w:sz w:val="22"/>
          <w:szCs w:val="22"/>
        </w:rPr>
        <w:t xml:space="preserve">Cc : Alain Sayegh, contributeurs Alexandre Lampron et Daniel Bazan.  </w:t>
      </w:r>
    </w:p>
    <w:sectPr w:rsidR="00F7567A" w:rsidRPr="00FC2D66">
      <w:headerReference w:type="default" r:id="rId11"/>
      <w:footerReference w:type="default" r:id="rId1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A6A6D" w14:textId="77777777" w:rsidR="00586E74" w:rsidRDefault="00586E74" w:rsidP="00631E19">
      <w:pPr>
        <w:spacing w:after="0" w:line="240" w:lineRule="auto"/>
      </w:pPr>
      <w:r>
        <w:separator/>
      </w:r>
    </w:p>
  </w:endnote>
  <w:endnote w:type="continuationSeparator" w:id="0">
    <w:p w14:paraId="6CC25C7E" w14:textId="77777777" w:rsidR="00586E74" w:rsidRDefault="00586E74" w:rsidP="00631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aford Display">
    <w:charset w:val="00"/>
    <w:family w:val="auto"/>
    <w:pitch w:val="variable"/>
    <w:sig w:usb0="8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57A7" w14:textId="13399CFA" w:rsidR="003A2A8E" w:rsidRDefault="003A2A8E">
    <w:pPr>
      <w:pStyle w:val="Pieddepage"/>
      <w:pBdr>
        <w:bottom w:val="single" w:sz="12" w:space="1" w:color="auto"/>
      </w:pBdr>
      <w:rPr>
        <w:rFonts w:ascii="Seaford Display" w:eastAsia="Times New Roman" w:hAnsi="Seaford Display" w:cs="Arial"/>
        <w:b/>
        <w:bCs/>
        <w:color w:val="222222"/>
        <w:kern w:val="0"/>
        <w:lang w:eastAsia="fr-CA"/>
        <w14:ligatures w14:val="none"/>
      </w:rPr>
    </w:pPr>
  </w:p>
  <w:p w14:paraId="6FFB3553" w14:textId="77777777" w:rsidR="003A2A8E" w:rsidRDefault="003A2A8E">
    <w:pPr>
      <w:pStyle w:val="Pieddepage"/>
      <w:rPr>
        <w:rFonts w:ascii="Seaford Display" w:eastAsia="Times New Roman" w:hAnsi="Seaford Display" w:cs="Arial"/>
        <w:b/>
        <w:bCs/>
        <w:color w:val="222222"/>
        <w:kern w:val="0"/>
        <w:lang w:eastAsia="fr-CA"/>
        <w14:ligatures w14:val="none"/>
      </w:rPr>
    </w:pPr>
  </w:p>
  <w:p w14:paraId="6C452447" w14:textId="4A6B3019" w:rsidR="00631E19" w:rsidRDefault="00631E19" w:rsidP="003A2A8E">
    <w:pPr>
      <w:pStyle w:val="Pieddepage"/>
      <w:jc w:val="both"/>
      <w:rPr>
        <w:rFonts w:ascii="Seaford Display" w:eastAsia="Times New Roman" w:hAnsi="Seaford Display" w:cs="Arial"/>
        <w:b/>
        <w:bCs/>
        <w:color w:val="222222"/>
        <w:kern w:val="0"/>
        <w:sz w:val="18"/>
        <w:szCs w:val="18"/>
        <w:lang w:eastAsia="fr-CA"/>
        <w14:ligatures w14:val="none"/>
      </w:rPr>
    </w:pPr>
    <w:r w:rsidRPr="003A2A8E">
      <w:rPr>
        <w:rFonts w:ascii="Seaford Display" w:eastAsia="Times New Roman" w:hAnsi="Seaford Display" w:cs="Arial"/>
        <w:b/>
        <w:bCs/>
        <w:color w:val="222222"/>
        <w:kern w:val="0"/>
        <w:sz w:val="18"/>
        <w:szCs w:val="18"/>
        <w:lang w:eastAsia="fr-CA"/>
        <w14:ligatures w14:val="none"/>
      </w:rPr>
      <w:t>Dossier R-4333-2026 –</w:t>
    </w:r>
    <w:r w:rsidR="009F5CB1">
      <w:rPr>
        <w:rFonts w:ascii="Seaford Display" w:eastAsia="Times New Roman" w:hAnsi="Seaford Display" w:cs="Arial"/>
        <w:b/>
        <w:bCs/>
        <w:color w:val="222222"/>
        <w:kern w:val="0"/>
        <w:sz w:val="18"/>
        <w:szCs w:val="18"/>
        <w:lang w:eastAsia="fr-CA"/>
        <w14:ligatures w14:val="none"/>
      </w:rPr>
      <w:t xml:space="preserve"> </w:t>
    </w:r>
    <w:r w:rsidR="00E40420" w:rsidRPr="00E40420">
      <w:rPr>
        <w:rFonts w:ascii="Seaford Display" w:eastAsia="Times New Roman" w:hAnsi="Seaford Display" w:cs="Arial"/>
        <w:b/>
        <w:bCs/>
        <w:color w:val="222222"/>
        <w:kern w:val="0"/>
        <w:sz w:val="18"/>
        <w:szCs w:val="18"/>
        <w:lang w:eastAsia="fr-CA"/>
        <w14:ligatures w14:val="none"/>
      </w:rPr>
      <w:t>Nouveaux tarifs applicables aux centres de données et aux chaînes de blocs</w:t>
    </w:r>
    <w:r w:rsidR="009F5CB1">
      <w:rPr>
        <w:rFonts w:ascii="Seaford Display" w:eastAsia="Times New Roman" w:hAnsi="Seaford Display" w:cs="Arial"/>
        <w:b/>
        <w:bCs/>
        <w:color w:val="222222"/>
        <w:kern w:val="0"/>
        <w:sz w:val="18"/>
        <w:szCs w:val="18"/>
        <w:lang w:eastAsia="fr-CA"/>
        <w14:ligatures w14:val="none"/>
      </w:rPr>
      <w:t>.</w:t>
    </w:r>
  </w:p>
  <w:p w14:paraId="4C737B30" w14:textId="62485FD3" w:rsidR="0075249C" w:rsidRPr="003A2A8E" w:rsidRDefault="0075249C" w:rsidP="003A2A8E">
    <w:pPr>
      <w:pStyle w:val="Pieddepage"/>
      <w:jc w:val="both"/>
      <w:rPr>
        <w:rFonts w:ascii="Seaford Display" w:eastAsia="Times New Roman" w:hAnsi="Seaford Display" w:cs="Arial"/>
        <w:b/>
        <w:bCs/>
        <w:color w:val="222222"/>
        <w:kern w:val="0"/>
        <w:sz w:val="18"/>
        <w:szCs w:val="18"/>
        <w:lang w:eastAsia="fr-CA"/>
        <w14:ligatures w14:val="none"/>
      </w:rPr>
    </w:pPr>
    <w:r w:rsidRPr="0075249C">
      <w:rPr>
        <w:rFonts w:ascii="Seaford Display" w:eastAsia="Times New Roman" w:hAnsi="Seaford Display" w:cs="Arial"/>
        <w:b/>
        <w:bCs/>
        <w:color w:val="222222"/>
        <w:kern w:val="0"/>
        <w:sz w:val="18"/>
        <w:szCs w:val="18"/>
        <w:lang w:eastAsia="fr-CA"/>
        <w14:ligatures w14:val="none"/>
      </w:rPr>
      <w:t>Observation et soutien de l’Association de l’industrie électrique du Québec (AIEQ) –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66C2" w14:textId="77777777" w:rsidR="00586E74" w:rsidRDefault="00586E74" w:rsidP="00631E19">
      <w:pPr>
        <w:spacing w:after="0" w:line="240" w:lineRule="auto"/>
      </w:pPr>
      <w:r>
        <w:separator/>
      </w:r>
    </w:p>
  </w:footnote>
  <w:footnote w:type="continuationSeparator" w:id="0">
    <w:p w14:paraId="30A6C508" w14:textId="77777777" w:rsidR="00586E74" w:rsidRDefault="00586E74" w:rsidP="00631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9495572"/>
      <w:docPartObj>
        <w:docPartGallery w:val="Page Numbers (Margins)"/>
        <w:docPartUnique/>
      </w:docPartObj>
    </w:sdtPr>
    <w:sdtContent>
      <w:p w14:paraId="2F09C457" w14:textId="7CBF2825" w:rsidR="00631E19" w:rsidRDefault="00631E19">
        <w:pPr>
          <w:pStyle w:val="En-tte"/>
        </w:pPr>
        <w:r>
          <w:rPr>
            <w:noProof/>
          </w:rPr>
          <mc:AlternateContent>
            <mc:Choice Requires="wps">
              <w:drawing>
                <wp:anchor distT="0" distB="0" distL="114300" distR="114300" simplePos="0" relativeHeight="251659264" behindDoc="0" locked="0" layoutInCell="0" allowOverlap="1" wp14:anchorId="14A40A0F" wp14:editId="5BCD7709">
                  <wp:simplePos x="0" y="0"/>
                  <wp:positionH relativeFrom="rightMargin">
                    <wp:align>right</wp:align>
                  </wp:positionH>
                  <wp:positionV relativeFrom="margin">
                    <wp:align>center</wp:align>
                  </wp:positionV>
                  <wp:extent cx="914400" cy="329565"/>
                  <wp:effectExtent l="0" t="0" r="0" b="3810"/>
                  <wp:wrapNone/>
                  <wp:docPr id="21180468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228B42" w14:textId="77777777" w:rsidR="00631E19" w:rsidRDefault="00631E19">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4A40A0F" id="Rectangle 2" o:spid="_x0000_s1026" style="position:absolute;margin-left:20.8pt;margin-top:0;width:1in;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" o:allowincell="f" stroked="f">
                  <v:textbox>
                    <w:txbxContent>
                      <w:p w14:paraId="74228B42" w14:textId="77777777" w:rsidR="00631E19" w:rsidRDefault="00631E19">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B2418"/>
    <w:multiLevelType w:val="hybridMultilevel"/>
    <w:tmpl w:val="DB7A6D8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3F25660"/>
    <w:multiLevelType w:val="hybridMultilevel"/>
    <w:tmpl w:val="ABE4C5C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67D2311"/>
    <w:multiLevelType w:val="hybridMultilevel"/>
    <w:tmpl w:val="FD3474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483E37E8"/>
    <w:multiLevelType w:val="hybridMultilevel"/>
    <w:tmpl w:val="E0C0D9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89D3B3C"/>
    <w:multiLevelType w:val="hybridMultilevel"/>
    <w:tmpl w:val="AF8C40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724A58BE"/>
    <w:multiLevelType w:val="hybridMultilevel"/>
    <w:tmpl w:val="9648DA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579823752">
    <w:abstractNumId w:val="3"/>
  </w:num>
  <w:num w:numId="2" w16cid:durableId="1033072016">
    <w:abstractNumId w:val="5"/>
  </w:num>
  <w:num w:numId="3" w16cid:durableId="72044866">
    <w:abstractNumId w:val="1"/>
  </w:num>
  <w:num w:numId="4" w16cid:durableId="2065062149">
    <w:abstractNumId w:val="4"/>
  </w:num>
  <w:num w:numId="5" w16cid:durableId="1997568245">
    <w:abstractNumId w:val="0"/>
  </w:num>
  <w:num w:numId="6" w16cid:durableId="638650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07D"/>
    <w:rsid w:val="0001069F"/>
    <w:rsid w:val="00011D99"/>
    <w:rsid w:val="00015670"/>
    <w:rsid w:val="0003004D"/>
    <w:rsid w:val="000370B5"/>
    <w:rsid w:val="000445DD"/>
    <w:rsid w:val="0004506D"/>
    <w:rsid w:val="00051DC3"/>
    <w:rsid w:val="00053B26"/>
    <w:rsid w:val="000601D6"/>
    <w:rsid w:val="00091F1D"/>
    <w:rsid w:val="000A12C3"/>
    <w:rsid w:val="000B7D76"/>
    <w:rsid w:val="000D43FF"/>
    <w:rsid w:val="000D72E1"/>
    <w:rsid w:val="00104FC0"/>
    <w:rsid w:val="001B2A52"/>
    <w:rsid w:val="001B37BB"/>
    <w:rsid w:val="001E010F"/>
    <w:rsid w:val="001E654C"/>
    <w:rsid w:val="001F4E23"/>
    <w:rsid w:val="001F6C97"/>
    <w:rsid w:val="00205550"/>
    <w:rsid w:val="00217790"/>
    <w:rsid w:val="002474A7"/>
    <w:rsid w:val="00262325"/>
    <w:rsid w:val="00266FED"/>
    <w:rsid w:val="002D74B2"/>
    <w:rsid w:val="003117E3"/>
    <w:rsid w:val="00342DBD"/>
    <w:rsid w:val="00344131"/>
    <w:rsid w:val="00346066"/>
    <w:rsid w:val="003513BE"/>
    <w:rsid w:val="00352783"/>
    <w:rsid w:val="00354E1F"/>
    <w:rsid w:val="003705AD"/>
    <w:rsid w:val="003958A3"/>
    <w:rsid w:val="003A0423"/>
    <w:rsid w:val="003A2A8E"/>
    <w:rsid w:val="003D3EB9"/>
    <w:rsid w:val="003E3155"/>
    <w:rsid w:val="004A01CA"/>
    <w:rsid w:val="004A7F7E"/>
    <w:rsid w:val="004B56DB"/>
    <w:rsid w:val="004D408C"/>
    <w:rsid w:val="00517ED1"/>
    <w:rsid w:val="00524F03"/>
    <w:rsid w:val="00555DC8"/>
    <w:rsid w:val="00586E74"/>
    <w:rsid w:val="00587F1E"/>
    <w:rsid w:val="005A021A"/>
    <w:rsid w:val="005D598A"/>
    <w:rsid w:val="005D69E9"/>
    <w:rsid w:val="00614DF7"/>
    <w:rsid w:val="00631E19"/>
    <w:rsid w:val="0063791B"/>
    <w:rsid w:val="00647040"/>
    <w:rsid w:val="00647B9D"/>
    <w:rsid w:val="006564A0"/>
    <w:rsid w:val="006A305A"/>
    <w:rsid w:val="006D18BA"/>
    <w:rsid w:val="006D2448"/>
    <w:rsid w:val="006F3335"/>
    <w:rsid w:val="00706483"/>
    <w:rsid w:val="0071331E"/>
    <w:rsid w:val="00722E14"/>
    <w:rsid w:val="0075249C"/>
    <w:rsid w:val="00775A20"/>
    <w:rsid w:val="00797E0D"/>
    <w:rsid w:val="007A5C55"/>
    <w:rsid w:val="007B4364"/>
    <w:rsid w:val="007F402A"/>
    <w:rsid w:val="008468EE"/>
    <w:rsid w:val="00871ACE"/>
    <w:rsid w:val="00884A53"/>
    <w:rsid w:val="008913AE"/>
    <w:rsid w:val="00893BAA"/>
    <w:rsid w:val="008B79FF"/>
    <w:rsid w:val="008C2F19"/>
    <w:rsid w:val="008D31BD"/>
    <w:rsid w:val="008E04A4"/>
    <w:rsid w:val="008E17F3"/>
    <w:rsid w:val="009029E9"/>
    <w:rsid w:val="00923C33"/>
    <w:rsid w:val="009474A1"/>
    <w:rsid w:val="009569C9"/>
    <w:rsid w:val="00990FEC"/>
    <w:rsid w:val="009B3042"/>
    <w:rsid w:val="009E3086"/>
    <w:rsid w:val="009E64AE"/>
    <w:rsid w:val="009F5CB1"/>
    <w:rsid w:val="00A040A2"/>
    <w:rsid w:val="00A13B44"/>
    <w:rsid w:val="00A172DB"/>
    <w:rsid w:val="00A36686"/>
    <w:rsid w:val="00A369F4"/>
    <w:rsid w:val="00A64FC9"/>
    <w:rsid w:val="00A9607D"/>
    <w:rsid w:val="00A964D8"/>
    <w:rsid w:val="00AB7799"/>
    <w:rsid w:val="00B00A0C"/>
    <w:rsid w:val="00B05B48"/>
    <w:rsid w:val="00B16049"/>
    <w:rsid w:val="00B262D6"/>
    <w:rsid w:val="00B4658E"/>
    <w:rsid w:val="00B523A6"/>
    <w:rsid w:val="00B6151C"/>
    <w:rsid w:val="00B64B92"/>
    <w:rsid w:val="00BB31D6"/>
    <w:rsid w:val="00C10ADD"/>
    <w:rsid w:val="00C11C6D"/>
    <w:rsid w:val="00C24D79"/>
    <w:rsid w:val="00C279FC"/>
    <w:rsid w:val="00C30884"/>
    <w:rsid w:val="00C312C5"/>
    <w:rsid w:val="00C34530"/>
    <w:rsid w:val="00C4528B"/>
    <w:rsid w:val="00C86C9B"/>
    <w:rsid w:val="00C94257"/>
    <w:rsid w:val="00CD6101"/>
    <w:rsid w:val="00CE6827"/>
    <w:rsid w:val="00D0289F"/>
    <w:rsid w:val="00D06B47"/>
    <w:rsid w:val="00D10AF4"/>
    <w:rsid w:val="00D132FC"/>
    <w:rsid w:val="00D16D27"/>
    <w:rsid w:val="00D53A51"/>
    <w:rsid w:val="00D74CAB"/>
    <w:rsid w:val="00D8167D"/>
    <w:rsid w:val="00D95CC5"/>
    <w:rsid w:val="00D977D0"/>
    <w:rsid w:val="00DD1214"/>
    <w:rsid w:val="00DD3354"/>
    <w:rsid w:val="00E40420"/>
    <w:rsid w:val="00E46DFE"/>
    <w:rsid w:val="00E72E60"/>
    <w:rsid w:val="00EA64CA"/>
    <w:rsid w:val="00EA7ABE"/>
    <w:rsid w:val="00ED6554"/>
    <w:rsid w:val="00EF2576"/>
    <w:rsid w:val="00F00AFE"/>
    <w:rsid w:val="00F11FE7"/>
    <w:rsid w:val="00F25706"/>
    <w:rsid w:val="00F54A50"/>
    <w:rsid w:val="00F6738A"/>
    <w:rsid w:val="00F72258"/>
    <w:rsid w:val="00F7567A"/>
    <w:rsid w:val="00F75980"/>
    <w:rsid w:val="00F76BF0"/>
    <w:rsid w:val="00F779E8"/>
    <w:rsid w:val="00F85AEE"/>
    <w:rsid w:val="00FB533A"/>
    <w:rsid w:val="00FC2D66"/>
    <w:rsid w:val="00FC5631"/>
    <w:rsid w:val="00FD032A"/>
    <w:rsid w:val="00FE67C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7309A"/>
  <w15:chartTrackingRefBased/>
  <w15:docId w15:val="{E1F34E9A-F8B1-4A6C-955D-27824C6E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96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96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9607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9607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9607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9607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9607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9607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9607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607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9607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9607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9607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9607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9607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9607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9607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9607D"/>
    <w:rPr>
      <w:rFonts w:eastAsiaTheme="majorEastAsia" w:cstheme="majorBidi"/>
      <w:color w:val="272727" w:themeColor="text1" w:themeTint="D8"/>
    </w:rPr>
  </w:style>
  <w:style w:type="paragraph" w:styleId="Titre">
    <w:name w:val="Title"/>
    <w:basedOn w:val="Normal"/>
    <w:next w:val="Normal"/>
    <w:link w:val="TitreCar"/>
    <w:uiPriority w:val="10"/>
    <w:qFormat/>
    <w:rsid w:val="00A96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9607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960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960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9607D"/>
    <w:pPr>
      <w:spacing w:before="160"/>
      <w:jc w:val="center"/>
    </w:pPr>
    <w:rPr>
      <w:i/>
      <w:iCs/>
      <w:color w:val="404040" w:themeColor="text1" w:themeTint="BF"/>
    </w:rPr>
  </w:style>
  <w:style w:type="character" w:customStyle="1" w:styleId="CitationCar">
    <w:name w:val="Citation Car"/>
    <w:basedOn w:val="Policepardfaut"/>
    <w:link w:val="Citation"/>
    <w:uiPriority w:val="29"/>
    <w:rsid w:val="00A9607D"/>
    <w:rPr>
      <w:i/>
      <w:iCs/>
      <w:color w:val="404040" w:themeColor="text1" w:themeTint="BF"/>
    </w:rPr>
  </w:style>
  <w:style w:type="paragraph" w:styleId="Paragraphedeliste">
    <w:name w:val="List Paragraph"/>
    <w:basedOn w:val="Normal"/>
    <w:uiPriority w:val="34"/>
    <w:qFormat/>
    <w:rsid w:val="00A9607D"/>
    <w:pPr>
      <w:ind w:left="720"/>
      <w:contextualSpacing/>
    </w:pPr>
  </w:style>
  <w:style w:type="character" w:styleId="Accentuationintense">
    <w:name w:val="Intense Emphasis"/>
    <w:basedOn w:val="Policepardfaut"/>
    <w:uiPriority w:val="21"/>
    <w:qFormat/>
    <w:rsid w:val="00A9607D"/>
    <w:rPr>
      <w:i/>
      <w:iCs/>
      <w:color w:val="0F4761" w:themeColor="accent1" w:themeShade="BF"/>
    </w:rPr>
  </w:style>
  <w:style w:type="paragraph" w:styleId="Citationintense">
    <w:name w:val="Intense Quote"/>
    <w:basedOn w:val="Normal"/>
    <w:next w:val="Normal"/>
    <w:link w:val="CitationintenseCar"/>
    <w:uiPriority w:val="30"/>
    <w:qFormat/>
    <w:rsid w:val="00A96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9607D"/>
    <w:rPr>
      <w:i/>
      <w:iCs/>
      <w:color w:val="0F4761" w:themeColor="accent1" w:themeShade="BF"/>
    </w:rPr>
  </w:style>
  <w:style w:type="character" w:styleId="Rfrenceintense">
    <w:name w:val="Intense Reference"/>
    <w:basedOn w:val="Policepardfaut"/>
    <w:uiPriority w:val="32"/>
    <w:qFormat/>
    <w:rsid w:val="00A9607D"/>
    <w:rPr>
      <w:b/>
      <w:bCs/>
      <w:smallCaps/>
      <w:color w:val="0F4761" w:themeColor="accent1" w:themeShade="BF"/>
      <w:spacing w:val="5"/>
    </w:rPr>
  </w:style>
  <w:style w:type="paragraph" w:styleId="En-tte">
    <w:name w:val="header"/>
    <w:basedOn w:val="Normal"/>
    <w:link w:val="En-tteCar"/>
    <w:uiPriority w:val="99"/>
    <w:unhideWhenUsed/>
    <w:rsid w:val="00631E19"/>
    <w:pPr>
      <w:tabs>
        <w:tab w:val="center" w:pos="4320"/>
        <w:tab w:val="right" w:pos="8640"/>
      </w:tabs>
      <w:spacing w:after="0" w:line="240" w:lineRule="auto"/>
    </w:pPr>
  </w:style>
  <w:style w:type="character" w:customStyle="1" w:styleId="En-tteCar">
    <w:name w:val="En-tête Car"/>
    <w:basedOn w:val="Policepardfaut"/>
    <w:link w:val="En-tte"/>
    <w:uiPriority w:val="99"/>
    <w:rsid w:val="00631E19"/>
  </w:style>
  <w:style w:type="paragraph" w:styleId="Pieddepage">
    <w:name w:val="footer"/>
    <w:basedOn w:val="Normal"/>
    <w:link w:val="PieddepageCar"/>
    <w:uiPriority w:val="99"/>
    <w:unhideWhenUsed/>
    <w:rsid w:val="00631E1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631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de projet" ma:contentTypeID="0x010100F6681E3BDF397F418586AC591ADC81BB00B1C59DBDA31CBC4E8F29BDC1BF4699B8" ma:contentTypeVersion="0" ma:contentTypeDescription="" ma:contentTypeScope="" ma:versionID="cc0022c8fda548d1d3bc7e32fa8e7bf0">
  <xsd:schema xmlns:xsd="http://www.w3.org/2001/XMLSchema" xmlns:xs="http://www.w3.org/2001/XMLSchema" xmlns:p="http://schemas.microsoft.com/office/2006/metadata/properties" xmlns:ns2="a091097b-8ae3-4832-a2b2-51f9a78aeacd" xmlns:ns3="a84ed267-86d5-4fa1-a3cb-2fed497fe84f" targetNamespace="http://schemas.microsoft.com/office/2006/metadata/properties" ma:root="true" ma:fieldsID="a153a3ac82d32734bdd521d06cf493e4" ns2:_="" ns3:_="">
    <xsd:import namespace="a091097b-8ae3-4832-a2b2-51f9a78aeacd"/>
    <xsd:import namespace="a84ed267-86d5-4fa1-a3cb-2fed497fe84f"/>
    <xsd:element name="properties">
      <xsd:complexType>
        <xsd:sequence>
          <xsd:element name="documentManagement">
            <xsd:complexType>
              <xsd:all>
                <xsd:element ref="ns2:Projet"/>
                <xsd:element ref="ns2:Provenance" minOccurs="0"/>
                <xsd:element ref="ns2:Déposant"/>
                <xsd:element ref="ns2:Catégorie_x0020_de_x0020_document" minOccurs="0"/>
                <xsd:element ref="ns2:Sous-catégorie" minOccurs="0"/>
                <xsd:element ref="ns2:Phase"/>
                <xsd:element ref="ns2:Précision_x0020_de_x0020_document" minOccurs="0"/>
                <xsd:element ref="ns2:Sujet" minOccurs="0"/>
                <xsd:element ref="ns2:Cote_x0020_de_x0020_déposant" minOccurs="0"/>
                <xsd:element ref="ns2:Accés_x0020_restreint" minOccurs="0"/>
                <xsd:element ref="ns2:Cote_x0020_de_x0020_piéce" minOccurs="0"/>
                <xsd:element ref="ns2:Inscrit_x0020_au_x0020_plumitif" minOccurs="0"/>
                <xsd:element ref="ns2:Numéro_x0020_plumitif" minOccurs="0"/>
                <xsd:element ref="ns2:Diffusable_x0020_sur_x0020_le_x0020_Web" minOccurs="0"/>
                <xsd:element ref="ns2:Ne_x0020_pas_x0020_envoyer_x0020_d_x0027_alerte" minOccurs="0"/>
                <xsd:element ref="ns2:Confidentiel"/>
                <xsd:element ref="ns2:Date_x0020_de_x0020_confidentialité_x0020_relevée" minOccurs="0"/>
                <xsd:element ref="ns2:Copie_x0020_papier_x0020_reçue" minOccurs="0"/>
                <xsd:element ref="ns2:Date_x0020_de_x0020_réception_x0020_copie_x0020_papier" minOccurs="0"/>
                <xsd:element ref="ns3:_dlc_DocId" minOccurs="0"/>
                <xsd:element ref="ns3:_dlc_DocIdUrl" minOccurs="0"/>
                <xsd:element ref="ns3:_dlc_DocIdPersistId" minOccurs="0"/>
                <xsd:element ref="ns2:Hidden_UploadedBy" minOccurs="0"/>
                <xsd:element ref="ns2:Hidden_UploadedAt" minOccurs="0"/>
                <xsd:element ref="ns2:Hidden_ApprovedBy" minOccurs="0"/>
                <xsd:element ref="ns2:Hidden_ApprovedAt" minOccurs="0"/>
                <xsd:element ref="ns2:Stat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1097b-8ae3-4832-a2b2-51f9a78aeacd" elementFormDefault="qualified">
    <xsd:import namespace="http://schemas.microsoft.com/office/2006/documentManagement/types"/>
    <xsd:import namespace="http://schemas.microsoft.com/office/infopath/2007/PartnerControls"/>
    <xsd:element name="Projet" ma:index="1" ma:displayName="Projet" ma:list="{CE87CB4F-F3B1-42AD-9CE0-0125D6B4080B}" ma:internalName="Projet" ma:readOnly="false" ma:showField="Num_x00e9_ro_x0020_du_x0020_proj" ma:web="{76ddd5ea-d475-414e-8091-4675c7a4bd1a}">
      <xsd:simpleType>
        <xsd:restriction base="dms:Lookup"/>
      </xsd:simpleType>
    </xsd:element>
    <xsd:element name="Provenance" ma:index="2" nillable="true" ma:displayName="Provenance" ma:list="{3A1A4597-1672-4F84-9DE7-FBA0AEBF9CE3}" ma:internalName="Provenance" ma:showField="Title" ma:web="{76ddd5ea-d475-414e-8091-4675c7a4bd1a}">
      <xsd:simpleType>
        <xsd:restriction base="dms:Lookup"/>
      </xsd:simpleType>
    </xsd:element>
    <xsd:element name="Déposant" ma:index="3" ma:displayName="Déposant" ma:list="{A2D4550E-DC70-4FE1-8010-4C446E5D8D2C}" ma:internalName="D_x00e9_posant" ma:showField="Code" ma:web="{76ddd5ea-d475-414e-8091-4675c7a4bd1a}">
      <xsd:simpleType>
        <xsd:restriction base="dms:Lookup"/>
      </xsd:simpleType>
    </xsd:element>
    <xsd:element name="Catégorie_x0020_de_x0020_document" ma:index="4" nillable="true" ma:displayName="Catégorie de document" ma:list="{F7545102-6201-4483-9929-E858F36BE31E}" ma:internalName="Cat_x00e9_gorie_x0020_de_x0020_document" ma:showField="Title" ma:web="{76ddd5ea-d475-414e-8091-4675c7a4bd1a}">
      <xsd:simpleType>
        <xsd:restriction base="dms:Lookup"/>
      </xsd:simpleType>
    </xsd:element>
    <xsd:element name="Sous-catégorie" ma:index="5" nillable="true" ma:displayName="Sous-catégorie" ma:list="{8F61632E-9A95-48F5-95F9-D05D88255F44}" ma:internalName="Sous_x002d_cat_x00e9_gorie" ma:showField="Title" ma:web="{76ddd5ea-d475-414e-8091-4675c7a4bd1a}">
      <xsd:simpleType>
        <xsd:restriction base="dms:Lookup"/>
      </xsd:simpleType>
    </xsd:element>
    <xsd:element name="Phase" ma:index="6" ma:displayName="Phase" ma:list="{1721197D-7382-4457-968B-EC653058772A}" ma:internalName="Phase" ma:showField="Title" ma:web="{76ddd5ea-d475-414e-8091-4675c7a4bd1a}">
      <xsd:simpleType>
        <xsd:restriction base="dms:Lookup"/>
      </xsd:simpleType>
    </xsd:element>
    <xsd:element name="Précision_x0020_de_x0020_document" ma:index="7" nillable="true" ma:displayName="Précisions de document" ma:hidden="true" ma:list="{CD8F73AF-CF7D-4F56-B7C5-E37D10A86459}" ma:internalName="Pr_x00e9_cision_x0020_de_x0020_document" ma:readOnly="false" ma:showField="Title" ma:web="{76ddd5ea-d475-414e-8091-4675c7a4bd1a}">
      <xsd:simpleType>
        <xsd:restriction base="dms:Lookup"/>
      </xsd:simpleType>
    </xsd:element>
    <xsd:element name="Sujet" ma:index="8" nillable="true" ma:displayName="Sujet" ma:internalName="Sujet">
      <xsd:simpleType>
        <xsd:restriction base="dms:Note">
          <xsd:maxLength value="255"/>
        </xsd:restriction>
      </xsd:simpleType>
    </xsd:element>
    <xsd:element name="Cote_x0020_de_x0020_déposant" ma:index="9" nillable="true" ma:displayName="Cote déposant" ma:internalName="Cote_x0020_de_x0020_d_x00e9_posant">
      <xsd:simpleType>
        <xsd:restriction base="dms:Text">
          <xsd:maxLength value="255"/>
        </xsd:restriction>
      </xsd:simpleType>
    </xsd:element>
    <xsd:element name="Accés_x0020_restreint" ma:index="10" nillable="true" ma:displayName="Accès restreint" ma:default="0" ma:internalName="Acc_x00e9_s_x0020_restreint">
      <xsd:simpleType>
        <xsd:restriction base="dms:Boolean"/>
      </xsd:simpleType>
    </xsd:element>
    <xsd:element name="Cote_x0020_de_x0020_piéce" ma:index="11" nillable="true" ma:displayName="Cote de pièce" ma:internalName="Cote_x0020_de_x0020_pi_x00e9_ce">
      <xsd:simpleType>
        <xsd:restriction base="dms:Text">
          <xsd:maxLength value="255"/>
        </xsd:restriction>
      </xsd:simpleType>
    </xsd:element>
    <xsd:element name="Inscrit_x0020_au_x0020_plumitif" ma:index="12" nillable="true" ma:displayName="Inscrit au plumitif" ma:default="1" ma:internalName="Inscrit_x0020_au_x0020_plumitif">
      <xsd:simpleType>
        <xsd:restriction base="dms:Boolean"/>
      </xsd:simpleType>
    </xsd:element>
    <xsd:element name="Numéro_x0020_plumitif" ma:index="13" nillable="true" ma:displayName="Numéro plumitif" ma:decimals="0" ma:internalName="Num_x00e9_ro_x0020_plumitif">
      <xsd:simpleType>
        <xsd:restriction base="dms:Number">
          <xsd:maxInclusive value="9999"/>
          <xsd:minInclusive value="1"/>
        </xsd:restriction>
      </xsd:simpleType>
    </xsd:element>
    <xsd:element name="Diffusable_x0020_sur_x0020_le_x0020_Web" ma:index="14" nillable="true" ma:displayName="Diffusable sur le Web" ma:default="1" ma:internalName="Diffusable_x0020_sur_x0020_le_x0020_Web">
      <xsd:simpleType>
        <xsd:restriction base="dms:Boolean"/>
      </xsd:simpleType>
    </xsd:element>
    <xsd:element name="Ne_x0020_pas_x0020_envoyer_x0020_d_x0027_alerte" ma:index="15" nillable="true" ma:displayName="Ne pas envoyer d'alerte" ma:default="1" ma:internalName="Ne_x0020_pas_x0020_envoyer_x0020_d_x0027_alerte">
      <xsd:simpleType>
        <xsd:restriction base="dms:Boolean"/>
      </xsd:simpleType>
    </xsd:element>
    <xsd:element name="Confidentiel" ma:index="16" ma:displayName="Confidentiel" ma:list="{79B26B89-E55A-4B03-BEFA-7EE3A90275CF}" ma:internalName="Confidentiel" ma:showField="Title" ma:web="{76ddd5ea-d475-414e-8091-4675c7a4bd1a}">
      <xsd:simpleType>
        <xsd:restriction base="dms:Lookup"/>
      </xsd:simpleType>
    </xsd:element>
    <xsd:element name="Date_x0020_de_x0020_confidentialité_x0020_relevée" ma:index="17" nillable="true" ma:displayName="Date de confidentialité relevée" ma:format="DateOnly" ma:internalName="Date_x0020_de_x0020_confidentialit_x00e9__x0020_relev_x00e9_e">
      <xsd:simpleType>
        <xsd:restriction base="dms:DateTime"/>
      </xsd:simpleType>
    </xsd:element>
    <xsd:element name="Copie_x0020_papier_x0020_reçue" ma:index="18" nillable="true" ma:displayName="Copie papier reçue" ma:default="0" ma:internalName="Copie_x0020_papier_x0020_re_x00e7_ue">
      <xsd:simpleType>
        <xsd:restriction base="dms:Boolean"/>
      </xsd:simpleType>
    </xsd:element>
    <xsd:element name="Date_x0020_de_x0020_réception_x0020_copie_x0020_papier" ma:index="19" nillable="true" ma:displayName="Date de réception copie papier" ma:format="DateOnly" ma:internalName="Date_x0020_de_x0020_r_x00e9_ception_x0020_copie_x0020_papier">
      <xsd:simpleType>
        <xsd:restriction base="dms:DateTime"/>
      </xsd:simpleType>
    </xsd:element>
    <xsd:element name="Hidden_UploadedBy" ma:index="33" nillable="true" ma:displayName="Hidden_UploadedBy" ma:hidden="true" ma:internalName="Hidden_UploadedBy" ma:readOnly="false">
      <xsd:simpleType>
        <xsd:restriction base="dms:Text">
          <xsd:maxLength value="100"/>
        </xsd:restriction>
      </xsd:simpleType>
    </xsd:element>
    <xsd:element name="Hidden_UploadedAt" ma:index="34" nillable="true" ma:displayName="Hidden_UploadedAt" ma:default="[today]" ma:format="DateTime" ma:hidden="true" ma:internalName="Hidden_UploadedAt" ma:readOnly="false">
      <xsd:simpleType>
        <xsd:restriction base="dms:DateTime"/>
      </xsd:simpleType>
    </xsd:element>
    <xsd:element name="Hidden_ApprovedBy" ma:index="35" nillable="true" ma:displayName="Hidden_ApprovedBy" ma:hidden="true" ma:internalName="Hidden_ApprovedBy" ma:readOnly="false">
      <xsd:simpleType>
        <xsd:restriction base="dms:Text">
          <xsd:maxLength value="100"/>
        </xsd:restriction>
      </xsd:simpleType>
    </xsd:element>
    <xsd:element name="Hidden_ApprovedAt" ma:index="36" nillable="true" ma:displayName="Hidden_ApprovedAt" ma:default="[today]" ma:format="DateTime" ma:hidden="true" ma:internalName="Hidden_ApprovedAt" ma:readOnly="false">
      <xsd:simpleType>
        <xsd:restriction base="dms:DateTime"/>
      </xsd:simpleType>
    </xsd:element>
    <xsd:element name="Statut" ma:index="37" nillable="true" ma:displayName="Statut" ma:hidden="true" ma:internalName="Statut" ma:readOnly="false">
      <xsd:simpleType>
        <xsd:restriction base="dms:Text">
          <xsd:maxLength value="10"/>
        </xsd:restriction>
      </xsd:simpleType>
    </xsd:element>
  </xsd:schema>
  <xsd:schema xmlns:xsd="http://www.w3.org/2001/XMLSchema" xmlns:xs="http://www.w3.org/2001/XMLSchema" xmlns:dms="http://schemas.microsoft.com/office/2006/documentManagement/types" xmlns:pc="http://schemas.microsoft.com/office/infopath/2007/PartnerControls" targetNamespace="a84ed267-86d5-4fa1-a3cb-2fed497fe84f" elementFormDefault="qualified">
    <xsd:import namespace="http://schemas.microsoft.com/office/2006/documentManagement/types"/>
    <xsd:import namespace="http://schemas.microsoft.com/office/infopath/2007/PartnerControls"/>
    <xsd:element name="_dlc_DocId" ma:index="22" nillable="true" ma:displayName="Valeur d’ID de document" ma:description="Valeur de l’ID de document affecté à cet élément." ma:internalName="_dlc_DocId" ma:readOnly="true">
      <xsd:simpleType>
        <xsd:restriction base="dms:Text"/>
      </xsd:simpleType>
    </xsd:element>
    <xsd:element name="_dlc_DocIdUrl" ma:index="23"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Conserver l’ID" ma:description="Conserver l’ID lors de l’ajout."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idden_UploadedAt xmlns="a091097b-8ae3-4832-a2b2-51f9a78aeacd">2026-09-30T19:19:40+00:00</Hidden_UploadedAt>
    <Provenance xmlns="a091097b-8ae3-4832-a2b2-51f9a78aeacd">4</Provenance>
    <Accés_x0020_restreint xmlns="a091097b-8ae3-4832-a2b2-51f9a78aeacd">false</Accés_x0020_restreint>
    <Précision_x0020_de_x0020_document xmlns="a091097b-8ae3-4832-a2b2-51f9a78aeacd" xsi:nil="true"/>
    <Déposant xmlns="a091097b-8ae3-4832-a2b2-51f9a78aeacd">268</Déposant>
    <Sous-catégorie xmlns="a091097b-8ae3-4832-a2b2-51f9a78aeacd">366</Sous-catégorie>
    <Copie_x0020_papier_x0020_reçue xmlns="a091097b-8ae3-4832-a2b2-51f9a78aeacd">false</Copie_x0020_papier_x0020_reçue>
    <Phase xmlns="a091097b-8ae3-4832-a2b2-51f9a78aeacd">1</Phase>
    <Sujet xmlns="a091097b-8ae3-4832-a2b2-51f9a78aeacd">Observation et soutien de l’AIEQ</Sujet>
    <Cote_x0020_de_x0020_déposant xmlns="a091097b-8ae3-4832-a2b2-51f9a78aeacd" xsi:nil="true"/>
    <Confidentiel xmlns="a091097b-8ae3-4832-a2b2-51f9a78aeacd">3</Confidentiel>
    <Hidden_UploadedBy xmlns="a091097b-8ae3-4832-a2b2-51f9a78aeacd">Slimani, Salima</Hidden_UploadedBy>
    <Inscrit_x0020_au_x0020_plumitif xmlns="a091097b-8ae3-4832-a2b2-51f9a78aeacd">true</Inscrit_x0020_au_x0020_plumitif>
    <Statut xmlns="a091097b-8ae3-4832-a2b2-51f9a78aeacd">Approuvé automatiquement</Statut>
    <Catégorie_x0020_de_x0020_document xmlns="a091097b-8ae3-4832-a2b2-51f9a78aeacd">22</Catégorie_x0020_de_x0020_document>
    <Date_x0020_de_x0020_confidentialité_x0020_relevée xmlns="a091097b-8ae3-4832-a2b2-51f9a78aeacd" xsi:nil="true"/>
    <Diffusable_x0020_sur_x0020_le_x0020_Web xmlns="a091097b-8ae3-4832-a2b2-51f9a78aeacd">true</Diffusable_x0020_sur_x0020_le_x0020_Web>
    <Projet xmlns="a091097b-8ae3-4832-a2b2-51f9a78aeacd">1568</Projet>
    <Date_x0020_de_x0020_réception_x0020_copie_x0020_papier xmlns="a091097b-8ae3-4832-a2b2-51f9a78aeacd" xsi:nil="true"/>
    <Numéro_x0020_plumitif xmlns="a091097b-8ae3-4832-a2b2-51f9a78aeacd">426</Numéro_x0020_plumitif>
    <Hidden_ApprovedBy xmlns="a091097b-8ae3-4832-a2b2-51f9a78aeacd">Slimani, Salima</Hidden_ApprovedBy>
    <Hidden_ApprovedAt xmlns="a091097b-8ae3-4832-a2b2-51f9a78aeacd">2026-09-30T19:19:43+00:00</Hidden_ApprovedAt>
    <Cote_x0020_de_x0020_piéce xmlns="a091097b-8ae3-4832-a2b2-51f9a78aeacd">D-0004</Cote_x0020_de_x0020_piéce>
    <Ne_x0020_pas_x0020_envoyer_x0020_d_x0027_alerte xmlns="a091097b-8ae3-4832-a2b2-51f9a78aeacd">true</Ne_x0020_pas_x0020_envoyer_x0020_d_x0027_alerte>
    <_dlc_DocId xmlns="a84ed267-86d5-4fa1-a3cb-2fed497fe84f">W2HFWTQUJJY6-257002865-434</_dlc_DocId>
    <_dlc_DocIdUrl xmlns="a84ed267-86d5-4fa1-a3cb-2fed497fe84f">
      <Url>https://sde.regie-energie.qc.ca/1568/_layouts/15/DocIdRedir.aspx?ID=W2HFWTQUJJY6-257002865-434</Url>
      <Description>W2HFWTQUJJY6-257002865-434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8704DE-0A24-4D13-A5C8-CEC0CA8A89D6}">
  <ds:schemaRefs>
    <ds:schemaRef ds:uri="http://schemas.microsoft.com/sharepoint/v3/contenttype/forms"/>
  </ds:schemaRefs>
</ds:datastoreItem>
</file>

<file path=customXml/itemProps2.xml><?xml version="1.0" encoding="utf-8"?>
<ds:datastoreItem xmlns:ds="http://schemas.openxmlformats.org/officeDocument/2006/customXml" ds:itemID="{10450C89-D654-43E0-880B-4BFC09AAE433}"/>
</file>

<file path=customXml/itemProps3.xml><?xml version="1.0" encoding="utf-8"?>
<ds:datastoreItem xmlns:ds="http://schemas.openxmlformats.org/officeDocument/2006/customXml" ds:itemID="{8398A3AE-8193-4701-82D8-F39A7DAA320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E84FC1-AEA3-4D88-8BD2-33997B6F0100}"/>
</file>

<file path=docProps/app.xml><?xml version="1.0" encoding="utf-8"?>
<Properties xmlns="http://schemas.openxmlformats.org/officeDocument/2006/extended-properties" xmlns:vt="http://schemas.openxmlformats.org/officeDocument/2006/docPropsVTypes">
  <Template>Normal.dotm</Template>
  <TotalTime>1</TotalTime>
  <Pages>3</Pages>
  <Words>941</Words>
  <Characters>5402</Characters>
  <Application>Microsoft Office Word</Application>
  <DocSecurity>0</DocSecurity>
  <Lines>117</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Lampron</dc:creator>
  <cp:keywords/>
  <dc:description/>
  <cp:lastModifiedBy>Slimani, Salima</cp:lastModifiedBy>
  <cp:revision>2</cp:revision>
  <dcterms:created xsi:type="dcterms:W3CDTF">2026-09-30T19:18:00Z</dcterms:created>
  <dcterms:modified xsi:type="dcterms:W3CDTF">2026-09-30T19:18:00Z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0x010100F6681E3BDF397F418586AC591ADC81BB00B1C59DBDA31CBC4E8F29BDC1BF4699B8</vt:lpwstr>
  </property>
  <property fmtid="{D5CDD505-2E9C-101B-9397-08002B2CF9AE}" pid="3" name="_dlc_DocIdItemGuid">
    <vt:lpwstr>61d7672a-7db6-4bc1-8e50-3f84b4568823</vt:lpwstr>
  </property>
  <property fmtid="{D5CDD505-2E9C-101B-9397-08002B2CF9AE}" pid="4" name="Order">
    <vt:r8>2771500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