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4D69" w14:textId="77777777" w:rsidR="000D30C6" w:rsidRPr="00325D53" w:rsidRDefault="000D30C6" w:rsidP="000D30C6">
      <w:pPr>
        <w:spacing w:before="60" w:after="60" w:line="264" w:lineRule="auto"/>
        <w:rPr>
          <w:rFonts w:cs="Calibri"/>
        </w:rPr>
      </w:pPr>
      <w:r>
        <w:rPr>
          <w:rFonts w:cs="Calibri"/>
          <w:noProof/>
          <w:lang w:val="en-CA" w:eastAsia="en-CA"/>
        </w:rPr>
        <mc:AlternateContent>
          <mc:Choice Requires="wps">
            <w:drawing>
              <wp:anchor distT="0" distB="0" distL="114300" distR="114300" simplePos="0" relativeHeight="251659264" behindDoc="0" locked="0" layoutInCell="1" allowOverlap="1" wp14:anchorId="1E09DD04" wp14:editId="7B70AE34">
                <wp:simplePos x="0" y="0"/>
                <wp:positionH relativeFrom="column">
                  <wp:posOffset>-299123</wp:posOffset>
                </wp:positionH>
                <wp:positionV relativeFrom="paragraph">
                  <wp:posOffset>-135802</wp:posOffset>
                </wp:positionV>
                <wp:extent cx="6301212" cy="9035358"/>
                <wp:effectExtent l="0" t="0" r="23495" b="13970"/>
                <wp:wrapNone/>
                <wp:docPr id="1" name="Rectangle 1"/>
                <wp:cNvGraphicFramePr/>
                <a:graphic xmlns:a="http://schemas.openxmlformats.org/drawingml/2006/main">
                  <a:graphicData uri="http://schemas.microsoft.com/office/word/2010/wordprocessingShape">
                    <wps:wsp>
                      <wps:cNvSpPr/>
                      <wps:spPr>
                        <a:xfrm>
                          <a:off x="0" y="0"/>
                          <a:ext cx="6301212" cy="9035358"/>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A0495" id="Rectangle 1" o:spid="_x0000_s1026" style="position:absolute;margin-left:-23.55pt;margin-top:-10.7pt;width:496.15pt;height:7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" filled="f" strokecolor="black [3200]" strokeweight="1pt"/>
            </w:pict>
          </mc:Fallback>
        </mc:AlternateContent>
      </w:r>
      <w:r w:rsidRPr="00325D53">
        <w:rPr>
          <w:rFonts w:cs="Calibri"/>
        </w:rPr>
        <w:object w:dxaOrig="6631" w:dyaOrig="2535" w14:anchorId="2CD7F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86.05pt" o:ole="">
            <v:imagedata r:id="rId8" o:title=""/>
          </v:shape>
          <o:OLEObject Type="Embed" ProgID="MSPhotoEd.3" ShapeID="_x0000_i1025" DrawAspect="Content" ObjectID="_1742218128" r:id="rId9"/>
        </w:object>
      </w:r>
    </w:p>
    <w:p w14:paraId="707B5E5A" w14:textId="77777777" w:rsidR="000D30C6" w:rsidRPr="00325D53" w:rsidRDefault="000D30C6" w:rsidP="000D30C6">
      <w:pPr>
        <w:spacing w:before="60" w:after="60" w:line="264" w:lineRule="auto"/>
        <w:rPr>
          <w:rFonts w:cs="Calibri"/>
          <w:sz w:val="32"/>
          <w:szCs w:val="32"/>
        </w:rPr>
      </w:pPr>
    </w:p>
    <w:p w14:paraId="47DF9F27" w14:textId="77777777" w:rsidR="000D30C6" w:rsidRPr="00325D53" w:rsidRDefault="000D30C6" w:rsidP="000D30C6">
      <w:pPr>
        <w:spacing w:before="60" w:after="60" w:line="264" w:lineRule="auto"/>
        <w:rPr>
          <w:rFonts w:cs="Calibri"/>
          <w:sz w:val="24"/>
          <w:szCs w:val="24"/>
        </w:rPr>
      </w:pPr>
    </w:p>
    <w:p w14:paraId="68E969C4" w14:textId="77777777" w:rsidR="000D30C6" w:rsidRPr="00325D53" w:rsidRDefault="000D30C6" w:rsidP="000D30C6">
      <w:pPr>
        <w:spacing w:before="60" w:after="60" w:line="264" w:lineRule="auto"/>
        <w:rPr>
          <w:rFonts w:cs="Calibri"/>
          <w:sz w:val="24"/>
          <w:szCs w:val="24"/>
        </w:rPr>
      </w:pPr>
    </w:p>
    <w:p w14:paraId="5D8B72CC" w14:textId="77777777" w:rsidR="000D30C6" w:rsidRDefault="000D30C6" w:rsidP="000D30C6">
      <w:pPr>
        <w:spacing w:before="60" w:after="60" w:line="264" w:lineRule="auto"/>
        <w:rPr>
          <w:rFonts w:cs="Calibri"/>
          <w:sz w:val="24"/>
          <w:szCs w:val="24"/>
        </w:rPr>
      </w:pPr>
    </w:p>
    <w:p w14:paraId="49BFD9D8" w14:textId="77777777" w:rsidR="000D30C6" w:rsidRDefault="000D30C6" w:rsidP="000D30C6">
      <w:pPr>
        <w:spacing w:before="60" w:after="60" w:line="264" w:lineRule="auto"/>
        <w:rPr>
          <w:rFonts w:cs="Calibri"/>
          <w:sz w:val="24"/>
          <w:szCs w:val="24"/>
        </w:rPr>
      </w:pPr>
    </w:p>
    <w:p w14:paraId="60151639" w14:textId="77777777" w:rsidR="000D30C6" w:rsidRPr="00325D53" w:rsidRDefault="000D30C6" w:rsidP="000D30C6">
      <w:pPr>
        <w:spacing w:before="60" w:after="60" w:line="264" w:lineRule="auto"/>
        <w:rPr>
          <w:rFonts w:cs="Calibri"/>
          <w:sz w:val="24"/>
          <w:szCs w:val="24"/>
        </w:rPr>
      </w:pPr>
    </w:p>
    <w:p w14:paraId="240271FC" w14:textId="77777777" w:rsidR="000D30C6" w:rsidRDefault="000D30C6" w:rsidP="000D30C6">
      <w:pPr>
        <w:spacing w:before="60" w:after="60" w:line="264" w:lineRule="auto"/>
        <w:rPr>
          <w:rFonts w:cs="Calibri"/>
          <w:sz w:val="24"/>
          <w:szCs w:val="24"/>
        </w:rPr>
      </w:pPr>
    </w:p>
    <w:p w14:paraId="0CDB8BE5" w14:textId="77777777" w:rsidR="000D30C6" w:rsidRDefault="000D30C6" w:rsidP="000D30C6">
      <w:pPr>
        <w:spacing w:before="60" w:after="60" w:line="264" w:lineRule="auto"/>
        <w:rPr>
          <w:rFonts w:cs="Calibri"/>
          <w:sz w:val="24"/>
          <w:szCs w:val="24"/>
        </w:rPr>
      </w:pPr>
    </w:p>
    <w:p w14:paraId="5D927E45" w14:textId="77777777" w:rsidR="000D30C6" w:rsidRDefault="000D30C6" w:rsidP="000D30C6">
      <w:pPr>
        <w:spacing w:before="60" w:after="60" w:line="264" w:lineRule="auto"/>
        <w:rPr>
          <w:rFonts w:cs="Calibri"/>
          <w:sz w:val="24"/>
          <w:szCs w:val="24"/>
        </w:rPr>
      </w:pPr>
    </w:p>
    <w:p w14:paraId="5803121A" w14:textId="77777777" w:rsidR="000D30C6" w:rsidRPr="00325D53" w:rsidRDefault="000D30C6" w:rsidP="000D30C6">
      <w:pPr>
        <w:spacing w:before="60" w:after="60" w:line="264" w:lineRule="auto"/>
        <w:rPr>
          <w:rFonts w:cs="Calibri"/>
          <w:sz w:val="24"/>
          <w:szCs w:val="24"/>
        </w:rPr>
      </w:pPr>
    </w:p>
    <w:p w14:paraId="08DA6503" w14:textId="77777777" w:rsidR="000D30C6" w:rsidRPr="00325D53" w:rsidRDefault="000D30C6" w:rsidP="000D30C6">
      <w:pPr>
        <w:spacing w:before="60" w:after="60" w:line="264" w:lineRule="auto"/>
        <w:rPr>
          <w:rFonts w:cs="Calibri"/>
          <w:sz w:val="24"/>
          <w:szCs w:val="24"/>
        </w:rPr>
      </w:pPr>
    </w:p>
    <w:p w14:paraId="3D61D757" w14:textId="77777777" w:rsidR="000D30C6" w:rsidRPr="006E2752" w:rsidRDefault="000D30C6" w:rsidP="000D30C6">
      <w:pPr>
        <w:spacing w:before="60" w:after="60" w:line="264" w:lineRule="auto"/>
        <w:jc w:val="center"/>
        <w:rPr>
          <w:rFonts w:cs="Calibri"/>
          <w:b/>
          <w:bCs/>
          <w:sz w:val="60"/>
          <w:szCs w:val="60"/>
        </w:rPr>
      </w:pPr>
      <w:r w:rsidRPr="006E2752">
        <w:rPr>
          <w:rFonts w:cs="Calibri"/>
          <w:b/>
          <w:bCs/>
          <w:sz w:val="60"/>
          <w:szCs w:val="60"/>
        </w:rPr>
        <w:t>GUIDE DE DÉPÔT</w:t>
      </w:r>
    </w:p>
    <w:p w14:paraId="6D8F07BC" w14:textId="77777777" w:rsidR="000D30C6" w:rsidRDefault="000D30C6" w:rsidP="000D30C6">
      <w:pPr>
        <w:spacing w:before="60" w:after="0" w:line="240" w:lineRule="auto"/>
        <w:jc w:val="center"/>
        <w:rPr>
          <w:rFonts w:cs="Calibri"/>
          <w:sz w:val="40"/>
          <w:szCs w:val="24"/>
        </w:rPr>
      </w:pPr>
      <w:r>
        <w:rPr>
          <w:rFonts w:cs="Calibri"/>
          <w:sz w:val="40"/>
          <w:szCs w:val="24"/>
        </w:rPr>
        <w:t>Intragaz</w:t>
      </w:r>
    </w:p>
    <w:p w14:paraId="23289D0D" w14:textId="77777777" w:rsidR="000D30C6" w:rsidRPr="000D30C6" w:rsidRDefault="000D30C6" w:rsidP="000D30C6">
      <w:pPr>
        <w:spacing w:before="60" w:after="60" w:line="240" w:lineRule="auto"/>
        <w:jc w:val="center"/>
        <w:rPr>
          <w:rFonts w:cs="Calibri"/>
          <w:b/>
          <w:bCs/>
          <w:sz w:val="28"/>
          <w:szCs w:val="28"/>
        </w:rPr>
      </w:pPr>
      <w:r w:rsidRPr="000D30C6">
        <w:rPr>
          <w:rFonts w:cs="Calibri"/>
          <w:sz w:val="28"/>
          <w:szCs w:val="28"/>
        </w:rPr>
        <w:t>Société en commandite</w:t>
      </w:r>
    </w:p>
    <w:p w14:paraId="681DC8F9" w14:textId="77777777" w:rsidR="000D30C6" w:rsidRPr="00325D53" w:rsidRDefault="000D30C6" w:rsidP="000D30C6">
      <w:pPr>
        <w:spacing w:before="60" w:after="60" w:line="264" w:lineRule="auto"/>
        <w:rPr>
          <w:rFonts w:cs="Calibri"/>
          <w:b/>
          <w:bCs/>
          <w:sz w:val="24"/>
          <w:szCs w:val="24"/>
        </w:rPr>
      </w:pPr>
    </w:p>
    <w:p w14:paraId="59B3DCB6" w14:textId="77777777" w:rsidR="000D30C6" w:rsidRPr="00325D53" w:rsidRDefault="000D30C6" w:rsidP="000D30C6">
      <w:pPr>
        <w:spacing w:before="60" w:after="60" w:line="264" w:lineRule="auto"/>
        <w:rPr>
          <w:rFonts w:cs="Calibri"/>
          <w:b/>
          <w:bCs/>
          <w:sz w:val="24"/>
          <w:szCs w:val="24"/>
        </w:rPr>
      </w:pPr>
    </w:p>
    <w:p w14:paraId="64270D4E" w14:textId="77777777" w:rsidR="000D30C6" w:rsidRPr="00325D53" w:rsidRDefault="000D30C6" w:rsidP="000D30C6">
      <w:pPr>
        <w:spacing w:before="60" w:after="60" w:line="264" w:lineRule="auto"/>
        <w:rPr>
          <w:rFonts w:cs="Calibri"/>
          <w:b/>
          <w:bCs/>
          <w:sz w:val="24"/>
          <w:szCs w:val="24"/>
        </w:rPr>
      </w:pPr>
    </w:p>
    <w:p w14:paraId="49364559" w14:textId="77777777" w:rsidR="000D30C6" w:rsidRPr="00325D53" w:rsidRDefault="000D30C6" w:rsidP="000D30C6">
      <w:pPr>
        <w:spacing w:before="60" w:after="60" w:line="264" w:lineRule="auto"/>
        <w:rPr>
          <w:rFonts w:cs="Calibri"/>
          <w:b/>
          <w:bCs/>
          <w:sz w:val="24"/>
          <w:szCs w:val="24"/>
        </w:rPr>
      </w:pPr>
    </w:p>
    <w:p w14:paraId="420F4345" w14:textId="77777777" w:rsidR="000D30C6" w:rsidRPr="00325D53" w:rsidRDefault="000D30C6" w:rsidP="000D30C6">
      <w:pPr>
        <w:spacing w:before="60" w:after="60" w:line="264" w:lineRule="auto"/>
        <w:rPr>
          <w:rFonts w:cs="Calibri"/>
          <w:b/>
          <w:bCs/>
          <w:sz w:val="24"/>
          <w:szCs w:val="24"/>
        </w:rPr>
      </w:pPr>
    </w:p>
    <w:p w14:paraId="5E948309" w14:textId="77777777" w:rsidR="000D30C6" w:rsidRPr="00325D53" w:rsidRDefault="000D30C6" w:rsidP="000D30C6">
      <w:pPr>
        <w:spacing w:before="60" w:after="60" w:line="264" w:lineRule="auto"/>
        <w:rPr>
          <w:rFonts w:cs="Calibri"/>
          <w:b/>
          <w:bCs/>
          <w:sz w:val="24"/>
          <w:szCs w:val="24"/>
        </w:rPr>
      </w:pPr>
    </w:p>
    <w:p w14:paraId="0273C95D" w14:textId="77777777" w:rsidR="000D30C6" w:rsidRPr="00325D53" w:rsidRDefault="000D30C6" w:rsidP="000D30C6">
      <w:pPr>
        <w:spacing w:before="60" w:after="60" w:line="264" w:lineRule="auto"/>
        <w:rPr>
          <w:rFonts w:cs="Calibri"/>
          <w:b/>
          <w:bCs/>
          <w:sz w:val="24"/>
          <w:szCs w:val="24"/>
        </w:rPr>
      </w:pPr>
    </w:p>
    <w:p w14:paraId="2F00A723" w14:textId="77777777" w:rsidR="000D30C6" w:rsidRPr="00325D53" w:rsidRDefault="000D30C6" w:rsidP="000D30C6">
      <w:pPr>
        <w:spacing w:before="60" w:after="60" w:line="264" w:lineRule="auto"/>
        <w:rPr>
          <w:rFonts w:cs="Calibri"/>
          <w:b/>
          <w:bCs/>
          <w:sz w:val="24"/>
          <w:szCs w:val="24"/>
        </w:rPr>
      </w:pPr>
    </w:p>
    <w:p w14:paraId="4718C5F4" w14:textId="77777777" w:rsidR="000D30C6" w:rsidRDefault="000D30C6" w:rsidP="000D30C6">
      <w:pPr>
        <w:spacing w:before="60" w:after="60" w:line="264" w:lineRule="auto"/>
        <w:rPr>
          <w:rFonts w:cs="Calibri"/>
          <w:b/>
          <w:bCs/>
          <w:sz w:val="24"/>
          <w:szCs w:val="24"/>
        </w:rPr>
      </w:pPr>
    </w:p>
    <w:p w14:paraId="1C6F0320" w14:textId="77777777" w:rsidR="000D30C6" w:rsidRDefault="000D30C6" w:rsidP="000D30C6">
      <w:pPr>
        <w:spacing w:before="60" w:after="60" w:line="264" w:lineRule="auto"/>
        <w:rPr>
          <w:rFonts w:cs="Calibri"/>
          <w:b/>
          <w:bCs/>
          <w:sz w:val="24"/>
          <w:szCs w:val="24"/>
        </w:rPr>
      </w:pPr>
    </w:p>
    <w:p w14:paraId="69D7A229" w14:textId="77777777" w:rsidR="000D30C6" w:rsidRDefault="000D30C6" w:rsidP="000D30C6">
      <w:pPr>
        <w:spacing w:before="60" w:after="60" w:line="264" w:lineRule="auto"/>
        <w:rPr>
          <w:rFonts w:cs="Calibri"/>
          <w:b/>
          <w:bCs/>
          <w:sz w:val="24"/>
          <w:szCs w:val="24"/>
        </w:rPr>
      </w:pPr>
    </w:p>
    <w:p w14:paraId="1075004D" w14:textId="77777777" w:rsidR="000D30C6" w:rsidRDefault="000D30C6" w:rsidP="000D30C6">
      <w:pPr>
        <w:spacing w:before="60" w:after="60" w:line="264" w:lineRule="auto"/>
        <w:rPr>
          <w:rFonts w:cs="Calibri"/>
          <w:b/>
          <w:bCs/>
          <w:sz w:val="24"/>
          <w:szCs w:val="24"/>
        </w:rPr>
      </w:pPr>
    </w:p>
    <w:p w14:paraId="739931AF" w14:textId="77777777" w:rsidR="000D30C6" w:rsidRDefault="000D30C6" w:rsidP="000D30C6">
      <w:pPr>
        <w:spacing w:before="60" w:after="60" w:line="264" w:lineRule="auto"/>
        <w:rPr>
          <w:rFonts w:cs="Calibri"/>
          <w:b/>
          <w:bCs/>
          <w:sz w:val="24"/>
          <w:szCs w:val="24"/>
        </w:rPr>
      </w:pPr>
    </w:p>
    <w:p w14:paraId="5713EAC1" w14:textId="77777777" w:rsidR="000D30C6" w:rsidRPr="00325D53" w:rsidRDefault="000D30C6" w:rsidP="000D30C6">
      <w:pPr>
        <w:spacing w:before="60" w:after="60" w:line="264" w:lineRule="auto"/>
        <w:rPr>
          <w:rFonts w:cs="Calibri"/>
          <w:b/>
          <w:bCs/>
          <w:sz w:val="24"/>
          <w:szCs w:val="24"/>
        </w:rPr>
      </w:pPr>
    </w:p>
    <w:p w14:paraId="3221C269" w14:textId="2029C04D" w:rsidR="000D30C6" w:rsidRPr="006E2752" w:rsidRDefault="00A52481" w:rsidP="000D30C6">
      <w:pPr>
        <w:spacing w:before="60" w:after="60" w:line="264" w:lineRule="auto"/>
        <w:jc w:val="center"/>
        <w:rPr>
          <w:rFonts w:cs="Calibri"/>
          <w:b/>
          <w:bCs/>
          <w:sz w:val="28"/>
          <w:szCs w:val="24"/>
        </w:rPr>
      </w:pPr>
      <w:r>
        <w:rPr>
          <w:rFonts w:cs="Calibri"/>
          <w:b/>
          <w:bCs/>
          <w:sz w:val="28"/>
          <w:szCs w:val="24"/>
        </w:rPr>
        <w:t>5 avril</w:t>
      </w:r>
      <w:r w:rsidR="007D65BA">
        <w:rPr>
          <w:rFonts w:cs="Calibri"/>
          <w:b/>
          <w:bCs/>
          <w:sz w:val="28"/>
          <w:szCs w:val="24"/>
        </w:rPr>
        <w:t xml:space="preserve"> </w:t>
      </w:r>
      <w:r w:rsidR="000D30C6">
        <w:rPr>
          <w:rFonts w:cs="Calibri"/>
          <w:b/>
          <w:bCs/>
          <w:sz w:val="28"/>
          <w:szCs w:val="24"/>
        </w:rPr>
        <w:t>202</w:t>
      </w:r>
      <w:r w:rsidR="003F1A4F">
        <w:rPr>
          <w:rFonts w:cs="Calibri"/>
          <w:b/>
          <w:bCs/>
          <w:sz w:val="28"/>
          <w:szCs w:val="24"/>
        </w:rPr>
        <w:t>3</w:t>
      </w:r>
    </w:p>
    <w:p w14:paraId="542BF6E2" w14:textId="77777777" w:rsidR="00A805F6" w:rsidRDefault="00A805F6">
      <w:r>
        <w:br w:type="page"/>
      </w:r>
    </w:p>
    <w:p w14:paraId="35AB138B" w14:textId="77777777" w:rsidR="00A805F6" w:rsidRPr="00145A09" w:rsidRDefault="00A805F6" w:rsidP="004C7719">
      <w:pPr>
        <w:pStyle w:val="Titre1"/>
        <w:spacing w:before="200" w:after="0"/>
      </w:pPr>
      <w:bookmarkStart w:id="0" w:name="_Toc78528802"/>
      <w:r w:rsidRPr="007928D3">
        <w:lastRenderedPageBreak/>
        <w:t>INFORMATIONS SPÉCIFIQUES EN LIEN AVEC LES PROJETS D’INVESTISSEMENT</w:t>
      </w:r>
      <w:bookmarkEnd w:id="0"/>
    </w:p>
    <w:p w14:paraId="7F19945C" w14:textId="77777777" w:rsidR="000D30C6" w:rsidRDefault="000D30C6" w:rsidP="004C7719">
      <w:pPr>
        <w:pStyle w:val="Titre2"/>
        <w:ind w:left="0" w:firstLine="0"/>
      </w:pPr>
      <w:bookmarkStart w:id="1" w:name="_Toc78528803"/>
    </w:p>
    <w:p w14:paraId="135D7799" w14:textId="77777777" w:rsidR="00A805F6" w:rsidRPr="00325D53" w:rsidRDefault="00A805F6" w:rsidP="004C7719">
      <w:pPr>
        <w:pStyle w:val="Titre2"/>
        <w:numPr>
          <w:ilvl w:val="1"/>
          <w:numId w:val="4"/>
        </w:numPr>
        <w:tabs>
          <w:tab w:val="clear" w:pos="851"/>
        </w:tabs>
        <w:ind w:left="426"/>
      </w:pPr>
      <w:r w:rsidRPr="00325D53">
        <w:t>Contexte juridique et r</w:t>
      </w:r>
      <w:r>
        <w:t>è</w:t>
      </w:r>
      <w:r w:rsidRPr="00325D53">
        <w:t>glementaire</w:t>
      </w:r>
      <w:bookmarkEnd w:id="1"/>
    </w:p>
    <w:p w14:paraId="03C1EAE6" w14:textId="3075FE3B" w:rsidR="00FB1725" w:rsidRPr="00C75AE7" w:rsidRDefault="00502599" w:rsidP="004C7719">
      <w:pPr>
        <w:spacing w:before="200" w:after="0" w:line="264" w:lineRule="auto"/>
        <w:jc w:val="both"/>
        <w:rPr>
          <w:rFonts w:cs="Calibri"/>
          <w:sz w:val="24"/>
          <w:szCs w:val="24"/>
          <w:lang w:eastAsia="fr-CA"/>
        </w:rPr>
      </w:pPr>
      <w:r>
        <w:rPr>
          <w:rFonts w:cs="Calibri"/>
          <w:sz w:val="24"/>
          <w:szCs w:val="24"/>
          <w:lang w:eastAsia="fr-CA"/>
        </w:rPr>
        <w:t>Par sa décision D-2</w:t>
      </w:r>
      <w:r w:rsidR="00CC19A0">
        <w:rPr>
          <w:rFonts w:cs="Calibri"/>
          <w:sz w:val="24"/>
          <w:szCs w:val="24"/>
          <w:lang w:eastAsia="fr-CA"/>
        </w:rPr>
        <w:t>023-005</w:t>
      </w:r>
      <w:r>
        <w:rPr>
          <w:rStyle w:val="Appelnotedebasdep"/>
          <w:rFonts w:cs="Calibri"/>
          <w:sz w:val="24"/>
          <w:szCs w:val="24"/>
          <w:lang w:eastAsia="fr-CA"/>
        </w:rPr>
        <w:footnoteReference w:id="1"/>
      </w:r>
      <w:r>
        <w:rPr>
          <w:rFonts w:cs="Calibri"/>
          <w:sz w:val="24"/>
          <w:szCs w:val="24"/>
          <w:lang w:eastAsia="fr-CA"/>
        </w:rPr>
        <w:t xml:space="preserve">, </w:t>
      </w:r>
      <w:r w:rsidR="00FB1725">
        <w:rPr>
          <w:rFonts w:cs="Calibri"/>
          <w:sz w:val="24"/>
          <w:szCs w:val="24"/>
          <w:lang w:eastAsia="fr-CA"/>
        </w:rPr>
        <w:t xml:space="preserve">la Régie </w:t>
      </w:r>
      <w:r w:rsidR="006B3144">
        <w:rPr>
          <w:rFonts w:cs="Calibri"/>
          <w:sz w:val="24"/>
          <w:szCs w:val="24"/>
          <w:lang w:eastAsia="fr-CA"/>
        </w:rPr>
        <w:t>accueill</w:t>
      </w:r>
      <w:r>
        <w:rPr>
          <w:rFonts w:cs="Calibri"/>
          <w:sz w:val="24"/>
          <w:szCs w:val="24"/>
          <w:lang w:eastAsia="fr-CA"/>
        </w:rPr>
        <w:t>e</w:t>
      </w:r>
      <w:r w:rsidR="006B3144">
        <w:rPr>
          <w:rFonts w:cs="Calibri"/>
          <w:sz w:val="24"/>
          <w:szCs w:val="24"/>
          <w:lang w:eastAsia="fr-CA"/>
        </w:rPr>
        <w:t xml:space="preserve"> la proposition d’Intragaz de soumettre</w:t>
      </w:r>
      <w:r w:rsidR="00F97643">
        <w:rPr>
          <w:rFonts w:cs="Calibri"/>
          <w:sz w:val="24"/>
          <w:szCs w:val="24"/>
          <w:lang w:eastAsia="fr-CA"/>
        </w:rPr>
        <w:t xml:space="preserve"> </w:t>
      </w:r>
      <w:r w:rsidR="00FB1725">
        <w:rPr>
          <w:rFonts w:cs="Calibri"/>
          <w:sz w:val="24"/>
          <w:szCs w:val="24"/>
          <w:lang w:eastAsia="fr-CA"/>
        </w:rPr>
        <w:t xml:space="preserve">une demande </w:t>
      </w:r>
      <w:r w:rsidR="00FB1725" w:rsidRPr="00FB1725">
        <w:rPr>
          <w:rFonts w:cs="Calibri"/>
          <w:sz w:val="24"/>
          <w:szCs w:val="24"/>
          <w:lang w:eastAsia="fr-CA"/>
        </w:rPr>
        <w:t>d’autorisation préalable pour</w:t>
      </w:r>
      <w:r w:rsidR="00FB1725">
        <w:rPr>
          <w:rFonts w:cs="Calibri"/>
          <w:sz w:val="24"/>
          <w:szCs w:val="24"/>
          <w:lang w:eastAsia="fr-CA"/>
        </w:rPr>
        <w:t xml:space="preserve"> </w:t>
      </w:r>
      <w:r w:rsidR="00FB1725" w:rsidRPr="00FB1725">
        <w:rPr>
          <w:rFonts w:cs="Calibri"/>
          <w:sz w:val="24"/>
          <w:szCs w:val="24"/>
          <w:lang w:eastAsia="fr-CA"/>
        </w:rPr>
        <w:t>tout projet d’</w:t>
      </w:r>
      <w:r w:rsidR="00FB1725">
        <w:rPr>
          <w:rFonts w:cs="Calibri"/>
          <w:sz w:val="24"/>
          <w:szCs w:val="24"/>
          <w:lang w:eastAsia="fr-CA"/>
        </w:rPr>
        <w:t xml:space="preserve">investissement excédant </w:t>
      </w:r>
      <w:r w:rsidR="00CC19A0">
        <w:rPr>
          <w:rFonts w:cs="Calibri"/>
          <w:sz w:val="24"/>
          <w:szCs w:val="24"/>
          <w:lang w:eastAsia="fr-CA"/>
        </w:rPr>
        <w:t>3</w:t>
      </w:r>
      <w:r w:rsidR="00281754">
        <w:rPr>
          <w:rFonts w:cs="Calibri"/>
          <w:sz w:val="24"/>
          <w:szCs w:val="24"/>
          <w:lang w:eastAsia="fr-CA"/>
        </w:rPr>
        <w:t>M</w:t>
      </w:r>
      <w:r w:rsidR="00FB1725">
        <w:rPr>
          <w:rFonts w:cs="Calibri"/>
          <w:sz w:val="24"/>
          <w:szCs w:val="24"/>
          <w:lang w:eastAsia="fr-CA"/>
        </w:rPr>
        <w:t xml:space="preserve">$, </w:t>
      </w:r>
      <w:r w:rsidR="00FB1725" w:rsidRPr="00FB1725">
        <w:rPr>
          <w:rFonts w:cs="Calibri"/>
          <w:sz w:val="24"/>
          <w:szCs w:val="24"/>
          <w:lang w:eastAsia="fr-CA"/>
        </w:rPr>
        <w:t>sauf pour les situations nécessitan</w:t>
      </w:r>
      <w:r w:rsidR="006E3CAD">
        <w:rPr>
          <w:rFonts w:cs="Calibri"/>
          <w:sz w:val="24"/>
          <w:szCs w:val="24"/>
          <w:lang w:eastAsia="fr-CA"/>
        </w:rPr>
        <w:t>t des interventions d’urgence</w:t>
      </w:r>
      <w:r w:rsidR="00FB1725" w:rsidRPr="00FB1725">
        <w:rPr>
          <w:rFonts w:cs="Calibri"/>
          <w:sz w:val="24"/>
          <w:szCs w:val="24"/>
          <w:lang w:eastAsia="fr-CA"/>
        </w:rPr>
        <w:t xml:space="preserve">. </w:t>
      </w:r>
      <w:r w:rsidR="006E3CAD">
        <w:rPr>
          <w:rFonts w:cs="Calibri"/>
          <w:sz w:val="24"/>
          <w:szCs w:val="24"/>
          <w:lang w:eastAsia="fr-CA"/>
        </w:rPr>
        <w:t xml:space="preserve">De plus, la Régie </w:t>
      </w:r>
      <w:r w:rsidR="006B3144">
        <w:rPr>
          <w:rFonts w:cs="Calibri"/>
          <w:sz w:val="24"/>
          <w:szCs w:val="24"/>
          <w:lang w:eastAsia="fr-CA"/>
        </w:rPr>
        <w:t>précis</w:t>
      </w:r>
      <w:r>
        <w:rPr>
          <w:rFonts w:cs="Calibri"/>
          <w:sz w:val="24"/>
          <w:szCs w:val="24"/>
          <w:lang w:eastAsia="fr-CA"/>
        </w:rPr>
        <w:t>e</w:t>
      </w:r>
      <w:r w:rsidR="006B3144">
        <w:rPr>
          <w:rFonts w:cs="Calibri"/>
          <w:sz w:val="24"/>
          <w:szCs w:val="24"/>
          <w:lang w:eastAsia="fr-CA"/>
        </w:rPr>
        <w:t xml:space="preserve"> </w:t>
      </w:r>
      <w:r w:rsidR="006E3CAD">
        <w:rPr>
          <w:rFonts w:cs="Calibri"/>
          <w:sz w:val="24"/>
          <w:szCs w:val="24"/>
          <w:lang w:eastAsia="fr-CA"/>
        </w:rPr>
        <w:t>que t</w:t>
      </w:r>
      <w:r w:rsidR="00FB1725" w:rsidRPr="00FB1725">
        <w:rPr>
          <w:rFonts w:cs="Calibri"/>
          <w:sz w:val="24"/>
          <w:szCs w:val="24"/>
          <w:lang w:eastAsia="fr-CA"/>
        </w:rPr>
        <w:t xml:space="preserve">oute demande d’autorisation </w:t>
      </w:r>
      <w:r w:rsidR="006E3CAD">
        <w:rPr>
          <w:rFonts w:cs="Calibri"/>
          <w:sz w:val="24"/>
          <w:szCs w:val="24"/>
          <w:lang w:eastAsia="fr-CA"/>
        </w:rPr>
        <w:t xml:space="preserve">déposée devant la Régie </w:t>
      </w:r>
      <w:r>
        <w:rPr>
          <w:rFonts w:cs="Calibri"/>
          <w:sz w:val="24"/>
          <w:szCs w:val="24"/>
          <w:lang w:eastAsia="fr-CA"/>
        </w:rPr>
        <w:t xml:space="preserve">doit </w:t>
      </w:r>
      <w:r w:rsidR="00FB1725" w:rsidRPr="00FB1725">
        <w:rPr>
          <w:rFonts w:cs="Calibri"/>
          <w:sz w:val="24"/>
          <w:szCs w:val="24"/>
          <w:lang w:eastAsia="fr-CA"/>
        </w:rPr>
        <w:t xml:space="preserve">être accompagnée des renseignements prévus à l’article 2 du </w:t>
      </w:r>
      <w:hyperlink r:id="rId10" w:history="1">
        <w:hyperlink r:id="rId11" w:history="1">
          <w:r w:rsidR="006E3CAD" w:rsidRPr="0079651C">
            <w:rPr>
              <w:rStyle w:val="Lienhypertexte"/>
              <w:bCs/>
              <w:i/>
              <w:sz w:val="24"/>
              <w:szCs w:val="24"/>
              <w:lang w:val="fr-FR"/>
            </w:rPr>
            <w:t>Règlement sur les conditions et les cas requérant une autorisation de la Régie de l’énergie</w:t>
          </w:r>
        </w:hyperlink>
      </w:hyperlink>
      <w:r w:rsidR="006E3CAD" w:rsidRPr="00BF4E69">
        <w:rPr>
          <w:rStyle w:val="Appelnotedebasdep"/>
          <w:rFonts w:cs="Calibri"/>
          <w:bCs/>
          <w:sz w:val="24"/>
          <w:szCs w:val="24"/>
          <w:lang w:val="fr-FR"/>
        </w:rPr>
        <w:footnoteReference w:id="2"/>
      </w:r>
      <w:r w:rsidR="00C75AE7" w:rsidRPr="00C75AE7">
        <w:rPr>
          <w:rFonts w:cs="Calibri"/>
          <w:sz w:val="24"/>
          <w:szCs w:val="24"/>
          <w:lang w:eastAsia="fr-CA"/>
        </w:rPr>
        <w:t>(</w:t>
      </w:r>
      <w:r w:rsidR="00C75AE7" w:rsidRPr="001A6380">
        <w:rPr>
          <w:rFonts w:cs="Calibri"/>
          <w:iCs/>
          <w:sz w:val="24"/>
          <w:szCs w:val="24"/>
          <w:lang w:eastAsia="fr-CA"/>
        </w:rPr>
        <w:t>Règlement sur les conditions</w:t>
      </w:r>
      <w:r w:rsidR="00C75AE7" w:rsidRPr="00C75AE7">
        <w:rPr>
          <w:rFonts w:cs="Calibri"/>
          <w:sz w:val="24"/>
          <w:szCs w:val="24"/>
          <w:lang w:eastAsia="fr-CA"/>
        </w:rPr>
        <w:t>)</w:t>
      </w:r>
      <w:r w:rsidR="006E3CAD" w:rsidRPr="00C75AE7">
        <w:rPr>
          <w:rFonts w:cs="Calibri"/>
          <w:sz w:val="24"/>
          <w:szCs w:val="24"/>
          <w:lang w:eastAsia="fr-CA"/>
        </w:rPr>
        <w:t>.</w:t>
      </w:r>
    </w:p>
    <w:p w14:paraId="415D2384" w14:textId="78008DEB" w:rsidR="00D625DB" w:rsidRDefault="00502599" w:rsidP="004C7719">
      <w:pPr>
        <w:spacing w:before="200" w:after="0" w:line="264" w:lineRule="auto"/>
        <w:jc w:val="both"/>
        <w:rPr>
          <w:rFonts w:cs="Calibri"/>
          <w:sz w:val="24"/>
          <w:szCs w:val="24"/>
        </w:rPr>
      </w:pPr>
      <w:r>
        <w:rPr>
          <w:rFonts w:cs="Calibri"/>
          <w:sz w:val="24"/>
          <w:szCs w:val="24"/>
        </w:rPr>
        <w:t>Par s</w:t>
      </w:r>
      <w:r w:rsidR="00454523">
        <w:rPr>
          <w:rFonts w:cs="Calibri"/>
          <w:sz w:val="24"/>
          <w:szCs w:val="24"/>
        </w:rPr>
        <w:t>es</w:t>
      </w:r>
      <w:r>
        <w:rPr>
          <w:rFonts w:cs="Calibri"/>
          <w:sz w:val="24"/>
          <w:szCs w:val="24"/>
        </w:rPr>
        <w:t xml:space="preserve"> décision</w:t>
      </w:r>
      <w:r w:rsidR="00454523">
        <w:rPr>
          <w:rFonts w:cs="Calibri"/>
          <w:sz w:val="24"/>
          <w:szCs w:val="24"/>
        </w:rPr>
        <w:t>s</w:t>
      </w:r>
      <w:r>
        <w:rPr>
          <w:rFonts w:cs="Calibri"/>
          <w:sz w:val="24"/>
          <w:szCs w:val="24"/>
        </w:rPr>
        <w:t xml:space="preserve"> D-2018-155</w:t>
      </w:r>
      <w:r>
        <w:rPr>
          <w:rStyle w:val="Appelnotedebasdep"/>
          <w:rFonts w:cs="Calibri"/>
          <w:sz w:val="24"/>
          <w:szCs w:val="24"/>
        </w:rPr>
        <w:footnoteReference w:id="3"/>
      </w:r>
      <w:r w:rsidR="00454523">
        <w:rPr>
          <w:rFonts w:cs="Calibri"/>
          <w:sz w:val="24"/>
          <w:szCs w:val="24"/>
        </w:rPr>
        <w:t xml:space="preserve"> et D-2021-080</w:t>
      </w:r>
      <w:r w:rsidR="005E25A3">
        <w:rPr>
          <w:rStyle w:val="Appelnotedebasdep"/>
          <w:rFonts w:cs="Calibri"/>
          <w:sz w:val="24"/>
          <w:szCs w:val="24"/>
        </w:rPr>
        <w:footnoteReference w:id="4"/>
      </w:r>
      <w:r w:rsidR="006E3CAD">
        <w:rPr>
          <w:rFonts w:cs="Calibri"/>
          <w:sz w:val="24"/>
          <w:szCs w:val="24"/>
        </w:rPr>
        <w:t xml:space="preserve">, la </w:t>
      </w:r>
      <w:r w:rsidR="006E3CAD" w:rsidRPr="004E49D0">
        <w:rPr>
          <w:rFonts w:cs="Calibri"/>
          <w:sz w:val="24"/>
          <w:szCs w:val="24"/>
        </w:rPr>
        <w:t xml:space="preserve">Régie </w:t>
      </w:r>
      <w:r w:rsidRPr="004E49D0">
        <w:rPr>
          <w:rFonts w:cs="Calibri"/>
          <w:sz w:val="24"/>
          <w:szCs w:val="24"/>
        </w:rPr>
        <w:t>statu</w:t>
      </w:r>
      <w:r>
        <w:rPr>
          <w:rFonts w:cs="Calibri"/>
          <w:sz w:val="24"/>
          <w:szCs w:val="24"/>
        </w:rPr>
        <w:t>e</w:t>
      </w:r>
      <w:r w:rsidRPr="004E49D0">
        <w:rPr>
          <w:rFonts w:cs="Calibri"/>
          <w:sz w:val="24"/>
          <w:szCs w:val="24"/>
        </w:rPr>
        <w:t xml:space="preserve"> </w:t>
      </w:r>
      <w:r w:rsidR="00D625DB">
        <w:rPr>
          <w:rFonts w:cs="Calibri"/>
          <w:sz w:val="24"/>
          <w:szCs w:val="24"/>
        </w:rPr>
        <w:t>sur le</w:t>
      </w:r>
      <w:r w:rsidR="006E3CAD" w:rsidRPr="004E49D0">
        <w:rPr>
          <w:rFonts w:cs="Calibri"/>
          <w:sz w:val="24"/>
          <w:szCs w:val="24"/>
        </w:rPr>
        <w:t xml:space="preserve"> cadre juridique applicable </w:t>
      </w:r>
      <w:r w:rsidR="00D625DB">
        <w:rPr>
          <w:rFonts w:cs="Calibri"/>
          <w:sz w:val="24"/>
          <w:szCs w:val="24"/>
        </w:rPr>
        <w:t>à</w:t>
      </w:r>
      <w:r w:rsidR="006E3CAD" w:rsidRPr="004E49D0">
        <w:rPr>
          <w:rFonts w:cs="Calibri"/>
          <w:sz w:val="24"/>
          <w:szCs w:val="24"/>
        </w:rPr>
        <w:t xml:space="preserve"> </w:t>
      </w:r>
      <w:r w:rsidR="007C312F" w:rsidRPr="004E49D0">
        <w:rPr>
          <w:rFonts w:cs="Calibri"/>
          <w:sz w:val="24"/>
          <w:szCs w:val="24"/>
        </w:rPr>
        <w:t xml:space="preserve">un projet d’investissement </w:t>
      </w:r>
      <w:r w:rsidR="00884B18">
        <w:rPr>
          <w:rFonts w:cs="Calibri"/>
          <w:sz w:val="24"/>
          <w:szCs w:val="24"/>
        </w:rPr>
        <w:t xml:space="preserve">faisant </w:t>
      </w:r>
      <w:r w:rsidR="009C285F">
        <w:rPr>
          <w:rFonts w:cs="Calibri"/>
          <w:sz w:val="24"/>
          <w:szCs w:val="24"/>
        </w:rPr>
        <w:t>l’objet d’</w:t>
      </w:r>
      <w:r w:rsidR="00884B18" w:rsidRPr="00884B18">
        <w:rPr>
          <w:rFonts w:cs="Calibri"/>
          <w:sz w:val="24"/>
          <w:szCs w:val="24"/>
        </w:rPr>
        <w:t>une demande d’autorisation préalable</w:t>
      </w:r>
      <w:r w:rsidR="007C312F" w:rsidRPr="004E49D0">
        <w:rPr>
          <w:rFonts w:cs="Calibri"/>
          <w:sz w:val="24"/>
          <w:szCs w:val="24"/>
        </w:rPr>
        <w:t xml:space="preserve">. </w:t>
      </w:r>
      <w:r w:rsidR="00200997">
        <w:rPr>
          <w:rFonts w:cs="Calibri"/>
          <w:sz w:val="24"/>
          <w:szCs w:val="24"/>
        </w:rPr>
        <w:t xml:space="preserve"> </w:t>
      </w:r>
    </w:p>
    <w:p w14:paraId="2D284E01" w14:textId="05641D90" w:rsidR="00A805F6" w:rsidRDefault="00A805F6" w:rsidP="004C7719">
      <w:pPr>
        <w:spacing w:before="200" w:after="0" w:line="264" w:lineRule="auto"/>
        <w:jc w:val="both"/>
        <w:rPr>
          <w:rFonts w:cs="Calibri"/>
          <w:sz w:val="24"/>
          <w:szCs w:val="24"/>
        </w:rPr>
      </w:pPr>
      <w:r w:rsidRPr="00304740">
        <w:rPr>
          <w:rFonts w:cs="Calibri"/>
          <w:sz w:val="24"/>
          <w:szCs w:val="24"/>
        </w:rPr>
        <w:t xml:space="preserve">Une autorisation est également requise pour les projets dont le coût est inférieur </w:t>
      </w:r>
      <w:r w:rsidR="001A6380">
        <w:rPr>
          <w:rFonts w:cs="Calibri"/>
          <w:sz w:val="24"/>
          <w:szCs w:val="24"/>
        </w:rPr>
        <w:t>au</w:t>
      </w:r>
      <w:r>
        <w:rPr>
          <w:rFonts w:cs="Calibri"/>
          <w:sz w:val="24"/>
          <w:szCs w:val="24"/>
        </w:rPr>
        <w:t xml:space="preserve"> seuil</w:t>
      </w:r>
      <w:r w:rsidRPr="00304740">
        <w:rPr>
          <w:rFonts w:cs="Calibri"/>
          <w:sz w:val="24"/>
          <w:szCs w:val="24"/>
        </w:rPr>
        <w:t xml:space="preserve"> et qui n’ont pas encore été reconnus prudemment acquis et utiles pour </w:t>
      </w:r>
      <w:r w:rsidR="005767EF">
        <w:rPr>
          <w:rFonts w:cs="Calibri"/>
          <w:sz w:val="24"/>
          <w:szCs w:val="24"/>
        </w:rPr>
        <w:t xml:space="preserve">la </w:t>
      </w:r>
      <w:r w:rsidR="005767EF" w:rsidRPr="005767EF">
        <w:rPr>
          <w:rFonts w:cs="Calibri"/>
          <w:sz w:val="24"/>
          <w:szCs w:val="24"/>
        </w:rPr>
        <w:t>prestation du service d’emmagasinage</w:t>
      </w:r>
      <w:r w:rsidR="005767EF" w:rsidRPr="00304740">
        <w:rPr>
          <w:rFonts w:cs="Calibri"/>
          <w:sz w:val="24"/>
          <w:szCs w:val="24"/>
        </w:rPr>
        <w:t xml:space="preserve"> </w:t>
      </w:r>
      <w:r>
        <w:rPr>
          <w:rFonts w:cs="Calibri"/>
          <w:sz w:val="24"/>
          <w:szCs w:val="24"/>
        </w:rPr>
        <w:t xml:space="preserve">de </w:t>
      </w:r>
      <w:r w:rsidRPr="00304740">
        <w:rPr>
          <w:rFonts w:cs="Calibri"/>
          <w:sz w:val="24"/>
          <w:szCs w:val="24"/>
        </w:rPr>
        <w:t>gaz naturel en vertu de l’article 49 de la Loi</w:t>
      </w:r>
      <w:r>
        <w:rPr>
          <w:rFonts w:cs="Calibri"/>
          <w:sz w:val="24"/>
          <w:szCs w:val="24"/>
        </w:rPr>
        <w:t>.</w:t>
      </w:r>
      <w:r w:rsidR="00547DEE">
        <w:rPr>
          <w:rFonts w:cs="Calibri"/>
          <w:sz w:val="24"/>
          <w:szCs w:val="24"/>
        </w:rPr>
        <w:t xml:space="preserve"> Cette autorisation est cependant examinée lors de l’établissement de la base de tarification dans le cadre du dossier tarifaire d’Intragaz.</w:t>
      </w:r>
    </w:p>
    <w:p w14:paraId="7E45480A" w14:textId="77777777" w:rsidR="00AC41A8" w:rsidRDefault="00AC41A8" w:rsidP="004C7719">
      <w:pPr>
        <w:spacing w:before="200" w:after="0" w:line="264" w:lineRule="auto"/>
        <w:jc w:val="both"/>
        <w:rPr>
          <w:rFonts w:cs="Calibri"/>
          <w:sz w:val="24"/>
          <w:szCs w:val="24"/>
        </w:rPr>
      </w:pPr>
    </w:p>
    <w:p w14:paraId="42E99301" w14:textId="77777777" w:rsidR="00AC41A8" w:rsidRPr="00325D53" w:rsidRDefault="00AC41A8" w:rsidP="00AC41A8">
      <w:pPr>
        <w:pStyle w:val="Titre2"/>
        <w:numPr>
          <w:ilvl w:val="1"/>
          <w:numId w:val="4"/>
        </w:numPr>
        <w:tabs>
          <w:tab w:val="clear" w:pos="851"/>
        </w:tabs>
        <w:ind w:left="426"/>
      </w:pPr>
      <w:r>
        <w:t>Dépôt de la demand</w:t>
      </w:r>
      <w:r w:rsidRPr="00325D53">
        <w:t>e</w:t>
      </w:r>
    </w:p>
    <w:p w14:paraId="15B97272" w14:textId="1D67F480" w:rsidR="00AC41A8" w:rsidRPr="00754D21" w:rsidRDefault="00AC41A8" w:rsidP="001D4822">
      <w:pPr>
        <w:spacing w:before="200" w:after="0" w:line="264" w:lineRule="auto"/>
        <w:jc w:val="both"/>
        <w:rPr>
          <w:rFonts w:cs="Calibri"/>
          <w:sz w:val="24"/>
          <w:szCs w:val="24"/>
        </w:rPr>
      </w:pPr>
      <w:r w:rsidRPr="00754D21">
        <w:rPr>
          <w:rFonts w:cs="Calibri"/>
          <w:sz w:val="24"/>
          <w:szCs w:val="24"/>
        </w:rPr>
        <w:t xml:space="preserve">Conformément à l’article 10 du </w:t>
      </w:r>
      <w:hyperlink r:id="rId12" w:history="1">
        <w:r w:rsidRPr="001D4822">
          <w:rPr>
            <w:rStyle w:val="Lienhypertexte"/>
            <w:rFonts w:cs="Calibri"/>
            <w:i/>
            <w:sz w:val="24"/>
            <w:szCs w:val="24"/>
          </w:rPr>
          <w:t>Règlement</w:t>
        </w:r>
        <w:r w:rsidR="00946D4B" w:rsidRPr="001D4822">
          <w:rPr>
            <w:rStyle w:val="Lienhypertexte"/>
            <w:i/>
          </w:rPr>
          <w:t xml:space="preserve"> </w:t>
        </w:r>
        <w:r w:rsidR="00946D4B" w:rsidRPr="001D4822">
          <w:rPr>
            <w:rStyle w:val="Lienhypertexte"/>
            <w:rFonts w:cs="Calibri"/>
            <w:i/>
            <w:sz w:val="24"/>
            <w:szCs w:val="24"/>
          </w:rPr>
          <w:t>sur la procédure de la Régie de l’énergie</w:t>
        </w:r>
      </w:hyperlink>
      <w:r w:rsidR="00C165AF">
        <w:rPr>
          <w:rStyle w:val="Appelnotedebasdep"/>
          <w:rFonts w:cs="Calibri"/>
          <w:sz w:val="24"/>
          <w:szCs w:val="24"/>
        </w:rPr>
        <w:footnoteReference w:id="5"/>
      </w:r>
      <w:r w:rsidR="001A6380">
        <w:rPr>
          <w:rFonts w:cs="Calibri"/>
          <w:i/>
          <w:sz w:val="24"/>
          <w:szCs w:val="24"/>
        </w:rPr>
        <w:t xml:space="preserve"> </w:t>
      </w:r>
      <w:r w:rsidR="001A6380" w:rsidRPr="00C75AE7">
        <w:rPr>
          <w:rFonts w:cs="Calibri"/>
          <w:sz w:val="24"/>
          <w:szCs w:val="24"/>
          <w:lang w:eastAsia="fr-CA"/>
        </w:rPr>
        <w:t>(</w:t>
      </w:r>
      <w:r w:rsidR="001A6380" w:rsidRPr="001A6380">
        <w:rPr>
          <w:rFonts w:cs="Calibri"/>
          <w:iCs/>
          <w:sz w:val="24"/>
          <w:szCs w:val="24"/>
          <w:lang w:eastAsia="fr-CA"/>
        </w:rPr>
        <w:t xml:space="preserve">Règlement sur </w:t>
      </w:r>
      <w:r w:rsidR="001A6380">
        <w:rPr>
          <w:rFonts w:cs="Calibri"/>
          <w:iCs/>
          <w:sz w:val="24"/>
          <w:szCs w:val="24"/>
          <w:lang w:eastAsia="fr-CA"/>
        </w:rPr>
        <w:t>la procédure</w:t>
      </w:r>
      <w:r w:rsidR="001A6380" w:rsidRPr="00C75AE7">
        <w:rPr>
          <w:rFonts w:cs="Calibri"/>
          <w:sz w:val="24"/>
          <w:szCs w:val="24"/>
          <w:lang w:eastAsia="fr-CA"/>
        </w:rPr>
        <w:t>)</w:t>
      </w:r>
      <w:r w:rsidRPr="00754D21">
        <w:rPr>
          <w:rFonts w:cs="Calibri"/>
          <w:sz w:val="24"/>
          <w:szCs w:val="24"/>
        </w:rPr>
        <w:t>, toute demande doit être formulée par écrit. Cette demande doit contenir les informations suivantes et respecter les indications ci-après :</w:t>
      </w:r>
    </w:p>
    <w:p w14:paraId="0668342B" w14:textId="77777777" w:rsidR="00AC41A8" w:rsidRPr="00754D21" w:rsidRDefault="00AC41A8" w:rsidP="00AB77A4">
      <w:pPr>
        <w:pStyle w:val="Paragraphedeliste"/>
        <w:numPr>
          <w:ilvl w:val="0"/>
          <w:numId w:val="13"/>
        </w:numPr>
        <w:autoSpaceDE w:val="0"/>
        <w:autoSpaceDN w:val="0"/>
        <w:adjustRightInd w:val="0"/>
        <w:spacing w:before="200" w:after="0" w:line="264" w:lineRule="auto"/>
        <w:ind w:left="426" w:hanging="426"/>
        <w:contextualSpacing w:val="0"/>
        <w:rPr>
          <w:rFonts w:cs="Calibri"/>
          <w:sz w:val="24"/>
          <w:szCs w:val="24"/>
        </w:rPr>
      </w:pPr>
      <w:r w:rsidRPr="00754D21">
        <w:rPr>
          <w:rFonts w:cs="Calibri"/>
          <w:sz w:val="24"/>
          <w:szCs w:val="24"/>
        </w:rPr>
        <w:t xml:space="preserve">Le nom, l’adresse, le numéro de téléphone et l’adresse électronique </w:t>
      </w:r>
      <w:r>
        <w:rPr>
          <w:rFonts w:cs="Calibri"/>
          <w:sz w:val="24"/>
          <w:szCs w:val="24"/>
        </w:rPr>
        <w:t>d’Intragaz</w:t>
      </w:r>
      <w:r w:rsidRPr="00754D21">
        <w:rPr>
          <w:rFonts w:cs="Calibri"/>
          <w:sz w:val="24"/>
          <w:szCs w:val="24"/>
        </w:rPr>
        <w:t xml:space="preserve"> et, s’il y a lieu, les coordonnées de son représentant;</w:t>
      </w:r>
    </w:p>
    <w:p w14:paraId="66A6044D" w14:textId="77777777" w:rsidR="00AC41A8" w:rsidRPr="00754D21" w:rsidRDefault="00AC41A8" w:rsidP="00454523">
      <w:pPr>
        <w:pStyle w:val="Paragraphedeliste"/>
        <w:numPr>
          <w:ilvl w:val="0"/>
          <w:numId w:val="13"/>
        </w:numPr>
        <w:autoSpaceDE w:val="0"/>
        <w:autoSpaceDN w:val="0"/>
        <w:adjustRightInd w:val="0"/>
        <w:spacing w:before="200" w:after="0" w:line="264" w:lineRule="auto"/>
        <w:ind w:left="425" w:hanging="425"/>
        <w:rPr>
          <w:rFonts w:cs="Calibri"/>
          <w:sz w:val="24"/>
          <w:szCs w:val="24"/>
        </w:rPr>
      </w:pPr>
      <w:r w:rsidRPr="00754D21">
        <w:rPr>
          <w:rFonts w:cs="Calibri"/>
          <w:sz w:val="24"/>
          <w:szCs w:val="24"/>
        </w:rPr>
        <w:t>Un exposé clair et succinct des faits, de l’objet et des motifs de la demande ainsi que des conclusions recherchées;</w:t>
      </w:r>
    </w:p>
    <w:p w14:paraId="09FFDE09" w14:textId="77777777" w:rsidR="00AC41A8" w:rsidRPr="00754D21" w:rsidRDefault="00AC41A8" w:rsidP="00454523">
      <w:pPr>
        <w:pStyle w:val="Paragraphedeliste"/>
        <w:numPr>
          <w:ilvl w:val="0"/>
          <w:numId w:val="13"/>
        </w:numPr>
        <w:autoSpaceDE w:val="0"/>
        <w:autoSpaceDN w:val="0"/>
        <w:adjustRightInd w:val="0"/>
        <w:spacing w:before="200" w:after="0" w:line="264" w:lineRule="auto"/>
        <w:ind w:left="425" w:hanging="425"/>
        <w:rPr>
          <w:rFonts w:cs="Calibri"/>
          <w:sz w:val="24"/>
          <w:szCs w:val="24"/>
        </w:rPr>
      </w:pPr>
      <w:r w:rsidRPr="00754D21">
        <w:rPr>
          <w:rFonts w:cs="Calibri"/>
          <w:sz w:val="24"/>
          <w:szCs w:val="24"/>
        </w:rPr>
        <w:t>Être signée par le représentant d’</w:t>
      </w:r>
      <w:r>
        <w:rPr>
          <w:rFonts w:cs="Calibri"/>
          <w:sz w:val="24"/>
          <w:szCs w:val="24"/>
        </w:rPr>
        <w:t>Intragaz</w:t>
      </w:r>
      <w:r w:rsidRPr="00754D21">
        <w:rPr>
          <w:rFonts w:cs="Calibri"/>
          <w:sz w:val="24"/>
          <w:szCs w:val="24"/>
        </w:rPr>
        <w:t>;</w:t>
      </w:r>
    </w:p>
    <w:p w14:paraId="37F5AD80" w14:textId="77777777" w:rsidR="00AC41A8" w:rsidRDefault="00AC41A8" w:rsidP="00454523">
      <w:pPr>
        <w:pStyle w:val="Paragraphedeliste"/>
        <w:numPr>
          <w:ilvl w:val="0"/>
          <w:numId w:val="13"/>
        </w:numPr>
        <w:autoSpaceDE w:val="0"/>
        <w:autoSpaceDN w:val="0"/>
        <w:adjustRightInd w:val="0"/>
        <w:spacing w:before="200" w:after="0" w:line="264" w:lineRule="auto"/>
        <w:ind w:left="425" w:hanging="425"/>
        <w:rPr>
          <w:rFonts w:cs="Calibri"/>
          <w:sz w:val="24"/>
          <w:szCs w:val="24"/>
        </w:rPr>
      </w:pPr>
      <w:r w:rsidRPr="00754D21">
        <w:rPr>
          <w:rFonts w:cs="Calibri"/>
          <w:sz w:val="24"/>
          <w:szCs w:val="24"/>
        </w:rPr>
        <w:t>Inclure tous les documents au soutien de la demande et en fournir la liste;</w:t>
      </w:r>
    </w:p>
    <w:p w14:paraId="670DE41C" w14:textId="0AA25556" w:rsidR="00AC41A8" w:rsidRPr="00754D21" w:rsidRDefault="00AC41A8" w:rsidP="00454523">
      <w:pPr>
        <w:pStyle w:val="Paragraphedeliste"/>
        <w:numPr>
          <w:ilvl w:val="0"/>
          <w:numId w:val="13"/>
        </w:numPr>
        <w:autoSpaceDE w:val="0"/>
        <w:autoSpaceDN w:val="0"/>
        <w:adjustRightInd w:val="0"/>
        <w:spacing w:before="200" w:after="0" w:line="264" w:lineRule="auto"/>
        <w:ind w:left="425" w:hanging="425"/>
        <w:rPr>
          <w:rFonts w:cs="Calibri"/>
          <w:sz w:val="24"/>
          <w:szCs w:val="24"/>
        </w:rPr>
      </w:pPr>
      <w:r>
        <w:rPr>
          <w:rFonts w:cs="Calibri"/>
          <w:sz w:val="24"/>
          <w:szCs w:val="24"/>
        </w:rPr>
        <w:t>S’assurer que tous les documents déposés so</w:t>
      </w:r>
      <w:r w:rsidR="001A6380">
        <w:rPr>
          <w:rFonts w:cs="Calibri"/>
          <w:sz w:val="24"/>
          <w:szCs w:val="24"/>
        </w:rPr>
        <w:t>ie</w:t>
      </w:r>
      <w:r>
        <w:rPr>
          <w:rFonts w:cs="Calibri"/>
          <w:sz w:val="24"/>
          <w:szCs w:val="24"/>
        </w:rPr>
        <w:t>nt paginés selon une numérotation unique qui correspond aux numéros de page de chacun des d</w:t>
      </w:r>
      <w:r w:rsidR="009A5DDD">
        <w:rPr>
          <w:rFonts w:cs="Calibri"/>
          <w:sz w:val="24"/>
          <w:szCs w:val="24"/>
        </w:rPr>
        <w:t>o</w:t>
      </w:r>
      <w:r>
        <w:rPr>
          <w:rFonts w:cs="Calibri"/>
          <w:sz w:val="24"/>
          <w:szCs w:val="24"/>
        </w:rPr>
        <w:t>cuments PDF;</w:t>
      </w:r>
    </w:p>
    <w:p w14:paraId="1AF4F37F" w14:textId="77777777" w:rsidR="00AC41A8" w:rsidRPr="00D01496" w:rsidRDefault="00AC41A8" w:rsidP="005E25A3">
      <w:pPr>
        <w:pStyle w:val="Paragraphedeliste"/>
        <w:numPr>
          <w:ilvl w:val="0"/>
          <w:numId w:val="13"/>
        </w:numPr>
        <w:autoSpaceDE w:val="0"/>
        <w:autoSpaceDN w:val="0"/>
        <w:adjustRightInd w:val="0"/>
        <w:spacing w:before="200" w:after="0" w:line="264" w:lineRule="auto"/>
        <w:ind w:left="425" w:hanging="425"/>
        <w:rPr>
          <w:rFonts w:cs="Calibri"/>
          <w:sz w:val="24"/>
          <w:szCs w:val="24"/>
        </w:rPr>
      </w:pPr>
      <w:r w:rsidRPr="00754D21">
        <w:rPr>
          <w:rFonts w:cs="Calibri"/>
          <w:sz w:val="24"/>
          <w:szCs w:val="24"/>
        </w:rPr>
        <w:lastRenderedPageBreak/>
        <w:t>Être appuyée d’une ou de plusieurs déclarations sous serment établissant tous les faits nécessaires au soutien de la demande</w:t>
      </w:r>
      <w:r w:rsidRPr="00D01496">
        <w:rPr>
          <w:rFonts w:cs="Calibri"/>
          <w:sz w:val="24"/>
          <w:szCs w:val="24"/>
        </w:rPr>
        <w:t>. Ces déclarations sous serment peuvent être modifiées ou ajoutées selon l’évolution du dossier, au besoin;</w:t>
      </w:r>
    </w:p>
    <w:p w14:paraId="422E0323" w14:textId="09E9418B" w:rsidR="00AC41A8" w:rsidRPr="00754D21" w:rsidRDefault="00AC41A8">
      <w:pPr>
        <w:pStyle w:val="Paragraphedeliste"/>
        <w:numPr>
          <w:ilvl w:val="0"/>
          <w:numId w:val="13"/>
        </w:numPr>
        <w:autoSpaceDE w:val="0"/>
        <w:autoSpaceDN w:val="0"/>
        <w:adjustRightInd w:val="0"/>
        <w:spacing w:before="200" w:after="0" w:line="264" w:lineRule="auto"/>
        <w:ind w:left="425" w:hanging="425"/>
        <w:rPr>
          <w:rFonts w:cs="Calibri"/>
          <w:sz w:val="24"/>
          <w:szCs w:val="24"/>
        </w:rPr>
      </w:pPr>
      <w:r w:rsidRPr="00754D21">
        <w:rPr>
          <w:rFonts w:cs="Calibri"/>
          <w:sz w:val="24"/>
          <w:szCs w:val="24"/>
        </w:rPr>
        <w:t>Être accompagnée des droits afférents applicables</w:t>
      </w:r>
      <w:r w:rsidR="001A6380">
        <w:rPr>
          <w:rFonts w:cs="Calibri"/>
          <w:sz w:val="24"/>
          <w:szCs w:val="24"/>
        </w:rPr>
        <w:t xml:space="preserve"> en vertu du </w:t>
      </w:r>
      <w:hyperlink r:id="rId13" w:history="1">
        <w:r w:rsidR="001A6380" w:rsidRPr="001D4822">
          <w:rPr>
            <w:rStyle w:val="Lienhypertexte"/>
            <w:rFonts w:cs="Calibri"/>
            <w:i/>
            <w:iCs/>
            <w:sz w:val="24"/>
            <w:szCs w:val="24"/>
          </w:rPr>
          <w:t xml:space="preserve">Règlement </w:t>
        </w:r>
        <w:r w:rsidR="001D4822" w:rsidRPr="001D4822">
          <w:rPr>
            <w:rStyle w:val="Lienhypertexte"/>
            <w:rFonts w:cs="Calibri"/>
            <w:i/>
            <w:iCs/>
            <w:sz w:val="24"/>
            <w:szCs w:val="24"/>
          </w:rPr>
          <w:t>sur les frais payables à la Régie de l’énergie</w:t>
        </w:r>
      </w:hyperlink>
      <w:r w:rsidR="001D4822">
        <w:rPr>
          <w:rStyle w:val="Appelnotedebasdep"/>
          <w:rFonts w:cs="Calibri"/>
          <w:i/>
          <w:iCs/>
          <w:sz w:val="24"/>
          <w:szCs w:val="24"/>
        </w:rPr>
        <w:footnoteReference w:id="6"/>
      </w:r>
      <w:r w:rsidR="001D4822">
        <w:rPr>
          <w:rFonts w:cs="Calibri"/>
          <w:sz w:val="24"/>
          <w:szCs w:val="24"/>
        </w:rPr>
        <w:t xml:space="preserve">. </w:t>
      </w:r>
    </w:p>
    <w:p w14:paraId="7A3B31CC" w14:textId="4AF91479" w:rsidR="00AC41A8" w:rsidRPr="00B6464D" w:rsidRDefault="00AC41A8" w:rsidP="001D4822">
      <w:pPr>
        <w:spacing w:before="200" w:after="0" w:line="264" w:lineRule="auto"/>
        <w:jc w:val="both"/>
        <w:rPr>
          <w:rFonts w:cs="Calibri"/>
          <w:sz w:val="24"/>
          <w:szCs w:val="24"/>
        </w:rPr>
      </w:pPr>
      <w:r w:rsidRPr="00B6464D">
        <w:rPr>
          <w:rFonts w:cs="Calibri"/>
          <w:sz w:val="24"/>
          <w:szCs w:val="24"/>
        </w:rPr>
        <w:t xml:space="preserve">Les lettres, demandes et pièces doivent être déposées au Système de dépôt électronique (SDÉ) de la Régie, conformément aux instructions contenues dans le </w:t>
      </w:r>
      <w:hyperlink r:id="rId14" w:tooltip="Guide de l'utilisateut externe" w:history="1">
        <w:r w:rsidRPr="00B6464D">
          <w:rPr>
            <w:rStyle w:val="Lienhypertexte"/>
            <w:sz w:val="24"/>
            <w:szCs w:val="24"/>
          </w:rPr>
          <w:t>Guide de l'utilisateur externe</w:t>
        </w:r>
      </w:hyperlink>
      <w:r w:rsidRPr="00B6464D">
        <w:rPr>
          <w:rFonts w:cs="Calibri"/>
          <w:sz w:val="24"/>
          <w:szCs w:val="24"/>
        </w:rPr>
        <w:t xml:space="preserve">. </w:t>
      </w:r>
    </w:p>
    <w:p w14:paraId="4BF26861" w14:textId="2C847014" w:rsidR="00AC41A8" w:rsidRPr="00754D21" w:rsidRDefault="00AC41A8" w:rsidP="001D4822">
      <w:pPr>
        <w:tabs>
          <w:tab w:val="left" w:pos="2380"/>
        </w:tabs>
        <w:spacing w:before="200" w:after="0" w:line="264" w:lineRule="auto"/>
        <w:jc w:val="both"/>
        <w:rPr>
          <w:rFonts w:cs="Calibri"/>
          <w:sz w:val="24"/>
          <w:szCs w:val="24"/>
        </w:rPr>
      </w:pPr>
      <w:r w:rsidRPr="00B6464D">
        <w:rPr>
          <w:rFonts w:cs="Calibri"/>
          <w:sz w:val="24"/>
          <w:szCs w:val="24"/>
        </w:rPr>
        <w:t xml:space="preserve">Si Intragaz entend requérir le traitement confidentiel d’un document particulier, la version confidentielle du document doit être déposée au SDÉ dans le répertoire R-9999-9999 et la version caviardée déposée selon les prescriptions du </w:t>
      </w:r>
      <w:hyperlink r:id="rId15" w:tooltip="Guide de l'utilisateut externe" w:history="1">
        <w:r w:rsidRPr="00B6464D">
          <w:rPr>
            <w:rStyle w:val="Lienhypertexte"/>
            <w:sz w:val="24"/>
            <w:szCs w:val="24"/>
          </w:rPr>
          <w:t>Guide de l'utilisateur externe</w:t>
        </w:r>
      </w:hyperlink>
      <w:r w:rsidRPr="00B6464D">
        <w:rPr>
          <w:rFonts w:cs="Calibri"/>
          <w:sz w:val="24"/>
          <w:szCs w:val="24"/>
        </w:rPr>
        <w:t>. Ces dépôts doivent être accompagnés du dépôt d’une demande d’ordonnance de traitement confidentiel et d’une déclaration assermentée au SDÉ en vertu de l’article 30 de la Loi et des articles 33 à 35 du Règlement en indiquant clairement les motifs au</w:t>
      </w:r>
      <w:r w:rsidRPr="00BA38CD">
        <w:rPr>
          <w:rFonts w:cs="Calibri"/>
          <w:sz w:val="24"/>
          <w:szCs w:val="24"/>
        </w:rPr>
        <w:t xml:space="preserve"> soutien de sa demande, y compris le préjudice qu’entraînerait la publication du document. La durée du traitement confidentiel demandé doit également être précisé</w:t>
      </w:r>
      <w:r>
        <w:rPr>
          <w:rFonts w:cs="Calibri"/>
          <w:sz w:val="24"/>
          <w:szCs w:val="24"/>
        </w:rPr>
        <w:t>e</w:t>
      </w:r>
      <w:r w:rsidRPr="00D01496">
        <w:rPr>
          <w:rFonts w:cs="Calibri"/>
          <w:sz w:val="24"/>
          <w:szCs w:val="24"/>
        </w:rPr>
        <w:t>.</w:t>
      </w:r>
    </w:p>
    <w:p w14:paraId="2D9B2216" w14:textId="77777777" w:rsidR="00AC41A8" w:rsidRPr="00B6464D" w:rsidRDefault="00AC41A8" w:rsidP="00B6464D">
      <w:pPr>
        <w:pStyle w:val="TitreS3"/>
      </w:pPr>
      <w:r w:rsidRPr="00B6464D">
        <w:t>Dépôt de pièces amendées</w:t>
      </w:r>
    </w:p>
    <w:p w14:paraId="33777F75" w14:textId="5A11EBA9" w:rsidR="00AC41A8" w:rsidRPr="009B281A" w:rsidRDefault="00AC41A8" w:rsidP="001A6380">
      <w:pPr>
        <w:autoSpaceDE w:val="0"/>
        <w:autoSpaceDN w:val="0"/>
        <w:adjustRightInd w:val="0"/>
        <w:spacing w:before="200" w:after="0" w:line="264" w:lineRule="auto"/>
        <w:jc w:val="both"/>
        <w:rPr>
          <w:rFonts w:cs="Calibri"/>
          <w:sz w:val="24"/>
          <w:szCs w:val="24"/>
        </w:rPr>
      </w:pPr>
      <w:r w:rsidRPr="007928D3">
        <w:rPr>
          <w:rFonts w:cs="Calibri"/>
          <w:sz w:val="24"/>
          <w:szCs w:val="24"/>
        </w:rPr>
        <w:t xml:space="preserve">Dans ce cas, </w:t>
      </w:r>
      <w:r>
        <w:rPr>
          <w:rFonts w:cs="Calibri"/>
          <w:sz w:val="24"/>
          <w:szCs w:val="24"/>
        </w:rPr>
        <w:t>Intragaz</w:t>
      </w:r>
      <w:r w:rsidRPr="007928D3">
        <w:rPr>
          <w:rFonts w:cs="Calibri"/>
          <w:sz w:val="24"/>
          <w:szCs w:val="24"/>
        </w:rPr>
        <w:t xml:space="preserve"> doit clairement identifier les modifications apportées à la preuve originale et dater cette modification, au bas du document amendé.</w:t>
      </w:r>
      <w:r>
        <w:rPr>
          <w:rFonts w:cs="Calibri"/>
          <w:sz w:val="24"/>
          <w:szCs w:val="24"/>
        </w:rPr>
        <w:t xml:space="preserve"> De même, i</w:t>
      </w:r>
      <w:r w:rsidRPr="007928D3">
        <w:rPr>
          <w:rFonts w:cs="Calibri"/>
          <w:sz w:val="24"/>
          <w:szCs w:val="24"/>
        </w:rPr>
        <w:t xml:space="preserve">l est suggéré que les ajouts aux </w:t>
      </w:r>
      <w:r w:rsidRPr="00CA5F8C">
        <w:rPr>
          <w:rFonts w:cs="Calibri"/>
          <w:iCs/>
          <w:sz w:val="24"/>
          <w:szCs w:val="24"/>
        </w:rPr>
        <w:t>C</w:t>
      </w:r>
      <w:r w:rsidR="00956904">
        <w:rPr>
          <w:rFonts w:cs="Calibri"/>
          <w:iCs/>
          <w:sz w:val="24"/>
          <w:szCs w:val="24"/>
        </w:rPr>
        <w:t>onditions de service et Tarif (C</w:t>
      </w:r>
      <w:r w:rsidRPr="00CA5F8C">
        <w:rPr>
          <w:rFonts w:cs="Calibri"/>
          <w:iCs/>
          <w:sz w:val="24"/>
          <w:szCs w:val="24"/>
        </w:rPr>
        <w:t>ST</w:t>
      </w:r>
      <w:r w:rsidR="00956904">
        <w:rPr>
          <w:rFonts w:cs="Calibri"/>
          <w:iCs/>
          <w:sz w:val="24"/>
          <w:szCs w:val="24"/>
        </w:rPr>
        <w:t>)</w:t>
      </w:r>
      <w:r w:rsidRPr="00D90032">
        <w:rPr>
          <w:rFonts w:cs="Calibri"/>
          <w:sz w:val="24"/>
          <w:szCs w:val="24"/>
        </w:rPr>
        <w:t xml:space="preserve"> soient </w:t>
      </w:r>
      <w:r w:rsidRPr="000E380F">
        <w:rPr>
          <w:rFonts w:cs="Calibri"/>
          <w:sz w:val="24"/>
          <w:szCs w:val="24"/>
        </w:rPr>
        <w:t>soulignés</w:t>
      </w:r>
      <w:r w:rsidRPr="00D90032">
        <w:rPr>
          <w:rFonts w:cs="Calibri"/>
          <w:sz w:val="24"/>
          <w:szCs w:val="24"/>
        </w:rPr>
        <w:t xml:space="preserve"> en bleu et que les retraits soient </w:t>
      </w:r>
      <w:r w:rsidRPr="000E380F">
        <w:rPr>
          <w:rFonts w:cs="Calibri"/>
          <w:sz w:val="24"/>
          <w:szCs w:val="24"/>
        </w:rPr>
        <w:t>barrés</w:t>
      </w:r>
      <w:r w:rsidRPr="00D90032">
        <w:rPr>
          <w:rFonts w:cs="Calibri"/>
          <w:sz w:val="24"/>
          <w:szCs w:val="24"/>
        </w:rPr>
        <w:t xml:space="preserve"> en rouge, pour des fins de lisibilité. </w:t>
      </w:r>
    </w:p>
    <w:p w14:paraId="0A6180B3" w14:textId="77777777" w:rsidR="00AC41A8" w:rsidRPr="007928D3" w:rsidRDefault="00AC41A8" w:rsidP="001A6380">
      <w:pPr>
        <w:autoSpaceDE w:val="0"/>
        <w:autoSpaceDN w:val="0"/>
        <w:adjustRightInd w:val="0"/>
        <w:spacing w:before="200" w:after="0" w:line="264" w:lineRule="auto"/>
        <w:jc w:val="both"/>
        <w:rPr>
          <w:rFonts w:cs="Calibri"/>
          <w:sz w:val="24"/>
          <w:szCs w:val="24"/>
        </w:rPr>
      </w:pPr>
      <w:r w:rsidRPr="00CB598C">
        <w:rPr>
          <w:rFonts w:cs="Calibri"/>
          <w:sz w:val="24"/>
          <w:szCs w:val="24"/>
        </w:rPr>
        <w:t xml:space="preserve">En cas </w:t>
      </w:r>
      <w:r w:rsidRPr="002976DD">
        <w:rPr>
          <w:rFonts w:cs="Calibri"/>
          <w:sz w:val="24"/>
          <w:szCs w:val="24"/>
        </w:rPr>
        <w:t xml:space="preserve">de modifications multiples à un même document, </w:t>
      </w:r>
      <w:r>
        <w:rPr>
          <w:rFonts w:cs="Calibri"/>
          <w:sz w:val="24"/>
          <w:szCs w:val="24"/>
        </w:rPr>
        <w:t>Intragaz</w:t>
      </w:r>
      <w:r w:rsidRPr="002976DD">
        <w:rPr>
          <w:rFonts w:cs="Calibri"/>
          <w:sz w:val="24"/>
          <w:szCs w:val="24"/>
        </w:rPr>
        <w:t xml:space="preserve"> joindra à la </w:t>
      </w:r>
      <w:r w:rsidRPr="000E380F">
        <w:rPr>
          <w:rFonts w:cs="Calibri"/>
          <w:sz w:val="24"/>
          <w:szCs w:val="24"/>
        </w:rPr>
        <w:t>lettre de dépôt au document faisant l’objet des modifications</w:t>
      </w:r>
      <w:r w:rsidRPr="000E380F" w:rsidDel="00221F0C">
        <w:rPr>
          <w:rFonts w:cs="Calibri"/>
          <w:sz w:val="24"/>
          <w:szCs w:val="24"/>
        </w:rPr>
        <w:t xml:space="preserve"> </w:t>
      </w:r>
      <w:r w:rsidRPr="00D90032">
        <w:rPr>
          <w:rFonts w:cs="Calibri"/>
          <w:sz w:val="24"/>
          <w:szCs w:val="24"/>
        </w:rPr>
        <w:t xml:space="preserve">une liste des </w:t>
      </w:r>
      <w:r w:rsidRPr="000E380F">
        <w:rPr>
          <w:rFonts w:cs="Calibri"/>
          <w:sz w:val="24"/>
          <w:szCs w:val="24"/>
        </w:rPr>
        <w:t>pages amendées de ce document</w:t>
      </w:r>
      <w:r w:rsidRPr="00D90032">
        <w:rPr>
          <w:rFonts w:cs="Calibri"/>
          <w:sz w:val="24"/>
          <w:szCs w:val="24"/>
        </w:rPr>
        <w:t>.</w:t>
      </w:r>
      <w:r w:rsidRPr="007928D3">
        <w:rPr>
          <w:rFonts w:cs="Calibri"/>
          <w:sz w:val="24"/>
          <w:szCs w:val="24"/>
        </w:rPr>
        <w:t xml:space="preserve"> </w:t>
      </w:r>
    </w:p>
    <w:p w14:paraId="59931AA8" w14:textId="77777777" w:rsidR="00BE5FE2" w:rsidRDefault="00BE5FE2" w:rsidP="00AB77A4">
      <w:pPr>
        <w:jc w:val="both"/>
        <w:rPr>
          <w:rFonts w:cs="Calibri"/>
          <w:b/>
          <w:bCs/>
          <w:color w:val="000000"/>
          <w:sz w:val="24"/>
          <w:szCs w:val="24"/>
          <w:highlight w:val="yellow"/>
        </w:rPr>
      </w:pPr>
    </w:p>
    <w:p w14:paraId="7B7291BE" w14:textId="6FB88E54" w:rsidR="00A805F6" w:rsidRPr="00325D53" w:rsidRDefault="00A805F6" w:rsidP="004C7719">
      <w:pPr>
        <w:pStyle w:val="Titre2"/>
        <w:numPr>
          <w:ilvl w:val="1"/>
          <w:numId w:val="4"/>
        </w:numPr>
        <w:tabs>
          <w:tab w:val="clear" w:pos="851"/>
        </w:tabs>
        <w:spacing w:before="200" w:after="0"/>
        <w:ind w:left="426"/>
      </w:pPr>
      <w:bookmarkStart w:id="2" w:name="_Toc78528804"/>
      <w:r>
        <w:t>Projets dont les co</w:t>
      </w:r>
      <w:r w:rsidR="006E3CAD">
        <w:t xml:space="preserve">ûts </w:t>
      </w:r>
      <w:r w:rsidR="004D7C7F">
        <w:t>excèdent</w:t>
      </w:r>
      <w:r w:rsidR="006E3CAD">
        <w:t xml:space="preserve"> </w:t>
      </w:r>
      <w:r w:rsidR="00F66367">
        <w:t>3</w:t>
      </w:r>
      <w:r>
        <w:t> M$</w:t>
      </w:r>
      <w:bookmarkEnd w:id="2"/>
    </w:p>
    <w:p w14:paraId="754E29BF" w14:textId="77777777" w:rsidR="00A805F6" w:rsidRDefault="00A805F6" w:rsidP="004C7719">
      <w:pPr>
        <w:pStyle w:val="TitreS2"/>
        <w:numPr>
          <w:ilvl w:val="0"/>
          <w:numId w:val="0"/>
        </w:numPr>
        <w:spacing w:before="200" w:after="0"/>
        <w:ind w:left="360" w:hanging="360"/>
        <w:rPr>
          <w:rFonts w:cs="Calibri"/>
          <w:b w:val="0"/>
          <w:bCs w:val="0"/>
          <w:sz w:val="24"/>
          <w:szCs w:val="24"/>
          <w:lang w:eastAsia="fr-CA"/>
        </w:rPr>
      </w:pPr>
      <w:r w:rsidRPr="00325D53">
        <w:rPr>
          <w:rFonts w:cs="Calibri"/>
          <w:b w:val="0"/>
          <w:bCs w:val="0"/>
          <w:sz w:val="24"/>
          <w:szCs w:val="24"/>
          <w:lang w:eastAsia="fr-CA"/>
        </w:rPr>
        <w:t>Fournir les informations requises pour chacune des sous</w:t>
      </w:r>
      <w:r>
        <w:rPr>
          <w:rFonts w:cs="Calibri"/>
          <w:b w:val="0"/>
          <w:bCs w:val="0"/>
          <w:sz w:val="24"/>
          <w:szCs w:val="24"/>
          <w:lang w:eastAsia="fr-CA"/>
        </w:rPr>
        <w:t>-</w:t>
      </w:r>
      <w:r w:rsidRPr="00325D53">
        <w:rPr>
          <w:rFonts w:cs="Calibri"/>
          <w:b w:val="0"/>
          <w:bCs w:val="0"/>
          <w:sz w:val="24"/>
          <w:szCs w:val="24"/>
          <w:lang w:eastAsia="fr-CA"/>
        </w:rPr>
        <w:t>sections suivantes :</w:t>
      </w:r>
    </w:p>
    <w:p w14:paraId="52A46AD0" w14:textId="77777777" w:rsidR="00A805F6" w:rsidRPr="00D259D5" w:rsidRDefault="00A805F6" w:rsidP="004C7719">
      <w:pPr>
        <w:pStyle w:val="TitreS2"/>
        <w:numPr>
          <w:ilvl w:val="0"/>
          <w:numId w:val="0"/>
        </w:numPr>
        <w:spacing w:before="200" w:after="0"/>
        <w:rPr>
          <w:rFonts w:cs="Calibri"/>
          <w:i/>
          <w:sz w:val="28"/>
          <w:szCs w:val="28"/>
          <w:lang w:eastAsia="fr-CA"/>
        </w:rPr>
      </w:pPr>
      <w:r w:rsidRPr="00D259D5">
        <w:rPr>
          <w:rFonts w:cs="Calibri"/>
          <w:i/>
          <w:sz w:val="28"/>
          <w:szCs w:val="28"/>
          <w:lang w:eastAsia="fr-CA"/>
        </w:rPr>
        <w:t>Exigences de dépôt générales</w:t>
      </w:r>
    </w:p>
    <w:p w14:paraId="08A29318" w14:textId="5AB7229E" w:rsidR="00A805F6" w:rsidRDefault="00A805F6" w:rsidP="004C7719">
      <w:pPr>
        <w:pStyle w:val="Paragraphedeliste"/>
        <w:numPr>
          <w:ilvl w:val="0"/>
          <w:numId w:val="2"/>
        </w:numPr>
        <w:autoSpaceDE w:val="0"/>
        <w:autoSpaceDN w:val="0"/>
        <w:adjustRightInd w:val="0"/>
        <w:spacing w:before="200" w:after="0" w:line="240" w:lineRule="auto"/>
        <w:ind w:left="567" w:hanging="567"/>
        <w:contextualSpacing w:val="0"/>
        <w:rPr>
          <w:rFonts w:cs="Calibri"/>
          <w:iCs/>
          <w:color w:val="000000"/>
          <w:sz w:val="24"/>
          <w:szCs w:val="24"/>
        </w:rPr>
      </w:pPr>
      <w:r w:rsidRPr="007928D3">
        <w:rPr>
          <w:rFonts w:cs="Calibri"/>
          <w:color w:val="000000"/>
          <w:sz w:val="24"/>
          <w:szCs w:val="24"/>
        </w:rPr>
        <w:t xml:space="preserve">Une demande d’autorisation </w:t>
      </w:r>
      <w:r w:rsidR="00F97643">
        <w:rPr>
          <w:rFonts w:cs="Calibri"/>
          <w:color w:val="000000"/>
          <w:sz w:val="24"/>
          <w:szCs w:val="24"/>
        </w:rPr>
        <w:t>qui reprend les éléments requis par le</w:t>
      </w:r>
      <w:r w:rsidRPr="00744C89">
        <w:rPr>
          <w:rFonts w:cs="Calibri"/>
          <w:iCs/>
          <w:sz w:val="24"/>
          <w:szCs w:val="24"/>
        </w:rPr>
        <w:t xml:space="preserve"> </w:t>
      </w:r>
      <w:r w:rsidRPr="6443AAE3">
        <w:rPr>
          <w:rFonts w:cs="Calibri"/>
          <w:i/>
          <w:iCs/>
          <w:color w:val="0000FF"/>
          <w:sz w:val="24"/>
          <w:szCs w:val="24"/>
        </w:rPr>
        <w:t>Règlement sur les conditions</w:t>
      </w:r>
      <w:r w:rsidRPr="6443AAE3">
        <w:rPr>
          <w:rFonts w:cs="Calibri"/>
          <w:sz w:val="24"/>
          <w:szCs w:val="24"/>
        </w:rPr>
        <w:t xml:space="preserve">. </w:t>
      </w:r>
      <w:r w:rsidRPr="007928D3">
        <w:rPr>
          <w:rFonts w:cs="Calibri"/>
          <w:color w:val="000000"/>
          <w:sz w:val="24"/>
          <w:szCs w:val="24"/>
        </w:rPr>
        <w:t xml:space="preserve">La demande doit être accompagnée des </w:t>
      </w:r>
      <w:r w:rsidR="005728C7">
        <w:rPr>
          <w:rFonts w:cs="Calibri"/>
          <w:color w:val="000000"/>
          <w:sz w:val="24"/>
          <w:szCs w:val="24"/>
        </w:rPr>
        <w:t xml:space="preserve">déclarations sous serment </w:t>
      </w:r>
      <w:r w:rsidR="003149FA">
        <w:rPr>
          <w:rFonts w:cs="Calibri"/>
          <w:color w:val="000000"/>
          <w:sz w:val="24"/>
          <w:szCs w:val="24"/>
        </w:rPr>
        <w:t>solennelles</w:t>
      </w:r>
      <w:r w:rsidRPr="007928D3">
        <w:rPr>
          <w:rFonts w:cs="Calibri"/>
          <w:color w:val="000000"/>
          <w:sz w:val="24"/>
          <w:szCs w:val="24"/>
        </w:rPr>
        <w:t xml:space="preserve"> requis</w:t>
      </w:r>
      <w:r w:rsidR="003149FA">
        <w:rPr>
          <w:rFonts w:cs="Calibri"/>
          <w:color w:val="000000"/>
          <w:sz w:val="24"/>
          <w:szCs w:val="24"/>
        </w:rPr>
        <w:t>es</w:t>
      </w:r>
      <w:r w:rsidRPr="007928D3">
        <w:rPr>
          <w:rFonts w:cs="Calibri"/>
          <w:color w:val="000000"/>
          <w:sz w:val="24"/>
          <w:szCs w:val="24"/>
        </w:rPr>
        <w:t>.</w:t>
      </w:r>
    </w:p>
    <w:p w14:paraId="10192D30" w14:textId="77777777" w:rsidR="00A551AA" w:rsidRPr="00A551AA" w:rsidRDefault="00A805F6" w:rsidP="00A551AA">
      <w:pPr>
        <w:pStyle w:val="Paragraphedeliste"/>
        <w:numPr>
          <w:ilvl w:val="0"/>
          <w:numId w:val="2"/>
        </w:numPr>
        <w:autoSpaceDE w:val="0"/>
        <w:autoSpaceDN w:val="0"/>
        <w:adjustRightInd w:val="0"/>
        <w:spacing w:before="200" w:after="0" w:line="264" w:lineRule="auto"/>
        <w:ind w:left="567" w:hanging="567"/>
        <w:contextualSpacing w:val="0"/>
        <w:rPr>
          <w:rStyle w:val="texte-courant1"/>
          <w:rFonts w:cs="Calibri"/>
          <w:sz w:val="24"/>
          <w:szCs w:val="24"/>
        </w:rPr>
      </w:pPr>
      <w:r w:rsidRPr="00325D53">
        <w:rPr>
          <w:rStyle w:val="texte-courant1"/>
          <w:sz w:val="24"/>
          <w:szCs w:val="24"/>
          <w:lang w:val="fr-FR"/>
        </w:rPr>
        <w:t xml:space="preserve">Une analyse des impacts </w:t>
      </w:r>
      <w:r>
        <w:rPr>
          <w:rStyle w:val="texte-courant1"/>
          <w:sz w:val="24"/>
          <w:szCs w:val="24"/>
          <w:lang w:val="fr-FR"/>
        </w:rPr>
        <w:t xml:space="preserve">du projet </w:t>
      </w:r>
      <w:r w:rsidRPr="00325D53">
        <w:rPr>
          <w:rStyle w:val="texte-courant1"/>
          <w:sz w:val="24"/>
          <w:szCs w:val="24"/>
          <w:lang w:val="fr-FR"/>
        </w:rPr>
        <w:t>sur l’application de la Loi, de ses règlements et des ordonnances ou décisions de la Régie</w:t>
      </w:r>
      <w:r w:rsidRPr="00722E01">
        <w:rPr>
          <w:rStyle w:val="texte-courant1"/>
          <w:sz w:val="24"/>
          <w:szCs w:val="24"/>
          <w:lang w:val="fr-FR"/>
        </w:rPr>
        <w:t>, le cas échéant</w:t>
      </w:r>
      <w:r w:rsidRPr="00325D53">
        <w:rPr>
          <w:rStyle w:val="texte-courant1"/>
          <w:sz w:val="24"/>
          <w:szCs w:val="24"/>
          <w:lang w:val="fr-FR"/>
        </w:rPr>
        <w:t>.</w:t>
      </w:r>
    </w:p>
    <w:p w14:paraId="57296EB0" w14:textId="2967D9BF" w:rsidR="00A805F6" w:rsidRPr="00A551AA" w:rsidRDefault="00A805F6" w:rsidP="00A551AA">
      <w:pPr>
        <w:pStyle w:val="Paragraphedeliste"/>
        <w:numPr>
          <w:ilvl w:val="0"/>
          <w:numId w:val="2"/>
        </w:numPr>
        <w:autoSpaceDE w:val="0"/>
        <w:autoSpaceDN w:val="0"/>
        <w:adjustRightInd w:val="0"/>
        <w:spacing w:before="200" w:after="0" w:line="264" w:lineRule="auto"/>
        <w:ind w:left="567" w:hanging="567"/>
        <w:contextualSpacing w:val="0"/>
        <w:rPr>
          <w:rFonts w:cs="Calibri"/>
          <w:sz w:val="24"/>
          <w:szCs w:val="24"/>
        </w:rPr>
      </w:pPr>
      <w:r w:rsidRPr="00A551AA">
        <w:rPr>
          <w:rFonts w:cs="Calibri"/>
          <w:color w:val="000000"/>
          <w:sz w:val="24"/>
          <w:szCs w:val="24"/>
        </w:rPr>
        <w:t>Tous les tableaux sous le format Excel, incluant les formules lorsque possible.</w:t>
      </w:r>
    </w:p>
    <w:p w14:paraId="6B88383E" w14:textId="47635BA7" w:rsidR="00BE5FE2" w:rsidRDefault="00BE5FE2" w:rsidP="004C7719">
      <w:pPr>
        <w:spacing w:after="0" w:line="264" w:lineRule="auto"/>
        <w:jc w:val="both"/>
        <w:rPr>
          <w:rStyle w:val="texte-courant1"/>
          <w:b/>
          <w:i/>
          <w:sz w:val="28"/>
          <w:szCs w:val="28"/>
          <w:lang w:val="fr-FR"/>
        </w:rPr>
      </w:pPr>
    </w:p>
    <w:p w14:paraId="49BFF55A" w14:textId="216C50F5" w:rsidR="00A551AA" w:rsidRDefault="00A551AA" w:rsidP="004C7719">
      <w:pPr>
        <w:spacing w:after="0" w:line="264" w:lineRule="auto"/>
        <w:jc w:val="both"/>
        <w:rPr>
          <w:rStyle w:val="texte-courant1"/>
          <w:b/>
          <w:i/>
          <w:sz w:val="28"/>
          <w:szCs w:val="28"/>
          <w:lang w:val="fr-FR"/>
        </w:rPr>
      </w:pPr>
    </w:p>
    <w:p w14:paraId="536A911B" w14:textId="77777777" w:rsidR="00A551AA" w:rsidRDefault="00A551AA" w:rsidP="004C7719">
      <w:pPr>
        <w:spacing w:after="0" w:line="264" w:lineRule="auto"/>
        <w:jc w:val="both"/>
        <w:rPr>
          <w:rStyle w:val="texte-courant1"/>
          <w:b/>
          <w:i/>
          <w:sz w:val="28"/>
          <w:szCs w:val="28"/>
          <w:lang w:val="fr-FR"/>
        </w:rPr>
      </w:pPr>
    </w:p>
    <w:p w14:paraId="63E28859" w14:textId="77777777" w:rsidR="00A805F6" w:rsidRDefault="00BD6706" w:rsidP="004C7719">
      <w:pPr>
        <w:spacing w:before="200" w:after="0" w:line="264" w:lineRule="auto"/>
        <w:jc w:val="both"/>
        <w:rPr>
          <w:rStyle w:val="texte-courant1"/>
          <w:b/>
          <w:i/>
          <w:sz w:val="28"/>
          <w:szCs w:val="28"/>
          <w:lang w:val="fr-FR"/>
        </w:rPr>
      </w:pPr>
      <w:r>
        <w:rPr>
          <w:rStyle w:val="texte-courant1"/>
          <w:b/>
          <w:i/>
          <w:sz w:val="28"/>
          <w:szCs w:val="28"/>
          <w:lang w:val="fr-FR"/>
        </w:rPr>
        <w:t>O</w:t>
      </w:r>
      <w:r w:rsidR="00A805F6" w:rsidRPr="00D259D5">
        <w:rPr>
          <w:rStyle w:val="texte-courant1"/>
          <w:b/>
          <w:i/>
          <w:sz w:val="28"/>
          <w:szCs w:val="28"/>
          <w:lang w:val="fr-FR"/>
        </w:rPr>
        <w:t xml:space="preserve">bjectifs visés </w:t>
      </w:r>
      <w:r w:rsidR="006C192D">
        <w:rPr>
          <w:rStyle w:val="texte-courant1"/>
          <w:b/>
          <w:i/>
          <w:sz w:val="28"/>
          <w:szCs w:val="28"/>
          <w:lang w:val="fr-FR"/>
        </w:rPr>
        <w:t>et description</w:t>
      </w:r>
    </w:p>
    <w:p w14:paraId="0495B8D8" w14:textId="77777777" w:rsidR="007B69AC" w:rsidRDefault="007B69AC"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d</w:t>
      </w:r>
      <w:r w:rsidRPr="00325D53">
        <w:rPr>
          <w:rStyle w:val="texte-courant1"/>
          <w:sz w:val="24"/>
          <w:szCs w:val="24"/>
          <w:lang w:val="fr-FR"/>
        </w:rPr>
        <w:t xml:space="preserve">escription </w:t>
      </w:r>
      <w:r>
        <w:rPr>
          <w:rStyle w:val="texte-courant1"/>
          <w:sz w:val="24"/>
          <w:szCs w:val="24"/>
          <w:lang w:val="fr-FR"/>
        </w:rPr>
        <w:t>détaillée</w:t>
      </w:r>
      <w:r w:rsidRPr="00325D53">
        <w:rPr>
          <w:rStyle w:val="texte-courant1"/>
          <w:sz w:val="24"/>
          <w:szCs w:val="24"/>
          <w:lang w:val="fr-FR"/>
        </w:rPr>
        <w:t xml:space="preserve"> du </w:t>
      </w:r>
      <w:r w:rsidR="00722E01">
        <w:rPr>
          <w:rStyle w:val="texte-courant1"/>
          <w:sz w:val="24"/>
          <w:szCs w:val="24"/>
          <w:lang w:val="fr-FR"/>
        </w:rPr>
        <w:t>p</w:t>
      </w:r>
      <w:r w:rsidR="00722E01" w:rsidRPr="00325D53">
        <w:rPr>
          <w:rStyle w:val="texte-courant1"/>
          <w:sz w:val="24"/>
          <w:szCs w:val="24"/>
          <w:lang w:val="fr-FR"/>
        </w:rPr>
        <w:t>rojet</w:t>
      </w:r>
      <w:r w:rsidRPr="00325D53">
        <w:rPr>
          <w:rStyle w:val="texte-courant1"/>
          <w:sz w:val="24"/>
          <w:szCs w:val="24"/>
          <w:lang w:val="fr-FR"/>
        </w:rPr>
        <w:t xml:space="preserve">, de chacune de ses composantes, de la démarche de mise en </w:t>
      </w:r>
      <w:r>
        <w:rPr>
          <w:rStyle w:val="texte-courant1"/>
          <w:sz w:val="24"/>
          <w:szCs w:val="24"/>
          <w:lang w:val="fr-FR"/>
        </w:rPr>
        <w:t>œ</w:t>
      </w:r>
      <w:r w:rsidRPr="00325D53">
        <w:rPr>
          <w:rStyle w:val="texte-courant1"/>
          <w:sz w:val="24"/>
          <w:szCs w:val="24"/>
          <w:lang w:val="fr-FR"/>
        </w:rPr>
        <w:t>uvr</w:t>
      </w:r>
      <w:r>
        <w:rPr>
          <w:rStyle w:val="texte-courant1"/>
          <w:sz w:val="24"/>
          <w:szCs w:val="24"/>
          <w:lang w:val="fr-FR"/>
        </w:rPr>
        <w:t>e et de l’échéancier.</w:t>
      </w:r>
    </w:p>
    <w:p w14:paraId="7EE0E944" w14:textId="77777777" w:rsidR="00722E01" w:rsidRDefault="00722E01"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des</w:t>
      </w:r>
      <w:r w:rsidRPr="00325D53">
        <w:rPr>
          <w:rStyle w:val="texte-courant1"/>
          <w:sz w:val="24"/>
          <w:szCs w:val="24"/>
          <w:lang w:val="fr-FR"/>
        </w:rPr>
        <w:t xml:space="preserve">cription et </w:t>
      </w:r>
      <w:r>
        <w:rPr>
          <w:rStyle w:val="texte-courant1"/>
          <w:sz w:val="24"/>
          <w:szCs w:val="24"/>
          <w:lang w:val="fr-FR"/>
        </w:rPr>
        <w:t xml:space="preserve">la </w:t>
      </w:r>
      <w:r w:rsidRPr="00325D53">
        <w:rPr>
          <w:rStyle w:val="texte-courant1"/>
          <w:sz w:val="24"/>
          <w:szCs w:val="24"/>
          <w:lang w:val="fr-FR"/>
        </w:rPr>
        <w:t>quantification des objectifs du projet, en précisant, notamment, les catégories d’investissement appropriées.</w:t>
      </w:r>
    </w:p>
    <w:p w14:paraId="1561DBC1" w14:textId="77777777" w:rsidR="00F635F7" w:rsidRDefault="00F635F7"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des</w:t>
      </w:r>
      <w:r w:rsidRPr="00325D53">
        <w:rPr>
          <w:rStyle w:val="texte-courant1"/>
          <w:sz w:val="24"/>
          <w:szCs w:val="24"/>
          <w:lang w:val="fr-FR"/>
        </w:rPr>
        <w:t xml:space="preserve">cription de la situation actuelle et des modifications apportées par le </w:t>
      </w:r>
      <w:r w:rsidR="00A75C5A">
        <w:rPr>
          <w:rStyle w:val="texte-courant1"/>
          <w:sz w:val="24"/>
          <w:szCs w:val="24"/>
          <w:lang w:val="fr-FR"/>
        </w:rPr>
        <w:t>P</w:t>
      </w:r>
      <w:r w:rsidR="00A75C5A" w:rsidRPr="00325D53">
        <w:rPr>
          <w:rStyle w:val="texte-courant1"/>
          <w:sz w:val="24"/>
          <w:szCs w:val="24"/>
          <w:lang w:val="fr-FR"/>
        </w:rPr>
        <w:t>rojet</w:t>
      </w:r>
      <w:r w:rsidRPr="00325D53">
        <w:rPr>
          <w:rStyle w:val="texte-courant1"/>
          <w:sz w:val="24"/>
          <w:szCs w:val="24"/>
          <w:lang w:val="fr-FR"/>
        </w:rPr>
        <w:t xml:space="preserve">. Au besoin, </w:t>
      </w:r>
      <w:r w:rsidR="005A4195">
        <w:rPr>
          <w:rStyle w:val="texte-courant1"/>
          <w:sz w:val="24"/>
          <w:szCs w:val="24"/>
          <w:lang w:val="fr-FR"/>
        </w:rPr>
        <w:t xml:space="preserve">une </w:t>
      </w:r>
      <w:r w:rsidRPr="00325D53">
        <w:rPr>
          <w:rStyle w:val="texte-courant1"/>
          <w:sz w:val="24"/>
          <w:szCs w:val="24"/>
          <w:lang w:val="fr-FR"/>
        </w:rPr>
        <w:t>d</w:t>
      </w:r>
      <w:r>
        <w:rPr>
          <w:rStyle w:val="texte-courant1"/>
          <w:sz w:val="24"/>
          <w:szCs w:val="24"/>
          <w:lang w:val="fr-FR"/>
        </w:rPr>
        <w:t>es</w:t>
      </w:r>
      <w:r w:rsidRPr="00325D53">
        <w:rPr>
          <w:rStyle w:val="texte-courant1"/>
          <w:sz w:val="24"/>
          <w:szCs w:val="24"/>
          <w:lang w:val="fr-FR"/>
        </w:rPr>
        <w:t>cription de l’ensemble des actions, des projets ou du programme d</w:t>
      </w:r>
      <w:r>
        <w:rPr>
          <w:rStyle w:val="texte-courant1"/>
          <w:sz w:val="24"/>
          <w:szCs w:val="24"/>
          <w:lang w:val="fr-FR"/>
        </w:rPr>
        <w:t xml:space="preserve">ans lequel le </w:t>
      </w:r>
      <w:r w:rsidR="00A75C5A">
        <w:rPr>
          <w:rStyle w:val="texte-courant1"/>
          <w:sz w:val="24"/>
          <w:szCs w:val="24"/>
          <w:lang w:val="fr-FR"/>
        </w:rPr>
        <w:t xml:space="preserve">Projet </w:t>
      </w:r>
      <w:r>
        <w:rPr>
          <w:rStyle w:val="texte-courant1"/>
          <w:sz w:val="24"/>
          <w:szCs w:val="24"/>
          <w:lang w:val="fr-FR"/>
        </w:rPr>
        <w:t>s’inscrit.</w:t>
      </w:r>
    </w:p>
    <w:p w14:paraId="66382CF0" w14:textId="77777777" w:rsidR="007B69AC" w:rsidRDefault="007B69AC"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Le cas échéant,</w:t>
      </w:r>
      <w:r>
        <w:rPr>
          <w:rStyle w:val="texte-courant1"/>
          <w:sz w:val="24"/>
          <w:szCs w:val="24"/>
          <w:lang w:val="fr-FR"/>
        </w:rPr>
        <w:t xml:space="preserve"> la des</w:t>
      </w:r>
      <w:r w:rsidRPr="00325D53">
        <w:rPr>
          <w:rStyle w:val="texte-courant1"/>
          <w:sz w:val="24"/>
          <w:szCs w:val="24"/>
          <w:lang w:val="fr-FR"/>
        </w:rPr>
        <w:t xml:space="preserve">cription des projets pilotes </w:t>
      </w:r>
      <w:r>
        <w:rPr>
          <w:rStyle w:val="texte-courant1"/>
          <w:sz w:val="24"/>
          <w:szCs w:val="24"/>
          <w:lang w:val="fr-FR"/>
        </w:rPr>
        <w:t>réalisés et de leurs résultats.</w:t>
      </w:r>
    </w:p>
    <w:p w14:paraId="1420EB60" w14:textId="77777777" w:rsidR="007B69AC" w:rsidRDefault="007B69AC" w:rsidP="004C7719">
      <w:pPr>
        <w:pStyle w:val="Paragraphedeliste"/>
        <w:numPr>
          <w:ilvl w:val="0"/>
          <w:numId w:val="2"/>
        </w:numPr>
        <w:autoSpaceDE w:val="0"/>
        <w:autoSpaceDN w:val="0"/>
        <w:adjustRightInd w:val="0"/>
        <w:spacing w:before="200" w:after="0" w:line="264" w:lineRule="auto"/>
        <w:ind w:left="567" w:hanging="567"/>
        <w:contextualSpacing w:val="0"/>
        <w:rPr>
          <w:rFonts w:cs="Calibri"/>
          <w:color w:val="000000"/>
          <w:sz w:val="24"/>
          <w:szCs w:val="24"/>
        </w:rPr>
      </w:pPr>
      <w:r w:rsidRPr="005540CA">
        <w:rPr>
          <w:rFonts w:cs="Calibri"/>
          <w:color w:val="000000"/>
          <w:sz w:val="24"/>
          <w:szCs w:val="24"/>
        </w:rPr>
        <w:t xml:space="preserve">La liste des principales normes techniques applicables au </w:t>
      </w:r>
      <w:r>
        <w:rPr>
          <w:rFonts w:cs="Calibri"/>
          <w:color w:val="000000"/>
          <w:sz w:val="24"/>
          <w:szCs w:val="24"/>
        </w:rPr>
        <w:t>P</w:t>
      </w:r>
      <w:r w:rsidRPr="005540CA">
        <w:rPr>
          <w:rFonts w:cs="Calibri"/>
          <w:color w:val="000000"/>
          <w:sz w:val="24"/>
          <w:szCs w:val="24"/>
        </w:rPr>
        <w:t>rojet, identifiant celles qui motivent ou qui influencent le choix de la solution retenue et justifiant, au besoin, le choix de certaines normes (internes ou d’organismes externes).</w:t>
      </w:r>
    </w:p>
    <w:p w14:paraId="6B923816" w14:textId="77777777" w:rsidR="00BE5FE2" w:rsidRDefault="00BE5FE2" w:rsidP="004C7719">
      <w:pPr>
        <w:spacing w:after="0" w:line="264" w:lineRule="auto"/>
        <w:jc w:val="both"/>
        <w:rPr>
          <w:rStyle w:val="texte-courant1"/>
          <w:b/>
          <w:i/>
          <w:sz w:val="28"/>
          <w:szCs w:val="28"/>
          <w:lang w:val="fr-FR"/>
        </w:rPr>
      </w:pPr>
    </w:p>
    <w:p w14:paraId="637E96DB" w14:textId="77777777" w:rsidR="00B25E4E" w:rsidRPr="00A551AA" w:rsidRDefault="00B25E4E" w:rsidP="00B25E4E">
      <w:pPr>
        <w:spacing w:before="200" w:after="0" w:line="264" w:lineRule="auto"/>
        <w:jc w:val="both"/>
        <w:rPr>
          <w:rStyle w:val="texte-courant1"/>
          <w:rFonts w:cstheme="minorHAnsi"/>
          <w:b/>
          <w:i/>
          <w:sz w:val="28"/>
          <w:szCs w:val="28"/>
          <w:lang w:val="fr-FR"/>
        </w:rPr>
      </w:pPr>
      <w:r w:rsidRPr="00A551AA">
        <w:rPr>
          <w:rStyle w:val="texte-courant1"/>
          <w:rFonts w:cstheme="minorHAnsi"/>
          <w:b/>
          <w:i/>
          <w:sz w:val="28"/>
          <w:szCs w:val="28"/>
          <w:lang w:val="fr-FR"/>
        </w:rPr>
        <w:t>Bénéfices non énergétiques (BNÉ)</w:t>
      </w:r>
    </w:p>
    <w:p w14:paraId="0A6E3AEF" w14:textId="77777777" w:rsidR="00B25E4E" w:rsidRPr="00A551AA" w:rsidRDefault="00B25E4E" w:rsidP="00B25E4E">
      <w:pPr>
        <w:autoSpaceDE w:val="0"/>
        <w:autoSpaceDN w:val="0"/>
        <w:adjustRightInd w:val="0"/>
        <w:spacing w:after="0" w:line="240" w:lineRule="auto"/>
        <w:jc w:val="both"/>
        <w:rPr>
          <w:rFonts w:cstheme="minorHAnsi"/>
          <w:color w:val="000000"/>
          <w:sz w:val="24"/>
          <w:szCs w:val="24"/>
          <w:lang w:eastAsia="fr-CA"/>
        </w:rPr>
      </w:pPr>
    </w:p>
    <w:p w14:paraId="41D7A177" w14:textId="77777777" w:rsidR="00B25E4E" w:rsidRPr="00A551AA" w:rsidRDefault="00B25E4E" w:rsidP="00B25E4E">
      <w:pPr>
        <w:spacing w:before="200" w:after="0" w:line="264" w:lineRule="auto"/>
        <w:jc w:val="both"/>
        <w:rPr>
          <w:rFonts w:cstheme="minorHAnsi"/>
          <w:color w:val="000000"/>
          <w:sz w:val="24"/>
          <w:szCs w:val="24"/>
        </w:rPr>
      </w:pPr>
      <w:r w:rsidRPr="00A551AA">
        <w:rPr>
          <w:rFonts w:cstheme="minorHAnsi"/>
          <w:color w:val="000000"/>
          <w:sz w:val="24"/>
          <w:szCs w:val="24"/>
        </w:rPr>
        <w:t xml:space="preserve">Définition de BNÉ : « impacts qui : i) découlent du projet; ii) ne sont pas de nature énergétique et iii) bénéficient aux consommateurs, à </w:t>
      </w:r>
      <w:r w:rsidR="00251854" w:rsidRPr="00A551AA">
        <w:rPr>
          <w:rFonts w:cstheme="minorHAnsi"/>
          <w:color w:val="000000"/>
          <w:sz w:val="24"/>
          <w:szCs w:val="24"/>
        </w:rPr>
        <w:t>Intragaz</w:t>
      </w:r>
      <w:r w:rsidRPr="00A551AA">
        <w:rPr>
          <w:rFonts w:cstheme="minorHAnsi"/>
          <w:color w:val="000000"/>
          <w:sz w:val="24"/>
          <w:szCs w:val="24"/>
        </w:rPr>
        <w:t xml:space="preserve"> et/ou à la société québécoise. »</w:t>
      </w:r>
    </w:p>
    <w:p w14:paraId="085A2661" w14:textId="77777777" w:rsidR="00B25E4E" w:rsidRPr="00A551AA" w:rsidRDefault="00B25E4E" w:rsidP="00B25E4E">
      <w:pPr>
        <w:spacing w:before="200" w:after="0" w:line="264" w:lineRule="auto"/>
        <w:jc w:val="both"/>
        <w:rPr>
          <w:rFonts w:cstheme="minorHAnsi"/>
          <w:color w:val="000000"/>
          <w:sz w:val="24"/>
          <w:szCs w:val="24"/>
        </w:rPr>
      </w:pPr>
      <w:r w:rsidRPr="00A551AA">
        <w:rPr>
          <w:rFonts w:cstheme="minorHAnsi"/>
          <w:color w:val="000000"/>
          <w:sz w:val="24"/>
          <w:szCs w:val="24"/>
        </w:rPr>
        <w:t>Voici, à titre indicatif uniquement, quelques exemples de BNÉ</w:t>
      </w:r>
      <w:r w:rsidRPr="00A551AA">
        <w:rPr>
          <w:rFonts w:cstheme="minorHAnsi"/>
          <w:color w:val="000000"/>
          <w:sz w:val="24"/>
          <w:szCs w:val="24"/>
          <w:vertAlign w:val="superscript"/>
        </w:rPr>
        <w:footnoteReference w:id="7"/>
      </w:r>
      <w:r w:rsidRPr="00A551AA">
        <w:rPr>
          <w:rFonts w:cstheme="minorHAnsi"/>
          <w:color w:val="000000"/>
          <w:sz w:val="24"/>
          <w:szCs w:val="24"/>
        </w:rPr>
        <w:t> :</w:t>
      </w:r>
    </w:p>
    <w:p w14:paraId="057F0A0B" w14:textId="77777777" w:rsidR="00B25E4E" w:rsidRPr="00A551AA" w:rsidRDefault="00B25E4E" w:rsidP="00B25E4E">
      <w:pPr>
        <w:spacing w:before="200" w:after="0" w:line="264" w:lineRule="auto"/>
        <w:jc w:val="both"/>
        <w:rPr>
          <w:rFonts w:cstheme="minorHAnsi"/>
          <w:color w:val="000000"/>
          <w:sz w:val="24"/>
          <w:szCs w:val="24"/>
        </w:rPr>
      </w:pPr>
    </w:p>
    <w:tbl>
      <w:tblPr>
        <w:tblStyle w:val="Grilledutableau"/>
        <w:tblW w:w="0" w:type="auto"/>
        <w:tblLook w:val="04A0" w:firstRow="1" w:lastRow="0" w:firstColumn="1" w:lastColumn="0" w:noHBand="0" w:noVBand="1"/>
      </w:tblPr>
      <w:tblGrid>
        <w:gridCol w:w="2912"/>
        <w:gridCol w:w="2857"/>
        <w:gridCol w:w="2869"/>
      </w:tblGrid>
      <w:tr w:rsidR="00B25E4E" w:rsidRPr="00A551AA" w14:paraId="59141CC7" w14:textId="77777777" w:rsidTr="00BB331B">
        <w:tc>
          <w:tcPr>
            <w:tcW w:w="3132" w:type="dxa"/>
          </w:tcPr>
          <w:p w14:paraId="75B10150" w14:textId="77777777" w:rsidR="00B25E4E" w:rsidRPr="00A551AA" w:rsidRDefault="00B25E4E" w:rsidP="00B25E4E">
            <w:pPr>
              <w:spacing w:before="200" w:line="264" w:lineRule="auto"/>
              <w:jc w:val="both"/>
              <w:rPr>
                <w:rFonts w:asciiTheme="minorHAnsi" w:hAnsiTheme="minorHAnsi" w:cstheme="minorHAnsi"/>
                <w:b/>
                <w:sz w:val="24"/>
                <w:szCs w:val="24"/>
              </w:rPr>
            </w:pPr>
            <w:r w:rsidRPr="00A551AA">
              <w:rPr>
                <w:rFonts w:asciiTheme="minorHAnsi" w:hAnsiTheme="minorHAnsi" w:cstheme="minorHAnsi"/>
                <w:b/>
                <w:sz w:val="24"/>
                <w:szCs w:val="24"/>
              </w:rPr>
              <w:t>Consommateurs</w:t>
            </w:r>
          </w:p>
        </w:tc>
        <w:tc>
          <w:tcPr>
            <w:tcW w:w="3132" w:type="dxa"/>
          </w:tcPr>
          <w:p w14:paraId="228C588B" w14:textId="77777777" w:rsidR="00B25E4E" w:rsidRPr="00A551AA" w:rsidRDefault="00B25E4E" w:rsidP="00B25E4E">
            <w:pPr>
              <w:spacing w:before="200" w:line="264" w:lineRule="auto"/>
              <w:jc w:val="both"/>
              <w:rPr>
                <w:rFonts w:asciiTheme="minorHAnsi" w:hAnsiTheme="minorHAnsi" w:cstheme="minorHAnsi"/>
                <w:b/>
                <w:sz w:val="24"/>
                <w:szCs w:val="24"/>
              </w:rPr>
            </w:pPr>
            <w:r w:rsidRPr="00A551AA">
              <w:rPr>
                <w:rFonts w:asciiTheme="minorHAnsi" w:hAnsiTheme="minorHAnsi" w:cstheme="minorHAnsi"/>
                <w:b/>
                <w:sz w:val="24"/>
                <w:szCs w:val="24"/>
              </w:rPr>
              <w:t>Société</w:t>
            </w:r>
          </w:p>
        </w:tc>
        <w:tc>
          <w:tcPr>
            <w:tcW w:w="3132" w:type="dxa"/>
          </w:tcPr>
          <w:p w14:paraId="7D2D9759" w14:textId="68B7F076" w:rsidR="00B25E4E" w:rsidRPr="00A551AA" w:rsidRDefault="00B7111E" w:rsidP="00B25E4E">
            <w:pPr>
              <w:spacing w:before="200" w:line="264" w:lineRule="auto"/>
              <w:jc w:val="both"/>
              <w:rPr>
                <w:rFonts w:asciiTheme="minorHAnsi" w:hAnsiTheme="minorHAnsi" w:cstheme="minorHAnsi"/>
                <w:b/>
                <w:sz w:val="24"/>
                <w:szCs w:val="24"/>
              </w:rPr>
            </w:pPr>
            <w:r>
              <w:rPr>
                <w:rFonts w:asciiTheme="minorHAnsi" w:hAnsiTheme="minorHAnsi" w:cstheme="minorHAnsi"/>
                <w:b/>
                <w:sz w:val="24"/>
                <w:szCs w:val="24"/>
              </w:rPr>
              <w:t>Intragaz</w:t>
            </w:r>
          </w:p>
        </w:tc>
      </w:tr>
      <w:tr w:rsidR="00B25E4E" w:rsidRPr="00A551AA" w14:paraId="71AE84CC" w14:textId="77777777" w:rsidTr="00BB331B">
        <w:tc>
          <w:tcPr>
            <w:tcW w:w="3132" w:type="dxa"/>
          </w:tcPr>
          <w:p w14:paraId="73A0EA69"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Augmentation de la productivité</w:t>
            </w:r>
          </w:p>
          <w:p w14:paraId="7F4DC277"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Amélioration du confort</w:t>
            </w:r>
          </w:p>
          <w:p w14:paraId="652A470A"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Augmentation de la valeur de la propriété</w:t>
            </w:r>
          </w:p>
          <w:p w14:paraId="21F4358F" w14:textId="77777777" w:rsidR="00B25E4E" w:rsidRPr="00A551AA" w:rsidRDefault="00B25E4E" w:rsidP="00B25E4E">
            <w:pPr>
              <w:spacing w:before="200" w:line="264" w:lineRule="auto"/>
              <w:jc w:val="both"/>
              <w:rPr>
                <w:rFonts w:asciiTheme="minorHAnsi" w:hAnsiTheme="minorHAnsi" w:cstheme="minorHAnsi"/>
                <w:color w:val="D13438"/>
              </w:rPr>
            </w:pPr>
          </w:p>
        </w:tc>
        <w:tc>
          <w:tcPr>
            <w:tcW w:w="3132" w:type="dxa"/>
          </w:tcPr>
          <w:p w14:paraId="30B76A25" w14:textId="77777777" w:rsidR="00B25E4E" w:rsidRPr="00A551AA" w:rsidRDefault="00B25E4E" w:rsidP="00B25E4E">
            <w:pPr>
              <w:spacing w:before="200" w:line="264" w:lineRule="auto"/>
              <w:jc w:val="both"/>
              <w:rPr>
                <w:rFonts w:asciiTheme="minorHAnsi" w:hAnsiTheme="minorHAnsi" w:cstheme="minorHAnsi"/>
                <w:color w:val="D13438"/>
              </w:rPr>
            </w:pPr>
            <w:r w:rsidRPr="00A551AA">
              <w:rPr>
                <w:rFonts w:asciiTheme="minorHAnsi" w:hAnsiTheme="minorHAnsi" w:cstheme="minorHAnsi"/>
                <w:color w:val="242424"/>
                <w:shd w:val="clear" w:color="auto" w:fill="FFFFFF"/>
              </w:rPr>
              <w:t>Réduction des émissions de gaz à effet de serre</w:t>
            </w:r>
          </w:p>
          <w:p w14:paraId="076FD3F4"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Amélioration de la qualité de l’air</w:t>
            </w:r>
          </w:p>
          <w:p w14:paraId="6822E831"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Développement économique et création d’emplois</w:t>
            </w:r>
          </w:p>
        </w:tc>
        <w:tc>
          <w:tcPr>
            <w:tcW w:w="3132" w:type="dxa"/>
          </w:tcPr>
          <w:p w14:paraId="1E32949E"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Contribution aux efforts de décarbonation</w:t>
            </w:r>
          </w:p>
          <w:p w14:paraId="157C2BB2"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r w:rsidRPr="00A551AA">
              <w:rPr>
                <w:rFonts w:asciiTheme="minorHAnsi" w:hAnsiTheme="minorHAnsi" w:cstheme="minorHAnsi"/>
                <w:color w:val="242424"/>
                <w:shd w:val="clear" w:color="auto" w:fill="FFFFFF"/>
              </w:rPr>
              <w:t>Rehaussement de l’acceptabilité sociale du projet d’investissement</w:t>
            </w:r>
          </w:p>
          <w:p w14:paraId="57A50B47" w14:textId="77777777" w:rsidR="00B25E4E" w:rsidRPr="00A551AA" w:rsidRDefault="00B25E4E" w:rsidP="00B25E4E">
            <w:pPr>
              <w:spacing w:before="200" w:line="264" w:lineRule="auto"/>
              <w:jc w:val="both"/>
              <w:rPr>
                <w:rFonts w:asciiTheme="minorHAnsi" w:hAnsiTheme="minorHAnsi" w:cstheme="minorHAnsi"/>
                <w:color w:val="242424"/>
                <w:shd w:val="clear" w:color="auto" w:fill="FFFFFF"/>
              </w:rPr>
            </w:pPr>
          </w:p>
        </w:tc>
      </w:tr>
    </w:tbl>
    <w:p w14:paraId="4F29766D" w14:textId="77777777" w:rsidR="00B25E4E" w:rsidRPr="00A551AA" w:rsidRDefault="00B25E4E" w:rsidP="00B25E4E">
      <w:pPr>
        <w:spacing w:before="200" w:after="0" w:line="264" w:lineRule="auto"/>
        <w:jc w:val="both"/>
        <w:rPr>
          <w:rFonts w:cstheme="minorHAnsi"/>
          <w:color w:val="D13438"/>
          <w:sz w:val="23"/>
          <w:szCs w:val="23"/>
          <w:lang w:eastAsia="fr-CA"/>
        </w:rPr>
      </w:pPr>
    </w:p>
    <w:p w14:paraId="04B1183B" w14:textId="77777777" w:rsidR="00B25E4E" w:rsidRPr="00A551AA" w:rsidRDefault="00B25E4E" w:rsidP="00B25E4E">
      <w:pPr>
        <w:pStyle w:val="Paragraphedeliste"/>
        <w:rPr>
          <w:rStyle w:val="texte-courant1"/>
          <w:rFonts w:asciiTheme="minorHAnsi" w:hAnsiTheme="minorHAnsi" w:cstheme="minorHAnsi"/>
          <w:lang w:val="fr-FR"/>
        </w:rPr>
      </w:pPr>
    </w:p>
    <w:p w14:paraId="18FB40BD" w14:textId="77777777" w:rsidR="00B25E4E" w:rsidRPr="00A551AA" w:rsidRDefault="00B25E4E" w:rsidP="00B25E4E">
      <w:pPr>
        <w:pStyle w:val="Paragraphedeliste"/>
        <w:numPr>
          <w:ilvl w:val="0"/>
          <w:numId w:val="2"/>
        </w:numPr>
        <w:autoSpaceDE w:val="0"/>
        <w:autoSpaceDN w:val="0"/>
        <w:adjustRightInd w:val="0"/>
        <w:spacing w:before="200" w:after="0" w:line="264" w:lineRule="auto"/>
        <w:ind w:left="567" w:hanging="567"/>
        <w:contextualSpacing w:val="0"/>
        <w:rPr>
          <w:rFonts w:asciiTheme="minorHAnsi" w:eastAsia="Times New Roman" w:hAnsiTheme="minorHAnsi" w:cstheme="minorHAnsi"/>
          <w:b/>
          <w:color w:val="000000"/>
          <w:sz w:val="24"/>
          <w:szCs w:val="26"/>
          <w:lang w:eastAsia="fr-CA"/>
        </w:rPr>
      </w:pPr>
      <w:r w:rsidRPr="00A551AA">
        <w:rPr>
          <w:rFonts w:asciiTheme="minorHAnsi" w:eastAsia="Times New Roman" w:hAnsiTheme="minorHAnsi" w:cstheme="minorHAnsi"/>
          <w:i/>
          <w:color w:val="000000"/>
          <w:sz w:val="24"/>
          <w:szCs w:val="26"/>
          <w:lang w:eastAsia="fr-CA"/>
        </w:rPr>
        <w:lastRenderedPageBreak/>
        <w:t>Alignement avec les objectifs des politiques énergétiques</w:t>
      </w:r>
      <w:r w:rsidRPr="00A551AA">
        <w:rPr>
          <w:rFonts w:asciiTheme="minorHAnsi" w:eastAsia="Times New Roman" w:hAnsiTheme="minorHAnsi" w:cstheme="minorHAnsi"/>
          <w:color w:val="000000"/>
          <w:sz w:val="24"/>
          <w:szCs w:val="26"/>
          <w:lang w:eastAsia="fr-CA"/>
        </w:rPr>
        <w:t xml:space="preserve">: </w:t>
      </w:r>
      <w:r w:rsidR="00920592" w:rsidRPr="00A551AA">
        <w:rPr>
          <w:rFonts w:asciiTheme="minorHAnsi" w:eastAsia="Times New Roman" w:hAnsiTheme="minorHAnsi" w:cstheme="minorHAnsi"/>
          <w:color w:val="000000"/>
          <w:sz w:val="24"/>
          <w:szCs w:val="26"/>
          <w:lang w:eastAsia="fr-CA"/>
        </w:rPr>
        <w:t>lorsqu’applicable, décrire</w:t>
      </w:r>
      <w:r w:rsidRPr="00A551AA">
        <w:rPr>
          <w:rFonts w:asciiTheme="minorHAnsi" w:eastAsia="Times New Roman" w:hAnsiTheme="minorHAnsi" w:cstheme="minorHAnsi"/>
          <w:color w:val="000000"/>
          <w:sz w:val="24"/>
          <w:szCs w:val="26"/>
          <w:lang w:eastAsia="fr-CA"/>
        </w:rPr>
        <w:t xml:space="preserve"> dans quelle mesure le projet est aligné avec les objectifs des politiques énergétiques du gouvernement du Québec ou est cohérent avec ses cibles de réduction de GES.</w:t>
      </w:r>
    </w:p>
    <w:p w14:paraId="79EF5A10" w14:textId="75C589F2" w:rsidR="00B25E4E" w:rsidRPr="00A551AA" w:rsidRDefault="00B25E4E" w:rsidP="00B25E4E">
      <w:pPr>
        <w:pStyle w:val="Paragraphedeliste"/>
        <w:numPr>
          <w:ilvl w:val="0"/>
          <w:numId w:val="2"/>
        </w:numPr>
        <w:autoSpaceDE w:val="0"/>
        <w:autoSpaceDN w:val="0"/>
        <w:adjustRightInd w:val="0"/>
        <w:spacing w:before="200" w:after="0" w:line="264" w:lineRule="auto"/>
        <w:ind w:left="567" w:hanging="567"/>
        <w:contextualSpacing w:val="0"/>
        <w:rPr>
          <w:rFonts w:asciiTheme="minorHAnsi" w:eastAsia="Times New Roman" w:hAnsiTheme="minorHAnsi" w:cstheme="minorHAnsi"/>
          <w:b/>
          <w:color w:val="000000"/>
          <w:sz w:val="24"/>
          <w:szCs w:val="26"/>
          <w:lang w:eastAsia="fr-CA"/>
        </w:rPr>
      </w:pPr>
      <w:r w:rsidRPr="00A551AA">
        <w:rPr>
          <w:rFonts w:asciiTheme="minorHAnsi" w:eastAsia="Times New Roman" w:hAnsiTheme="minorHAnsi" w:cstheme="minorHAnsi"/>
          <w:i/>
          <w:color w:val="000000"/>
          <w:sz w:val="24"/>
          <w:szCs w:val="26"/>
          <w:lang w:eastAsia="fr-CA"/>
        </w:rPr>
        <w:t>BNÉ associés au projet</w:t>
      </w:r>
      <w:r w:rsidRPr="00A551AA">
        <w:rPr>
          <w:rFonts w:asciiTheme="minorHAnsi" w:eastAsia="Times New Roman" w:hAnsiTheme="minorHAnsi" w:cstheme="minorHAnsi"/>
          <w:color w:val="000000"/>
          <w:sz w:val="24"/>
          <w:szCs w:val="26"/>
          <w:lang w:eastAsia="fr-CA"/>
        </w:rPr>
        <w:t>: lorsqu’applicable, décrire les BNÉ associés au projet. Par exemple, le projet entraîne-t-il une diminution nette des émissions de GES? Le cas échéant, fournir des informations relatives à la réduction totale de GES générée par la réalisation du projet.</w:t>
      </w:r>
    </w:p>
    <w:p w14:paraId="6E5F1BFC" w14:textId="77777777" w:rsidR="00B25E4E" w:rsidRPr="00A551AA" w:rsidRDefault="00B25E4E" w:rsidP="00B25E4E">
      <w:pPr>
        <w:pStyle w:val="Paragraphedeliste"/>
        <w:numPr>
          <w:ilvl w:val="0"/>
          <w:numId w:val="2"/>
        </w:numPr>
        <w:autoSpaceDE w:val="0"/>
        <w:autoSpaceDN w:val="0"/>
        <w:adjustRightInd w:val="0"/>
        <w:spacing w:before="200" w:after="0" w:line="264" w:lineRule="auto"/>
        <w:ind w:left="567" w:hanging="567"/>
        <w:contextualSpacing w:val="0"/>
        <w:rPr>
          <w:rFonts w:asciiTheme="minorHAnsi" w:eastAsia="Times New Roman" w:hAnsiTheme="minorHAnsi" w:cstheme="minorHAnsi"/>
          <w:b/>
          <w:color w:val="000000"/>
          <w:sz w:val="24"/>
          <w:szCs w:val="26"/>
          <w:lang w:eastAsia="fr-CA"/>
        </w:rPr>
      </w:pPr>
      <w:r w:rsidRPr="00A551AA">
        <w:rPr>
          <w:rFonts w:asciiTheme="minorHAnsi" w:eastAsia="Times New Roman" w:hAnsiTheme="minorHAnsi" w:cstheme="minorHAnsi"/>
          <w:i/>
          <w:color w:val="000000"/>
          <w:sz w:val="24"/>
          <w:szCs w:val="26"/>
          <w:lang w:eastAsia="fr-CA"/>
        </w:rPr>
        <w:t>Prise en compte des BNÉ</w:t>
      </w:r>
      <w:r w:rsidRPr="00A551AA">
        <w:rPr>
          <w:rFonts w:asciiTheme="minorHAnsi" w:eastAsia="Times New Roman" w:hAnsiTheme="minorHAnsi" w:cstheme="minorHAnsi"/>
          <w:color w:val="000000"/>
          <w:sz w:val="24"/>
          <w:szCs w:val="26"/>
          <w:lang w:eastAsia="fr-CA"/>
        </w:rPr>
        <w:t> : Décrire la manière dont les BNÉ associés au projet peuvent être pris en compte et ce, selon l’une des trois approches suivantes :</w:t>
      </w:r>
    </w:p>
    <w:p w14:paraId="51C17C45" w14:textId="7390D2B4" w:rsidR="00B25E4E" w:rsidRPr="00A551AA" w:rsidRDefault="00B25E4E" w:rsidP="00B25E4E">
      <w:pPr>
        <w:pStyle w:val="Paragraphedeliste"/>
        <w:numPr>
          <w:ilvl w:val="0"/>
          <w:numId w:val="14"/>
        </w:numPr>
        <w:rPr>
          <w:rFonts w:asciiTheme="minorHAnsi" w:hAnsiTheme="minorHAnsi" w:cstheme="minorHAnsi"/>
          <w:sz w:val="24"/>
          <w:szCs w:val="24"/>
        </w:rPr>
      </w:pPr>
      <w:r w:rsidRPr="00A551AA">
        <w:rPr>
          <w:rFonts w:asciiTheme="minorHAnsi" w:hAnsiTheme="minorHAnsi" w:cstheme="minorHAnsi"/>
          <w:sz w:val="24"/>
          <w:szCs w:val="24"/>
        </w:rPr>
        <w:t xml:space="preserve">Valeur des BNÉ, telle qu’évaluée par </w:t>
      </w:r>
      <w:r w:rsidR="00B7111E">
        <w:rPr>
          <w:rFonts w:asciiTheme="minorHAnsi" w:hAnsiTheme="minorHAnsi" w:cstheme="minorHAnsi"/>
          <w:sz w:val="24"/>
          <w:szCs w:val="24"/>
        </w:rPr>
        <w:t>Intragaz</w:t>
      </w:r>
      <w:r w:rsidRPr="00A551AA">
        <w:rPr>
          <w:rFonts w:asciiTheme="minorHAnsi" w:hAnsiTheme="minorHAnsi" w:cstheme="minorHAnsi"/>
          <w:sz w:val="24"/>
          <w:szCs w:val="24"/>
        </w:rPr>
        <w:t>;</w:t>
      </w:r>
    </w:p>
    <w:p w14:paraId="06C9484C" w14:textId="77777777" w:rsidR="00B25E4E" w:rsidRPr="00A551AA" w:rsidRDefault="00B25E4E" w:rsidP="00B25E4E">
      <w:pPr>
        <w:pStyle w:val="Paragraphedeliste"/>
        <w:numPr>
          <w:ilvl w:val="0"/>
          <w:numId w:val="14"/>
        </w:numPr>
        <w:rPr>
          <w:rFonts w:asciiTheme="minorHAnsi" w:hAnsiTheme="minorHAnsi" w:cstheme="minorHAnsi"/>
          <w:sz w:val="24"/>
          <w:szCs w:val="24"/>
        </w:rPr>
      </w:pPr>
      <w:r w:rsidRPr="00A551AA">
        <w:rPr>
          <w:rFonts w:asciiTheme="minorHAnsi" w:hAnsiTheme="minorHAnsi" w:cstheme="minorHAnsi"/>
          <w:sz w:val="24"/>
          <w:szCs w:val="24"/>
        </w:rPr>
        <w:t>Un facteur d’ajustement générique pour tenir compte des BNÉ associés au projet, le cas échéant;</w:t>
      </w:r>
    </w:p>
    <w:p w14:paraId="72E74E4B" w14:textId="3C4FBC1F" w:rsidR="00B25E4E" w:rsidRPr="00A551AA" w:rsidRDefault="00B25E4E" w:rsidP="00B25E4E">
      <w:pPr>
        <w:pStyle w:val="Paragraphedeliste"/>
        <w:numPr>
          <w:ilvl w:val="0"/>
          <w:numId w:val="14"/>
        </w:numPr>
        <w:spacing w:before="200" w:after="0" w:line="264" w:lineRule="auto"/>
        <w:contextualSpacing w:val="0"/>
        <w:rPr>
          <w:rFonts w:asciiTheme="minorHAnsi" w:hAnsiTheme="minorHAnsi" w:cstheme="minorHAnsi"/>
          <w:sz w:val="24"/>
          <w:szCs w:val="24"/>
        </w:rPr>
      </w:pPr>
      <w:r w:rsidRPr="00A551AA">
        <w:rPr>
          <w:rFonts w:asciiTheme="minorHAnsi" w:hAnsiTheme="minorHAnsi" w:cstheme="minorHAnsi"/>
          <w:sz w:val="24"/>
          <w:szCs w:val="24"/>
        </w:rPr>
        <w:t xml:space="preserve">Toute autre approche </w:t>
      </w:r>
      <w:r w:rsidR="00B7111E">
        <w:rPr>
          <w:rFonts w:asciiTheme="minorHAnsi" w:hAnsiTheme="minorHAnsi" w:cstheme="minorHAnsi"/>
          <w:sz w:val="24"/>
          <w:szCs w:val="24"/>
        </w:rPr>
        <w:t>qu’Intragaz</w:t>
      </w:r>
      <w:r w:rsidR="00A0302E" w:rsidRPr="00A551AA">
        <w:rPr>
          <w:rFonts w:asciiTheme="minorHAnsi" w:hAnsiTheme="minorHAnsi" w:cstheme="minorHAnsi"/>
          <w:sz w:val="24"/>
          <w:szCs w:val="24"/>
        </w:rPr>
        <w:t xml:space="preserve"> considère pertinente.</w:t>
      </w:r>
    </w:p>
    <w:p w14:paraId="2EB3866A" w14:textId="77777777" w:rsidR="00B25E4E" w:rsidRPr="00A551AA" w:rsidRDefault="00B25E4E" w:rsidP="00B25E4E">
      <w:pPr>
        <w:pStyle w:val="Paragraphedeliste"/>
        <w:numPr>
          <w:ilvl w:val="0"/>
          <w:numId w:val="2"/>
        </w:numPr>
        <w:autoSpaceDE w:val="0"/>
        <w:autoSpaceDN w:val="0"/>
        <w:adjustRightInd w:val="0"/>
        <w:spacing w:before="200" w:after="0" w:line="264" w:lineRule="auto"/>
        <w:ind w:left="567" w:hanging="567"/>
        <w:contextualSpacing w:val="0"/>
        <w:rPr>
          <w:rFonts w:asciiTheme="minorHAnsi" w:eastAsia="Times New Roman" w:hAnsiTheme="minorHAnsi" w:cstheme="minorHAnsi"/>
          <w:b/>
          <w:color w:val="000000"/>
          <w:sz w:val="24"/>
          <w:szCs w:val="26"/>
          <w:lang w:eastAsia="fr-CA"/>
        </w:rPr>
      </w:pPr>
      <w:r w:rsidRPr="00A551AA">
        <w:rPr>
          <w:rFonts w:asciiTheme="minorHAnsi" w:eastAsia="Times New Roman" w:hAnsiTheme="minorHAnsi" w:cstheme="minorHAnsi"/>
          <w:i/>
          <w:color w:val="000000"/>
          <w:sz w:val="24"/>
          <w:szCs w:val="26"/>
          <w:lang w:eastAsia="fr-CA"/>
        </w:rPr>
        <w:t>Appui financier</w:t>
      </w:r>
      <w:r w:rsidRPr="00A551AA">
        <w:rPr>
          <w:rFonts w:asciiTheme="minorHAnsi" w:eastAsia="Times New Roman" w:hAnsiTheme="minorHAnsi" w:cstheme="minorHAnsi"/>
          <w:color w:val="000000"/>
          <w:sz w:val="24"/>
          <w:szCs w:val="26"/>
          <w:lang w:eastAsia="fr-CA"/>
        </w:rPr>
        <w:t> : Préciser si le projet a fait l’objet d’un appui financier de la part du gouvernement du Québec ou d’un autre palier de gouvernement en vue de l’atteinte de cibles climatiques ou énergétiques gouvernementales, le cas échéant.</w:t>
      </w:r>
    </w:p>
    <w:p w14:paraId="38384B07" w14:textId="77777777" w:rsidR="007B69AC" w:rsidRPr="00722E01" w:rsidRDefault="007B69AC" w:rsidP="004C7719">
      <w:pPr>
        <w:spacing w:after="0" w:line="264" w:lineRule="auto"/>
        <w:jc w:val="both"/>
        <w:rPr>
          <w:rStyle w:val="texte-courant1"/>
          <w:b/>
          <w:i/>
          <w:sz w:val="28"/>
          <w:szCs w:val="28"/>
        </w:rPr>
      </w:pPr>
    </w:p>
    <w:p w14:paraId="62A3200F" w14:textId="77777777" w:rsidR="00A805F6" w:rsidRPr="00D259D5" w:rsidRDefault="00A805F6" w:rsidP="004C7719">
      <w:pPr>
        <w:spacing w:before="200" w:after="0" w:line="264" w:lineRule="auto"/>
        <w:jc w:val="both"/>
        <w:rPr>
          <w:rStyle w:val="texte-courant1"/>
          <w:b/>
          <w:i/>
          <w:sz w:val="28"/>
          <w:szCs w:val="28"/>
          <w:lang w:val="fr-FR"/>
        </w:rPr>
      </w:pPr>
      <w:r w:rsidRPr="00D259D5">
        <w:rPr>
          <w:rStyle w:val="texte-courant1"/>
          <w:b/>
          <w:i/>
          <w:sz w:val="28"/>
          <w:szCs w:val="28"/>
          <w:lang w:val="fr-FR"/>
        </w:rPr>
        <w:t>Justification en relation avec les objectifs visés</w:t>
      </w:r>
    </w:p>
    <w:p w14:paraId="2711DB75" w14:textId="77777777" w:rsidR="00A805F6" w:rsidRDefault="00A805F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j</w:t>
      </w:r>
      <w:r w:rsidRPr="00325D53">
        <w:rPr>
          <w:rStyle w:val="texte-courant1"/>
          <w:sz w:val="24"/>
          <w:szCs w:val="24"/>
          <w:lang w:val="fr-FR"/>
        </w:rPr>
        <w:t>ustification du projet en termes techniques, économiques, r</w:t>
      </w:r>
      <w:r>
        <w:rPr>
          <w:rStyle w:val="texte-courant1"/>
          <w:sz w:val="24"/>
          <w:szCs w:val="24"/>
          <w:lang w:val="fr-FR"/>
        </w:rPr>
        <w:t>è</w:t>
      </w:r>
      <w:r w:rsidRPr="00325D53">
        <w:rPr>
          <w:rStyle w:val="texte-courant1"/>
          <w:sz w:val="24"/>
          <w:szCs w:val="24"/>
          <w:lang w:val="fr-FR"/>
        </w:rPr>
        <w:t>glementaires ou légaux, en démontrant la manière dont les o</w:t>
      </w:r>
      <w:r>
        <w:rPr>
          <w:rStyle w:val="texte-courant1"/>
          <w:sz w:val="24"/>
          <w:szCs w:val="24"/>
          <w:lang w:val="fr-FR"/>
        </w:rPr>
        <w:t>bjectifs visés seront atteints.</w:t>
      </w:r>
    </w:p>
    <w:p w14:paraId="731CE294" w14:textId="77777777" w:rsidR="002F436B" w:rsidRDefault="00A805F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j</w:t>
      </w:r>
      <w:r w:rsidRPr="00325D53">
        <w:rPr>
          <w:rStyle w:val="texte-courant1"/>
          <w:sz w:val="24"/>
          <w:szCs w:val="24"/>
          <w:lang w:val="fr-FR"/>
        </w:rPr>
        <w:t xml:space="preserve">ustification du niveau d’investissement prévu dans chaque catégorie, selon les </w:t>
      </w:r>
      <w:r>
        <w:rPr>
          <w:rStyle w:val="texte-courant1"/>
          <w:sz w:val="24"/>
          <w:szCs w:val="24"/>
          <w:lang w:val="fr-FR"/>
        </w:rPr>
        <w:t>différents éléments pertinents.</w:t>
      </w:r>
    </w:p>
    <w:p w14:paraId="3232A708" w14:textId="77777777" w:rsidR="00A551AA" w:rsidRPr="00B6464D" w:rsidRDefault="00A551AA" w:rsidP="00B6464D">
      <w:pPr>
        <w:spacing w:after="0" w:line="264" w:lineRule="auto"/>
        <w:jc w:val="both"/>
        <w:rPr>
          <w:rStyle w:val="texte-courant1"/>
          <w:b/>
          <w:i/>
          <w:sz w:val="28"/>
          <w:szCs w:val="28"/>
        </w:rPr>
      </w:pPr>
    </w:p>
    <w:p w14:paraId="02348696" w14:textId="0602BDA9" w:rsidR="00A805F6" w:rsidRPr="005540CA" w:rsidRDefault="00A805F6" w:rsidP="004C7719">
      <w:pPr>
        <w:spacing w:before="200" w:after="0" w:line="264" w:lineRule="auto"/>
        <w:jc w:val="both"/>
        <w:rPr>
          <w:rStyle w:val="texte-courant1"/>
          <w:b/>
          <w:i/>
          <w:sz w:val="28"/>
          <w:szCs w:val="28"/>
          <w:lang w:val="fr-FR"/>
        </w:rPr>
      </w:pPr>
      <w:r w:rsidRPr="005540CA">
        <w:rPr>
          <w:rStyle w:val="texte-courant1"/>
          <w:b/>
          <w:i/>
          <w:sz w:val="28"/>
          <w:szCs w:val="28"/>
          <w:lang w:val="fr-FR"/>
        </w:rPr>
        <w:t>Coûts</w:t>
      </w:r>
      <w:r w:rsidR="00765825" w:rsidRPr="005540CA">
        <w:rPr>
          <w:rStyle w:val="texte-courant1"/>
          <w:b/>
          <w:i/>
          <w:sz w:val="28"/>
          <w:szCs w:val="28"/>
          <w:lang w:val="fr-FR"/>
        </w:rPr>
        <w:t xml:space="preserve"> </w:t>
      </w:r>
    </w:p>
    <w:p w14:paraId="341BDA3F" w14:textId="1F5D184A" w:rsidR="009C70D6" w:rsidRDefault="009C70D6" w:rsidP="004C7719">
      <w:pPr>
        <w:pStyle w:val="Paragraphedeliste"/>
        <w:numPr>
          <w:ilvl w:val="0"/>
          <w:numId w:val="2"/>
        </w:numPr>
        <w:autoSpaceDE w:val="0"/>
        <w:autoSpaceDN w:val="0"/>
        <w:adjustRightInd w:val="0"/>
        <w:spacing w:before="200" w:after="0" w:line="264" w:lineRule="auto"/>
        <w:ind w:left="454"/>
        <w:contextualSpacing w:val="0"/>
        <w:rPr>
          <w:rStyle w:val="texte-courant1"/>
          <w:sz w:val="24"/>
          <w:szCs w:val="24"/>
          <w:lang w:val="fr-FR"/>
        </w:rPr>
      </w:pPr>
      <w:r w:rsidRPr="009D6EF4">
        <w:rPr>
          <w:rStyle w:val="texte-courant1"/>
          <w:sz w:val="24"/>
          <w:szCs w:val="24"/>
          <w:lang w:val="fr-FR"/>
        </w:rPr>
        <w:t>Le tableau des coûts par catégorie, incluant la contingence, les frais généraux corporatifs et les subventions, le cas échéant.</w:t>
      </w:r>
    </w:p>
    <w:p w14:paraId="2B906DBE" w14:textId="77777777" w:rsidR="009C70D6" w:rsidRPr="009D6EF4" w:rsidRDefault="009C70D6" w:rsidP="004C7719">
      <w:pPr>
        <w:pStyle w:val="Paragraphedeliste"/>
        <w:numPr>
          <w:ilvl w:val="0"/>
          <w:numId w:val="2"/>
        </w:numPr>
        <w:autoSpaceDE w:val="0"/>
        <w:autoSpaceDN w:val="0"/>
        <w:adjustRightInd w:val="0"/>
        <w:spacing w:before="200" w:after="0" w:line="264" w:lineRule="auto"/>
        <w:ind w:left="454"/>
        <w:contextualSpacing w:val="0"/>
        <w:rPr>
          <w:rStyle w:val="texte-courant1"/>
          <w:sz w:val="24"/>
          <w:szCs w:val="24"/>
          <w:lang w:val="fr-FR"/>
        </w:rPr>
      </w:pPr>
      <w:r w:rsidRPr="009D6EF4">
        <w:rPr>
          <w:rStyle w:val="texte-courant1"/>
          <w:sz w:val="24"/>
          <w:szCs w:val="24"/>
          <w:lang w:val="fr-FR"/>
        </w:rPr>
        <w:t>Le cas échéant, les coûts qui seraient encourus si le projet n’était pas réalisé (cas du statu quo).</w:t>
      </w:r>
    </w:p>
    <w:p w14:paraId="5ECEEE1C" w14:textId="77777777" w:rsidR="009C70D6" w:rsidRDefault="009C70D6" w:rsidP="004C7719">
      <w:pPr>
        <w:pStyle w:val="Paragraphedeliste"/>
        <w:numPr>
          <w:ilvl w:val="0"/>
          <w:numId w:val="2"/>
        </w:numPr>
        <w:autoSpaceDE w:val="0"/>
        <w:autoSpaceDN w:val="0"/>
        <w:adjustRightInd w:val="0"/>
        <w:spacing w:before="200" w:after="0" w:line="264" w:lineRule="auto"/>
        <w:ind w:left="454"/>
        <w:contextualSpacing w:val="0"/>
        <w:rPr>
          <w:rStyle w:val="texte-courant1"/>
          <w:sz w:val="24"/>
          <w:szCs w:val="24"/>
          <w:lang w:val="fr-FR"/>
        </w:rPr>
      </w:pPr>
      <w:r w:rsidRPr="009D6EF4">
        <w:rPr>
          <w:rStyle w:val="texte-courant1"/>
          <w:sz w:val="24"/>
          <w:szCs w:val="24"/>
          <w:lang w:val="fr-FR"/>
        </w:rPr>
        <w:t>L</w:t>
      </w:r>
      <w:r>
        <w:rPr>
          <w:rStyle w:val="texte-courant1"/>
          <w:sz w:val="24"/>
          <w:szCs w:val="24"/>
          <w:lang w:val="fr-FR"/>
        </w:rPr>
        <w:t>orsque requis par la nature et l’échéancier du projet, p</w:t>
      </w:r>
      <w:r w:rsidRPr="009D6EF4">
        <w:rPr>
          <w:rStyle w:val="texte-courant1"/>
          <w:sz w:val="24"/>
          <w:szCs w:val="24"/>
          <w:lang w:val="fr-FR"/>
        </w:rPr>
        <w:t>réciser et expliquer</w:t>
      </w:r>
      <w:r w:rsidR="00D750E5">
        <w:rPr>
          <w:rStyle w:val="texte-courant1"/>
          <w:sz w:val="24"/>
          <w:szCs w:val="24"/>
          <w:lang w:val="fr-FR"/>
        </w:rPr>
        <w:t> :</w:t>
      </w:r>
    </w:p>
    <w:p w14:paraId="43918B14" w14:textId="77777777" w:rsidR="009C70D6" w:rsidRPr="009D6EF4" w:rsidRDefault="009C70D6" w:rsidP="004C7719">
      <w:pPr>
        <w:pStyle w:val="Paragraphedeliste"/>
        <w:numPr>
          <w:ilvl w:val="0"/>
          <w:numId w:val="11"/>
        </w:numPr>
        <w:autoSpaceDE w:val="0"/>
        <w:autoSpaceDN w:val="0"/>
        <w:adjustRightInd w:val="0"/>
        <w:spacing w:before="200" w:after="0" w:line="264" w:lineRule="auto"/>
        <w:ind w:left="993" w:hanging="426"/>
        <w:contextualSpacing w:val="0"/>
        <w:rPr>
          <w:rStyle w:val="texte-courant1"/>
          <w:sz w:val="24"/>
          <w:szCs w:val="24"/>
          <w:lang w:val="fr-FR"/>
        </w:rPr>
      </w:pPr>
      <w:proofErr w:type="gramStart"/>
      <w:r w:rsidRPr="009D6EF4">
        <w:rPr>
          <w:rStyle w:val="texte-courant1"/>
          <w:sz w:val="24"/>
          <w:szCs w:val="24"/>
          <w:lang w:val="fr-FR"/>
        </w:rPr>
        <w:t>le</w:t>
      </w:r>
      <w:proofErr w:type="gramEnd"/>
      <w:r w:rsidRPr="009D6EF4">
        <w:rPr>
          <w:rStyle w:val="texte-courant1"/>
          <w:sz w:val="24"/>
          <w:szCs w:val="24"/>
          <w:lang w:val="fr-FR"/>
        </w:rPr>
        <w:t xml:space="preserve"> montant des investissements qui s’étalent sur plus d’une année.</w:t>
      </w:r>
    </w:p>
    <w:p w14:paraId="41914F1D" w14:textId="77777777" w:rsidR="009C70D6" w:rsidRPr="009D6EF4" w:rsidRDefault="009C70D6" w:rsidP="004C7719">
      <w:pPr>
        <w:pStyle w:val="Paragraphedeliste"/>
        <w:numPr>
          <w:ilvl w:val="0"/>
          <w:numId w:val="11"/>
        </w:numPr>
        <w:autoSpaceDE w:val="0"/>
        <w:autoSpaceDN w:val="0"/>
        <w:adjustRightInd w:val="0"/>
        <w:spacing w:before="200" w:after="0" w:line="264" w:lineRule="auto"/>
        <w:ind w:left="992" w:hanging="425"/>
        <w:rPr>
          <w:rStyle w:val="texte-courant1"/>
          <w:sz w:val="24"/>
          <w:szCs w:val="24"/>
          <w:lang w:val="fr-FR"/>
        </w:rPr>
      </w:pPr>
      <w:r>
        <w:rPr>
          <w:rStyle w:val="texte-courant1"/>
          <w:sz w:val="24"/>
          <w:szCs w:val="24"/>
          <w:lang w:val="fr-FR"/>
        </w:rPr>
        <w:t>l</w:t>
      </w:r>
      <w:r w:rsidRPr="009D6EF4">
        <w:rPr>
          <w:rStyle w:val="texte-courant1"/>
          <w:sz w:val="24"/>
          <w:szCs w:val="24"/>
          <w:lang w:val="fr-FR"/>
        </w:rPr>
        <w:t>es coûts du projet par étape (par exemple : avant-projet, construction, développement), par activité (par exemple : ingénierie, gestion de projet, télécommunications) et par année, en séparant les « immobilisations</w:t>
      </w:r>
      <w:r w:rsidR="00FE1656">
        <w:rPr>
          <w:rStyle w:val="texte-courant1"/>
          <w:sz w:val="24"/>
          <w:szCs w:val="24"/>
          <w:lang w:val="fr-FR"/>
        </w:rPr>
        <w:t xml:space="preserve"> </w:t>
      </w:r>
      <w:r w:rsidRPr="009D6EF4">
        <w:rPr>
          <w:rStyle w:val="texte-courant1"/>
          <w:sz w:val="24"/>
          <w:szCs w:val="24"/>
          <w:lang w:val="fr-FR"/>
        </w:rPr>
        <w:t>» et les « charges d’exploitation ». Indiquer les coûts par nature de dépenses en distinguant les frais financiers, les contingences, et les autres dépenses.</w:t>
      </w:r>
    </w:p>
    <w:p w14:paraId="7E94E4FF" w14:textId="56963729" w:rsidR="00A539A2" w:rsidRDefault="009C70D6" w:rsidP="004C7719">
      <w:pPr>
        <w:pStyle w:val="Paragraphedeliste"/>
        <w:numPr>
          <w:ilvl w:val="0"/>
          <w:numId w:val="11"/>
        </w:numPr>
        <w:autoSpaceDE w:val="0"/>
        <w:autoSpaceDN w:val="0"/>
        <w:adjustRightInd w:val="0"/>
        <w:spacing w:before="200" w:after="0" w:line="264" w:lineRule="auto"/>
        <w:ind w:left="992" w:hanging="425"/>
        <w:rPr>
          <w:rStyle w:val="texte-courant1"/>
          <w:sz w:val="24"/>
          <w:szCs w:val="24"/>
          <w:lang w:val="fr-FR"/>
        </w:rPr>
      </w:pPr>
      <w:r w:rsidRPr="009D6EF4">
        <w:rPr>
          <w:rStyle w:val="texte-courant1"/>
          <w:sz w:val="24"/>
          <w:szCs w:val="24"/>
          <w:lang w:val="fr-FR"/>
        </w:rPr>
        <w:t xml:space="preserve">Si le projet inclut des équipements majeurs récupérés ou provenant des inventaires, les informations pertinentes comme leur valeur historique, leur </w:t>
      </w:r>
      <w:r w:rsidRPr="009D6EF4">
        <w:rPr>
          <w:rStyle w:val="texte-courant1"/>
          <w:sz w:val="24"/>
          <w:szCs w:val="24"/>
          <w:lang w:val="fr-FR"/>
        </w:rPr>
        <w:lastRenderedPageBreak/>
        <w:t>valeur comptable nette, les coûts de récupération, leur durée de vie utile restante et les coûts d’équipements neufs équivalents.</w:t>
      </w:r>
    </w:p>
    <w:p w14:paraId="5BCF0AAA" w14:textId="77777777" w:rsidR="00B6464D" w:rsidRPr="00B6464D" w:rsidRDefault="00B6464D" w:rsidP="00B6464D">
      <w:pPr>
        <w:spacing w:after="0" w:line="264" w:lineRule="auto"/>
        <w:jc w:val="both"/>
        <w:rPr>
          <w:rStyle w:val="texte-courant1"/>
          <w:b/>
          <w:i/>
          <w:sz w:val="28"/>
          <w:szCs w:val="28"/>
        </w:rPr>
      </w:pPr>
    </w:p>
    <w:p w14:paraId="31220632" w14:textId="77777777" w:rsidR="00A805F6" w:rsidRPr="00B6464D" w:rsidRDefault="00243653" w:rsidP="00B6464D">
      <w:pPr>
        <w:spacing w:after="0" w:line="264" w:lineRule="auto"/>
        <w:jc w:val="both"/>
        <w:rPr>
          <w:rStyle w:val="texte-courant1"/>
          <w:b/>
          <w:i/>
          <w:sz w:val="28"/>
          <w:szCs w:val="28"/>
        </w:rPr>
      </w:pPr>
      <w:r w:rsidRPr="00B6464D">
        <w:rPr>
          <w:rStyle w:val="texte-courant1"/>
          <w:b/>
          <w:i/>
          <w:sz w:val="28"/>
          <w:szCs w:val="28"/>
        </w:rPr>
        <w:t xml:space="preserve">Étude de faisabilité économique </w:t>
      </w:r>
    </w:p>
    <w:p w14:paraId="015473E0" w14:textId="77777777"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Les principales normes ou critères techniques utilisés dans les études</w:t>
      </w:r>
      <w:r>
        <w:rPr>
          <w:rStyle w:val="texte-courant1"/>
          <w:sz w:val="24"/>
          <w:szCs w:val="24"/>
          <w:lang w:val="fr-FR"/>
        </w:rPr>
        <w:t>, ainsi que</w:t>
      </w:r>
      <w:r w:rsidR="00FE1656">
        <w:rPr>
          <w:rStyle w:val="texte-courant1"/>
          <w:sz w:val="24"/>
          <w:szCs w:val="24"/>
          <w:lang w:val="fr-FR"/>
        </w:rPr>
        <w:t xml:space="preserve"> </w:t>
      </w:r>
      <w:r w:rsidRPr="00325D53">
        <w:rPr>
          <w:rStyle w:val="texte-courant1"/>
          <w:sz w:val="24"/>
          <w:szCs w:val="24"/>
          <w:lang w:val="fr-FR"/>
        </w:rPr>
        <w:t xml:space="preserve">les analyses coûts-bénéfices ayant conduit à </w:t>
      </w:r>
      <w:r>
        <w:rPr>
          <w:rStyle w:val="texte-courant1"/>
          <w:sz w:val="24"/>
          <w:szCs w:val="24"/>
          <w:lang w:val="fr-FR"/>
        </w:rPr>
        <w:t>leur choix, s’ils sont nouveaux.</w:t>
      </w:r>
    </w:p>
    <w:p w14:paraId="1FEE0556" w14:textId="6BCD5FD8"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L’étude de faisabilité économique, incluant le calcul de la valeur actuelle nette (VAN), et le chiffrier électronique correspondant</w:t>
      </w:r>
      <w:r>
        <w:rPr>
          <w:rStyle w:val="texte-courant1"/>
          <w:sz w:val="24"/>
          <w:szCs w:val="24"/>
          <w:lang w:val="fr-FR"/>
        </w:rPr>
        <w:t>, ainsi qu’une</w:t>
      </w:r>
      <w:r w:rsidR="00FE1656">
        <w:rPr>
          <w:rStyle w:val="texte-courant1"/>
          <w:sz w:val="24"/>
          <w:szCs w:val="24"/>
          <w:lang w:val="fr-FR"/>
        </w:rPr>
        <w:t xml:space="preserve"> </w:t>
      </w:r>
      <w:r w:rsidRPr="00325D53">
        <w:rPr>
          <w:rStyle w:val="texte-courant1"/>
          <w:sz w:val="24"/>
          <w:szCs w:val="24"/>
          <w:lang w:val="fr-FR"/>
        </w:rPr>
        <w:t>analyse de sensibilité sur les principaux paramètres</w:t>
      </w:r>
      <w:r>
        <w:rPr>
          <w:rStyle w:val="texte-courant1"/>
          <w:sz w:val="24"/>
          <w:szCs w:val="24"/>
          <w:lang w:val="fr-FR"/>
        </w:rPr>
        <w:t xml:space="preserve">, incluant </w:t>
      </w:r>
      <w:r w:rsidRPr="00325D53">
        <w:rPr>
          <w:rStyle w:val="texte-courant1"/>
          <w:sz w:val="24"/>
          <w:szCs w:val="24"/>
          <w:lang w:val="fr-FR"/>
        </w:rPr>
        <w:t>une d</w:t>
      </w:r>
      <w:r>
        <w:rPr>
          <w:rStyle w:val="texte-courant1"/>
          <w:sz w:val="24"/>
          <w:szCs w:val="24"/>
          <w:lang w:val="fr-FR"/>
        </w:rPr>
        <w:t>escription du modèle d’analyse.</w:t>
      </w:r>
    </w:p>
    <w:p w14:paraId="40E2C0ED" w14:textId="77777777" w:rsidR="00B6464D" w:rsidRPr="00B6464D" w:rsidRDefault="00B6464D" w:rsidP="00B6464D">
      <w:pPr>
        <w:spacing w:after="0" w:line="264" w:lineRule="auto"/>
        <w:jc w:val="both"/>
        <w:rPr>
          <w:rStyle w:val="texte-courant1"/>
          <w:sz w:val="24"/>
          <w:szCs w:val="24"/>
          <w:lang w:val="fr-FR"/>
        </w:rPr>
      </w:pPr>
    </w:p>
    <w:p w14:paraId="094F6720" w14:textId="77777777" w:rsidR="009C70D6" w:rsidRPr="00D259D5" w:rsidRDefault="009C70D6" w:rsidP="004C7719">
      <w:pPr>
        <w:keepNext/>
        <w:autoSpaceDE w:val="0"/>
        <w:autoSpaceDN w:val="0"/>
        <w:adjustRightInd w:val="0"/>
        <w:spacing w:before="200" w:after="0" w:line="264" w:lineRule="auto"/>
        <w:jc w:val="both"/>
        <w:rPr>
          <w:rStyle w:val="texte-courant1"/>
          <w:b/>
          <w:i/>
          <w:sz w:val="28"/>
          <w:szCs w:val="28"/>
          <w:lang w:val="fr-FR"/>
        </w:rPr>
      </w:pPr>
      <w:r w:rsidRPr="00D259D5">
        <w:rPr>
          <w:rStyle w:val="texte-courant1"/>
          <w:b/>
          <w:i/>
          <w:sz w:val="28"/>
          <w:szCs w:val="28"/>
          <w:lang w:val="fr-FR"/>
        </w:rPr>
        <w:t>Liste des autorisations exigées en vertu d’autres lois</w:t>
      </w:r>
    </w:p>
    <w:p w14:paraId="4633DC0D" w14:textId="10F2BD05" w:rsidR="009C70D6" w:rsidRDefault="009C70D6" w:rsidP="004C7719">
      <w:pPr>
        <w:pStyle w:val="Paragraphedeliste"/>
        <w:keepNext/>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 xml:space="preserve">La liste des différents permis </w:t>
      </w:r>
      <w:r>
        <w:rPr>
          <w:rStyle w:val="texte-courant1"/>
          <w:sz w:val="24"/>
          <w:szCs w:val="24"/>
          <w:lang w:val="fr-FR"/>
        </w:rPr>
        <w:t xml:space="preserve">ou </w:t>
      </w:r>
      <w:r w:rsidRPr="00325D53">
        <w:rPr>
          <w:rStyle w:val="texte-courant1"/>
          <w:sz w:val="24"/>
          <w:szCs w:val="24"/>
          <w:lang w:val="fr-FR"/>
        </w:rPr>
        <w:t xml:space="preserve">autorisations requis par le </w:t>
      </w:r>
      <w:r w:rsidRPr="00E23D3B">
        <w:rPr>
          <w:rStyle w:val="texte-courant1"/>
          <w:sz w:val="24"/>
          <w:szCs w:val="24"/>
          <w:lang w:val="fr-FR"/>
        </w:rPr>
        <w:t>projet et indiquer</w:t>
      </w:r>
      <w:r w:rsidRPr="00325D53">
        <w:rPr>
          <w:rStyle w:val="texte-courant1"/>
          <w:sz w:val="24"/>
          <w:szCs w:val="24"/>
          <w:lang w:val="fr-FR"/>
        </w:rPr>
        <w:t xml:space="preserve"> ceux qui sont déjà obtenus</w:t>
      </w:r>
      <w:r>
        <w:rPr>
          <w:rStyle w:val="texte-courant1"/>
          <w:sz w:val="24"/>
          <w:szCs w:val="24"/>
          <w:lang w:val="fr-FR"/>
        </w:rPr>
        <w:t>.</w:t>
      </w:r>
    </w:p>
    <w:p w14:paraId="4B4A18D8" w14:textId="77777777" w:rsidR="00B6464D" w:rsidRDefault="00B6464D" w:rsidP="00B6464D">
      <w:pPr>
        <w:spacing w:after="0" w:line="264" w:lineRule="auto"/>
        <w:jc w:val="both"/>
        <w:rPr>
          <w:rStyle w:val="texte-courant1"/>
          <w:sz w:val="24"/>
          <w:szCs w:val="24"/>
          <w:lang w:val="fr-FR"/>
        </w:rPr>
      </w:pPr>
    </w:p>
    <w:p w14:paraId="2F3FFED4" w14:textId="77777777" w:rsidR="009C70D6" w:rsidRPr="00D259D5" w:rsidRDefault="009C70D6" w:rsidP="004C7719">
      <w:pPr>
        <w:autoSpaceDE w:val="0"/>
        <w:autoSpaceDN w:val="0"/>
        <w:adjustRightInd w:val="0"/>
        <w:spacing w:before="200" w:after="0" w:line="264" w:lineRule="auto"/>
        <w:jc w:val="both"/>
        <w:rPr>
          <w:rStyle w:val="texte-courant1"/>
          <w:b/>
          <w:i/>
          <w:sz w:val="28"/>
          <w:szCs w:val="28"/>
          <w:lang w:val="fr-FR"/>
        </w:rPr>
      </w:pPr>
      <w:r w:rsidRPr="00D259D5">
        <w:rPr>
          <w:rStyle w:val="texte-courant1"/>
          <w:b/>
          <w:i/>
          <w:sz w:val="28"/>
          <w:szCs w:val="28"/>
          <w:lang w:val="fr-FR"/>
        </w:rPr>
        <w:t>Impact sur les tarifs incluant une analyse de sensibilité</w:t>
      </w:r>
    </w:p>
    <w:p w14:paraId="451FD006" w14:textId="4CACAE54"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 xml:space="preserve">Le cas échéant, les prévisions </w:t>
      </w:r>
      <w:r w:rsidR="00EB0411">
        <w:rPr>
          <w:rStyle w:val="texte-courant1"/>
          <w:sz w:val="24"/>
          <w:szCs w:val="24"/>
          <w:lang w:val="fr-FR"/>
        </w:rPr>
        <w:t>relatives au coût de service / revenu requis</w:t>
      </w:r>
      <w:r w:rsidR="00EB0411">
        <w:rPr>
          <w:rStyle w:val="Appelnotedebasdep"/>
          <w:sz w:val="24"/>
          <w:szCs w:val="24"/>
          <w:lang w:val="fr-FR"/>
        </w:rPr>
        <w:footnoteReference w:id="8"/>
      </w:r>
      <w:r w:rsidR="00EB0411">
        <w:rPr>
          <w:rStyle w:val="texte-courant1"/>
          <w:sz w:val="24"/>
          <w:szCs w:val="24"/>
          <w:lang w:val="fr-FR"/>
        </w:rPr>
        <w:t xml:space="preserve"> </w:t>
      </w:r>
      <w:r w:rsidR="00D750E5">
        <w:rPr>
          <w:rStyle w:val="texte-courant1"/>
          <w:sz w:val="24"/>
          <w:szCs w:val="24"/>
          <w:lang w:val="fr-FR"/>
        </w:rPr>
        <w:t xml:space="preserve">découlant d’éventuelles modifications des capacités d’entreposage, de retrait et d’injection ou autre modification des caractéristiques du service d’emmagasinage </w:t>
      </w:r>
      <w:r w:rsidR="00D750E5" w:rsidRPr="00325D53">
        <w:rPr>
          <w:rStyle w:val="texte-courant1"/>
          <w:sz w:val="24"/>
          <w:szCs w:val="24"/>
          <w:lang w:val="fr-FR"/>
        </w:rPr>
        <w:t>de</w:t>
      </w:r>
      <w:r w:rsidRPr="00325D53">
        <w:rPr>
          <w:rStyle w:val="texte-courant1"/>
          <w:sz w:val="24"/>
          <w:szCs w:val="24"/>
          <w:lang w:val="fr-FR"/>
        </w:rPr>
        <w:t xml:space="preserve"> gaz naturel et les autres </w:t>
      </w:r>
      <w:r>
        <w:rPr>
          <w:rStyle w:val="texte-courant1"/>
          <w:sz w:val="24"/>
          <w:szCs w:val="24"/>
          <w:lang w:val="fr-FR"/>
        </w:rPr>
        <w:t>revenus attribuables au projet.</w:t>
      </w:r>
    </w:p>
    <w:p w14:paraId="707C5B2E" w14:textId="77777777"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 xml:space="preserve">Les hypothèses et paramètres retenus pour l’analyse économique et tarifaire, entre autres, le coût du capital, les taux </w:t>
      </w:r>
      <w:r>
        <w:rPr>
          <w:rStyle w:val="texte-courant1"/>
          <w:sz w:val="24"/>
          <w:szCs w:val="24"/>
          <w:lang w:val="fr-FR"/>
        </w:rPr>
        <w:t xml:space="preserve">d’inflation et </w:t>
      </w:r>
      <w:r w:rsidRPr="00325D53">
        <w:rPr>
          <w:rStyle w:val="texte-courant1"/>
          <w:sz w:val="24"/>
          <w:szCs w:val="24"/>
          <w:lang w:val="fr-FR"/>
        </w:rPr>
        <w:t>d’actualisation, les périodes et méthodes d’amortissement, les valeurs résiduelles, la période d’analyse, les contributions externes, les réinvestissements en capital et la valeur actuelle de ces réinvestissements. Justifier ces hypothèses et paramètres, au besoin,</w:t>
      </w:r>
      <w:r>
        <w:rPr>
          <w:rStyle w:val="texte-courant1"/>
          <w:sz w:val="24"/>
          <w:szCs w:val="24"/>
          <w:lang w:val="fr-FR"/>
        </w:rPr>
        <w:t xml:space="preserve"> en fournissant les références.</w:t>
      </w:r>
    </w:p>
    <w:p w14:paraId="6DC2EE37" w14:textId="77777777"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Fonts w:cs="Calibri"/>
          <w:color w:val="000000"/>
          <w:sz w:val="24"/>
          <w:szCs w:val="24"/>
        </w:rPr>
      </w:pPr>
      <w:r w:rsidRPr="00325D53">
        <w:rPr>
          <w:rStyle w:val="texte-courant1"/>
          <w:sz w:val="24"/>
          <w:szCs w:val="24"/>
          <w:lang w:val="fr-FR"/>
        </w:rPr>
        <w:t xml:space="preserve">Le cas échéant, </w:t>
      </w:r>
      <w:r>
        <w:rPr>
          <w:rStyle w:val="texte-courant1"/>
          <w:sz w:val="24"/>
          <w:szCs w:val="24"/>
          <w:lang w:val="fr-FR"/>
        </w:rPr>
        <w:t>l</w:t>
      </w:r>
      <w:r w:rsidRPr="007928D3">
        <w:rPr>
          <w:rFonts w:cs="Calibri"/>
          <w:color w:val="000000"/>
          <w:sz w:val="24"/>
          <w:szCs w:val="24"/>
        </w:rPr>
        <w:t>es ententes et engagements contractuels pertinents au projet, incluant les contributions financières de chaque partie concernée.</w:t>
      </w:r>
    </w:p>
    <w:p w14:paraId="6A39B395" w14:textId="1ABF9783" w:rsidR="009C70D6" w:rsidRPr="00722AAC"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b/>
          <w:i/>
          <w:sz w:val="28"/>
          <w:szCs w:val="28"/>
          <w:lang w:val="fr-FR"/>
        </w:rPr>
      </w:pPr>
      <w:r w:rsidRPr="00B70DA9">
        <w:rPr>
          <w:rStyle w:val="texte-courant1"/>
          <w:sz w:val="24"/>
          <w:szCs w:val="24"/>
          <w:lang w:val="fr-FR"/>
        </w:rPr>
        <w:t xml:space="preserve">L’analyse de l’impact sur les revenus requis ou sur les tarifs </w:t>
      </w:r>
      <w:r w:rsidR="00A551AA">
        <w:rPr>
          <w:rStyle w:val="texte-courant1"/>
          <w:sz w:val="24"/>
          <w:szCs w:val="24"/>
          <w:lang w:val="fr-FR"/>
        </w:rPr>
        <w:t>d’Intragaz</w:t>
      </w:r>
      <w:r w:rsidRPr="00B70DA9">
        <w:rPr>
          <w:rStyle w:val="texte-courant1"/>
          <w:sz w:val="24"/>
          <w:szCs w:val="24"/>
          <w:lang w:val="fr-FR"/>
        </w:rPr>
        <w:t xml:space="preserve"> et fournir celle-ci sous </w:t>
      </w:r>
      <w:r w:rsidRPr="00B70DA9">
        <w:rPr>
          <w:rFonts w:cs="Calibri"/>
          <w:color w:val="000000"/>
          <w:sz w:val="24"/>
          <w:szCs w:val="24"/>
        </w:rPr>
        <w:t>format Excel, incluant les formules lorsque possible</w:t>
      </w:r>
      <w:r w:rsidRPr="00B70DA9">
        <w:rPr>
          <w:rStyle w:val="texte-courant1"/>
          <w:sz w:val="24"/>
          <w:szCs w:val="24"/>
          <w:lang w:val="fr-FR"/>
        </w:rPr>
        <w:t>. Déposer une analyse de sensibilité sur les principaux paramètres.</w:t>
      </w:r>
    </w:p>
    <w:p w14:paraId="42AB41DB" w14:textId="538A6159" w:rsidR="009C70D6" w:rsidRPr="00B6464D" w:rsidRDefault="009C70D6" w:rsidP="00B6464D">
      <w:pPr>
        <w:spacing w:after="0" w:line="264" w:lineRule="auto"/>
        <w:jc w:val="both"/>
        <w:rPr>
          <w:rStyle w:val="texte-courant1"/>
          <w:sz w:val="24"/>
          <w:szCs w:val="24"/>
          <w:lang w:val="fr-FR"/>
        </w:rPr>
      </w:pPr>
    </w:p>
    <w:p w14:paraId="3F0A4986" w14:textId="16E9D432" w:rsidR="009C70D6" w:rsidRPr="00B70DA9" w:rsidRDefault="009C70D6" w:rsidP="00B6464D">
      <w:pPr>
        <w:keepNext/>
        <w:autoSpaceDE w:val="0"/>
        <w:autoSpaceDN w:val="0"/>
        <w:adjustRightInd w:val="0"/>
        <w:spacing w:before="200" w:after="0" w:line="264" w:lineRule="auto"/>
        <w:jc w:val="both"/>
        <w:rPr>
          <w:rStyle w:val="texte-courant1"/>
          <w:b/>
          <w:i/>
          <w:sz w:val="28"/>
          <w:szCs w:val="28"/>
          <w:lang w:val="fr-FR"/>
        </w:rPr>
      </w:pPr>
      <w:r w:rsidRPr="00B70DA9">
        <w:rPr>
          <w:rStyle w:val="texte-courant1"/>
          <w:b/>
          <w:i/>
          <w:sz w:val="28"/>
          <w:szCs w:val="28"/>
          <w:lang w:val="fr-FR"/>
        </w:rPr>
        <w:lastRenderedPageBreak/>
        <w:t xml:space="preserve">Impact sur la qualité de prestation du service </w:t>
      </w:r>
      <w:r w:rsidR="00D93EBF">
        <w:rPr>
          <w:rStyle w:val="texte-courant1"/>
          <w:b/>
          <w:i/>
          <w:sz w:val="28"/>
          <w:szCs w:val="28"/>
          <w:lang w:val="fr-FR"/>
        </w:rPr>
        <w:t>d’emmagasinage</w:t>
      </w:r>
    </w:p>
    <w:p w14:paraId="08B360CA" w14:textId="77777777" w:rsidR="009C70D6" w:rsidRDefault="009C70D6" w:rsidP="00B6464D">
      <w:pPr>
        <w:pStyle w:val="Paragraphedeliste"/>
        <w:keepNext/>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Les objectifs poursuivis par l’amélioration de la qualité et la fiabilité du service</w:t>
      </w:r>
      <w:r>
        <w:rPr>
          <w:rStyle w:val="texte-courant1"/>
          <w:sz w:val="24"/>
          <w:szCs w:val="24"/>
          <w:lang w:val="fr-FR"/>
        </w:rPr>
        <w:t xml:space="preserve">, en précisant </w:t>
      </w:r>
      <w:r w:rsidRPr="00325D53">
        <w:rPr>
          <w:rStyle w:val="texte-courant1"/>
          <w:sz w:val="24"/>
          <w:szCs w:val="24"/>
          <w:lang w:val="fr-FR"/>
        </w:rPr>
        <w:t>la contribution des investissements à l’atteinte de</w:t>
      </w:r>
      <w:r>
        <w:rPr>
          <w:rStyle w:val="texte-courant1"/>
          <w:sz w:val="24"/>
          <w:szCs w:val="24"/>
          <w:lang w:val="fr-FR"/>
        </w:rPr>
        <w:t xml:space="preserve"> ces objectifs, le cas échéant.</w:t>
      </w:r>
    </w:p>
    <w:p w14:paraId="6494E751" w14:textId="40FA2D6B" w:rsidR="009C70D6" w:rsidRDefault="009C70D6" w:rsidP="00B6464D">
      <w:pPr>
        <w:pStyle w:val="Paragraphedeliste"/>
        <w:keepNext/>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 xml:space="preserve">L’analyse de l’impact du projet sur la qualité du service, le cas échéant, </w:t>
      </w:r>
      <w:r w:rsidR="0061119C">
        <w:rPr>
          <w:rStyle w:val="texte-courant1"/>
          <w:sz w:val="24"/>
          <w:szCs w:val="24"/>
          <w:lang w:val="fr-FR"/>
        </w:rPr>
        <w:t>par site de stockage</w:t>
      </w:r>
      <w:r>
        <w:rPr>
          <w:rStyle w:val="texte-courant1"/>
          <w:sz w:val="24"/>
          <w:szCs w:val="24"/>
          <w:lang w:val="fr-FR"/>
        </w:rPr>
        <w:t>, en quantifiant cet impact lorsque possible.</w:t>
      </w:r>
    </w:p>
    <w:p w14:paraId="3F7B08A2" w14:textId="77777777" w:rsidR="009C70D6" w:rsidRDefault="009C70D6" w:rsidP="00B6464D">
      <w:pPr>
        <w:spacing w:after="0" w:line="264" w:lineRule="auto"/>
        <w:jc w:val="both"/>
        <w:rPr>
          <w:rStyle w:val="texte-courant1"/>
          <w:sz w:val="24"/>
          <w:szCs w:val="24"/>
          <w:lang w:val="fr-FR"/>
        </w:rPr>
      </w:pPr>
    </w:p>
    <w:p w14:paraId="6E071281" w14:textId="77777777" w:rsidR="009C70D6" w:rsidRPr="00D259D5" w:rsidRDefault="009C70D6" w:rsidP="004C7719">
      <w:pPr>
        <w:keepNext/>
        <w:spacing w:before="200" w:after="0" w:line="264" w:lineRule="auto"/>
        <w:jc w:val="both"/>
        <w:rPr>
          <w:rStyle w:val="texte-courant1"/>
          <w:b/>
          <w:i/>
          <w:sz w:val="28"/>
          <w:szCs w:val="28"/>
          <w:lang w:val="fr-FR"/>
        </w:rPr>
      </w:pPr>
      <w:r w:rsidRPr="00D01496">
        <w:rPr>
          <w:rStyle w:val="label-z"/>
          <w:rFonts w:cs="Calibri"/>
          <w:b/>
          <w:i/>
          <w:sz w:val="28"/>
          <w:szCs w:val="28"/>
          <w:lang w:val="fr-FR"/>
        </w:rPr>
        <w:t>A</w:t>
      </w:r>
      <w:r w:rsidRPr="00D01496">
        <w:rPr>
          <w:rStyle w:val="texte-courant1"/>
          <w:b/>
          <w:i/>
          <w:sz w:val="28"/>
          <w:szCs w:val="28"/>
          <w:lang w:val="fr-FR"/>
        </w:rPr>
        <w:t>utres solutions envisagées le cas échéant</w:t>
      </w:r>
    </w:p>
    <w:p w14:paraId="205DCF08" w14:textId="7690F955" w:rsidR="009C70D6" w:rsidRDefault="009C70D6" w:rsidP="004C7719">
      <w:pPr>
        <w:pStyle w:val="Paragraphedeliste"/>
        <w:keepNext/>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La descrip</w:t>
      </w:r>
      <w:r w:rsidRPr="00325D53">
        <w:rPr>
          <w:rStyle w:val="texte-courant1"/>
          <w:sz w:val="24"/>
          <w:szCs w:val="24"/>
          <w:lang w:val="fr-FR"/>
        </w:rPr>
        <w:t>tion des autres solutions envisagées, ainsi que le</w:t>
      </w:r>
      <w:r>
        <w:rPr>
          <w:rStyle w:val="texte-courant1"/>
          <w:sz w:val="24"/>
          <w:szCs w:val="24"/>
          <w:lang w:val="fr-FR"/>
        </w:rPr>
        <w:t>urs avantages et inconvénients.</w:t>
      </w:r>
    </w:p>
    <w:p w14:paraId="49DC3C99" w14:textId="77777777" w:rsidR="009C70D6" w:rsidRDefault="009C70D6" w:rsidP="004C7719">
      <w:pPr>
        <w:pStyle w:val="Paragraphedeliste"/>
        <w:keepNext/>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Une comparaison des</w:t>
      </w:r>
      <w:r w:rsidRPr="00325D53">
        <w:rPr>
          <w:rStyle w:val="texte-courant1"/>
          <w:sz w:val="24"/>
          <w:szCs w:val="24"/>
          <w:lang w:val="fr-FR"/>
        </w:rPr>
        <w:t xml:space="preserve"> aspects techniques et économiques, </w:t>
      </w:r>
      <w:r>
        <w:rPr>
          <w:rStyle w:val="texte-courant1"/>
          <w:sz w:val="24"/>
          <w:szCs w:val="24"/>
          <w:lang w:val="fr-FR"/>
        </w:rPr>
        <w:t>d</w:t>
      </w:r>
      <w:r w:rsidRPr="00325D53">
        <w:rPr>
          <w:rStyle w:val="texte-courant1"/>
          <w:sz w:val="24"/>
          <w:szCs w:val="24"/>
          <w:lang w:val="fr-FR"/>
        </w:rPr>
        <w:t xml:space="preserve">es coûts, </w:t>
      </w:r>
      <w:r>
        <w:rPr>
          <w:rStyle w:val="texte-courant1"/>
          <w:sz w:val="24"/>
          <w:szCs w:val="24"/>
          <w:lang w:val="fr-FR"/>
        </w:rPr>
        <w:t>d</w:t>
      </w:r>
      <w:r w:rsidRPr="00325D53">
        <w:rPr>
          <w:rStyle w:val="texte-courant1"/>
          <w:sz w:val="24"/>
          <w:szCs w:val="24"/>
          <w:lang w:val="fr-FR"/>
        </w:rPr>
        <w:t xml:space="preserve">es échéanciers, </w:t>
      </w:r>
      <w:r>
        <w:rPr>
          <w:rStyle w:val="texte-courant1"/>
          <w:sz w:val="24"/>
          <w:szCs w:val="24"/>
          <w:lang w:val="fr-FR"/>
        </w:rPr>
        <w:t>d</w:t>
      </w:r>
      <w:r w:rsidRPr="00325D53">
        <w:rPr>
          <w:rStyle w:val="texte-courant1"/>
          <w:sz w:val="24"/>
          <w:szCs w:val="24"/>
          <w:lang w:val="fr-FR"/>
        </w:rPr>
        <w:t>es impacts sur la qualité du service ainsi qu</w:t>
      </w:r>
      <w:r>
        <w:rPr>
          <w:rStyle w:val="texte-courant1"/>
          <w:sz w:val="24"/>
          <w:szCs w:val="24"/>
          <w:lang w:val="fr-FR"/>
        </w:rPr>
        <w:t xml:space="preserve">’une </w:t>
      </w:r>
      <w:r w:rsidRPr="00325D53">
        <w:rPr>
          <w:rStyle w:val="texte-courant1"/>
          <w:sz w:val="24"/>
          <w:szCs w:val="24"/>
          <w:lang w:val="fr-FR"/>
        </w:rPr>
        <w:t>évaluation des risques associés à chaque solution, selon</w:t>
      </w:r>
      <w:r>
        <w:rPr>
          <w:rStyle w:val="texte-courant1"/>
          <w:sz w:val="24"/>
          <w:szCs w:val="24"/>
          <w:lang w:val="fr-FR"/>
        </w:rPr>
        <w:t xml:space="preserve"> le niveau de détail approprié.</w:t>
      </w:r>
    </w:p>
    <w:p w14:paraId="210D997E" w14:textId="77777777"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Pr>
          <w:rStyle w:val="texte-courant1"/>
          <w:sz w:val="24"/>
          <w:szCs w:val="24"/>
          <w:lang w:val="fr-FR"/>
        </w:rPr>
        <w:t>L</w:t>
      </w:r>
      <w:r w:rsidRPr="00325D53">
        <w:rPr>
          <w:rStyle w:val="texte-courant1"/>
          <w:sz w:val="24"/>
          <w:szCs w:val="24"/>
          <w:lang w:val="fr-FR"/>
        </w:rPr>
        <w:t>es études ou analyses comparatives ayant mené au choix de la solution proposée. Présenter les paramètres économiques utilisés. Au besoin actualiser les coûts estimés lors de ces études et les c</w:t>
      </w:r>
      <w:r>
        <w:rPr>
          <w:rStyle w:val="texte-courant1"/>
          <w:sz w:val="24"/>
          <w:szCs w:val="24"/>
          <w:lang w:val="fr-FR"/>
        </w:rPr>
        <w:t>omparer à ceux du projet.</w:t>
      </w:r>
    </w:p>
    <w:p w14:paraId="21C63D6F" w14:textId="77777777" w:rsidR="009C70D6" w:rsidRDefault="009C70D6" w:rsidP="004C7719">
      <w:pPr>
        <w:pStyle w:val="Paragraphedeliste"/>
        <w:numPr>
          <w:ilvl w:val="0"/>
          <w:numId w:val="2"/>
        </w:numPr>
        <w:autoSpaceDE w:val="0"/>
        <w:autoSpaceDN w:val="0"/>
        <w:adjustRightInd w:val="0"/>
        <w:spacing w:before="200" w:after="0" w:line="264" w:lineRule="auto"/>
        <w:ind w:left="567" w:hanging="567"/>
        <w:contextualSpacing w:val="0"/>
        <w:rPr>
          <w:rStyle w:val="texte-courant1"/>
          <w:sz w:val="24"/>
          <w:szCs w:val="24"/>
          <w:lang w:val="fr-FR"/>
        </w:rPr>
      </w:pPr>
      <w:r w:rsidRPr="00325D53">
        <w:rPr>
          <w:rStyle w:val="texte-courant1"/>
          <w:sz w:val="24"/>
          <w:szCs w:val="24"/>
          <w:lang w:val="fr-FR"/>
        </w:rPr>
        <w:t xml:space="preserve">Le cas échéant, </w:t>
      </w:r>
      <w:r>
        <w:rPr>
          <w:rStyle w:val="texte-courant1"/>
          <w:sz w:val="24"/>
          <w:szCs w:val="24"/>
          <w:lang w:val="fr-FR"/>
        </w:rPr>
        <w:t>une description d</w:t>
      </w:r>
      <w:r w:rsidRPr="00325D53">
        <w:rPr>
          <w:rStyle w:val="texte-courant1"/>
          <w:sz w:val="24"/>
          <w:szCs w:val="24"/>
          <w:lang w:val="fr-FR"/>
        </w:rPr>
        <w:t xml:space="preserve">es projets pilotes réalisés et </w:t>
      </w:r>
      <w:r>
        <w:rPr>
          <w:rStyle w:val="texte-courant1"/>
          <w:sz w:val="24"/>
          <w:szCs w:val="24"/>
          <w:lang w:val="fr-FR"/>
        </w:rPr>
        <w:t>de leurs</w:t>
      </w:r>
      <w:r w:rsidRPr="00325D53">
        <w:rPr>
          <w:rStyle w:val="texte-courant1"/>
          <w:sz w:val="24"/>
          <w:szCs w:val="24"/>
          <w:lang w:val="fr-FR"/>
        </w:rPr>
        <w:t xml:space="preserve"> résultats. </w:t>
      </w:r>
    </w:p>
    <w:p w14:paraId="4D2F89D0" w14:textId="77777777" w:rsidR="00A805F6" w:rsidRDefault="00A805F6" w:rsidP="004C7719">
      <w:pPr>
        <w:pStyle w:val="Paragraphedeliste"/>
        <w:spacing w:before="200" w:after="0" w:line="264" w:lineRule="auto"/>
        <w:ind w:left="567"/>
        <w:contextualSpacing w:val="0"/>
        <w:rPr>
          <w:rStyle w:val="texte-courant1"/>
          <w:sz w:val="24"/>
          <w:szCs w:val="24"/>
          <w:lang w:val="fr-FR"/>
        </w:rPr>
      </w:pPr>
    </w:p>
    <w:p w14:paraId="33C6DD22" w14:textId="0663BFEF" w:rsidR="009C70D6" w:rsidRPr="00325D53" w:rsidRDefault="009C70D6" w:rsidP="004C7719">
      <w:pPr>
        <w:pStyle w:val="Titre2"/>
        <w:numPr>
          <w:ilvl w:val="1"/>
          <w:numId w:val="4"/>
        </w:numPr>
        <w:tabs>
          <w:tab w:val="clear" w:pos="851"/>
        </w:tabs>
        <w:spacing w:before="200" w:after="0"/>
        <w:ind w:left="426"/>
      </w:pPr>
      <w:bookmarkStart w:id="3" w:name="_Toc116640960"/>
      <w:r w:rsidRPr="005F3E35">
        <w:rPr>
          <w:rStyle w:val="texte-courant1"/>
        </w:rPr>
        <w:t xml:space="preserve">Informations requises </w:t>
      </w:r>
      <w:r>
        <w:rPr>
          <w:rStyle w:val="texte-courant1"/>
        </w:rPr>
        <w:t>au</w:t>
      </w:r>
      <w:r w:rsidRPr="005F3E35">
        <w:rPr>
          <w:rStyle w:val="texte-courant1"/>
        </w:rPr>
        <w:t xml:space="preserve"> dossier tarifaire </w:t>
      </w:r>
      <w:r>
        <w:rPr>
          <w:rStyle w:val="texte-courant1"/>
        </w:rPr>
        <w:t xml:space="preserve">quant </w:t>
      </w:r>
      <w:r w:rsidR="00D750E5">
        <w:rPr>
          <w:rStyle w:val="texte-courant1"/>
        </w:rPr>
        <w:t>aux</w:t>
      </w:r>
      <w:r>
        <w:rPr>
          <w:rStyle w:val="texte-courant1"/>
        </w:rPr>
        <w:t xml:space="preserve"> projets d’investissement</w:t>
      </w:r>
      <w:r w:rsidRPr="005F3E35">
        <w:rPr>
          <w:rStyle w:val="texte-courant1"/>
        </w:rPr>
        <w:t xml:space="preserve"> dont les coûts sont inférieurs</w:t>
      </w:r>
      <w:r>
        <w:t xml:space="preserve"> à </w:t>
      </w:r>
      <w:r w:rsidR="009A4804">
        <w:t>3,0</w:t>
      </w:r>
      <w:r>
        <w:t> M$</w:t>
      </w:r>
      <w:bookmarkEnd w:id="3"/>
    </w:p>
    <w:p w14:paraId="069AFA62" w14:textId="6FE04B2C" w:rsidR="009C70D6" w:rsidRPr="001D4822" w:rsidRDefault="00D34431" w:rsidP="00B6464D">
      <w:pPr>
        <w:pStyle w:val="Paragraphedeliste"/>
        <w:numPr>
          <w:ilvl w:val="0"/>
          <w:numId w:val="2"/>
        </w:numPr>
        <w:autoSpaceDE w:val="0"/>
        <w:autoSpaceDN w:val="0"/>
        <w:adjustRightInd w:val="0"/>
        <w:spacing w:before="200" w:after="0" w:line="264" w:lineRule="auto"/>
        <w:ind w:left="567" w:hanging="567"/>
        <w:contextualSpacing w:val="0"/>
        <w:rPr>
          <w:rFonts w:eastAsia="Times New Roman" w:cs="Calibri"/>
          <w:snapToGrid w:val="0"/>
          <w:sz w:val="24"/>
          <w:szCs w:val="24"/>
          <w:lang w:eastAsia="fr-FR" w:bidi="fr-CA"/>
        </w:rPr>
      </w:pPr>
      <w:r>
        <w:rPr>
          <w:rFonts w:eastAsia="Times New Roman" w:cs="Calibri"/>
          <w:snapToGrid w:val="0"/>
          <w:sz w:val="24"/>
          <w:szCs w:val="24"/>
          <w:lang w:eastAsia="fr-FR"/>
        </w:rPr>
        <w:t>E</w:t>
      </w:r>
      <w:r w:rsidR="00D750E5" w:rsidRPr="00D750E5">
        <w:rPr>
          <w:rFonts w:eastAsia="Times New Roman" w:cs="Calibri"/>
          <w:snapToGrid w:val="0"/>
          <w:sz w:val="24"/>
          <w:szCs w:val="24"/>
          <w:lang w:eastAsia="fr-FR"/>
        </w:rPr>
        <w:t xml:space="preserve">n tenant compte du dépôt du rapport annuel par voie administrative présentant les dépenses d’exploitation et d’immobilisation ainsi que des explications sur les écarts, présenter au dossier tarifaire </w:t>
      </w:r>
      <w:r w:rsidR="00B6464D" w:rsidRPr="00D750E5">
        <w:rPr>
          <w:rFonts w:eastAsia="Times New Roman" w:cs="Calibri"/>
          <w:snapToGrid w:val="0"/>
          <w:sz w:val="24"/>
          <w:szCs w:val="24"/>
          <w:lang w:eastAsia="fr-FR"/>
        </w:rPr>
        <w:t xml:space="preserve">en vue de modifier les tarifs d’emmagasinage de gaz naturel d’Intragaz </w:t>
      </w:r>
      <w:r w:rsidR="00B6464D">
        <w:rPr>
          <w:rFonts w:eastAsia="Times New Roman" w:cs="Calibri"/>
          <w:snapToGrid w:val="0"/>
          <w:sz w:val="24"/>
          <w:szCs w:val="24"/>
          <w:lang w:eastAsia="fr-FR"/>
        </w:rPr>
        <w:t>sur une période de</w:t>
      </w:r>
      <w:r w:rsidR="00B6464D" w:rsidRPr="00D750E5">
        <w:rPr>
          <w:rFonts w:eastAsia="Times New Roman" w:cs="Calibri"/>
          <w:snapToGrid w:val="0"/>
          <w:sz w:val="24"/>
          <w:szCs w:val="24"/>
          <w:lang w:eastAsia="fr-FR"/>
        </w:rPr>
        <w:t xml:space="preserve"> dix ans </w:t>
      </w:r>
      <w:r w:rsidR="00D750E5" w:rsidRPr="00D750E5">
        <w:rPr>
          <w:rFonts w:eastAsia="Times New Roman" w:cs="Calibri"/>
          <w:snapToGrid w:val="0"/>
          <w:sz w:val="24"/>
          <w:szCs w:val="24"/>
          <w:lang w:eastAsia="fr-FR"/>
        </w:rPr>
        <w:t>les informations requises en vue d’établir la base de tarification</w:t>
      </w:r>
      <w:r w:rsidR="00B6464D">
        <w:rPr>
          <w:rFonts w:eastAsia="Times New Roman" w:cs="Calibri"/>
          <w:snapToGrid w:val="0"/>
          <w:sz w:val="24"/>
          <w:szCs w:val="24"/>
          <w:lang w:eastAsia="fr-FR"/>
        </w:rPr>
        <w:t xml:space="preserve">, notamment </w:t>
      </w:r>
      <w:r w:rsidR="00D80193">
        <w:rPr>
          <w:rFonts w:eastAsia="Times New Roman" w:cs="Calibri"/>
          <w:snapToGrid w:val="0"/>
          <w:sz w:val="24"/>
          <w:szCs w:val="24"/>
          <w:lang w:eastAsia="fr-FR" w:bidi="fr-CA"/>
        </w:rPr>
        <w:t>les</w:t>
      </w:r>
      <w:r w:rsidR="00D80193" w:rsidRPr="007928D3">
        <w:rPr>
          <w:rFonts w:eastAsia="Times New Roman" w:cs="Calibri"/>
          <w:snapToGrid w:val="0"/>
          <w:sz w:val="24"/>
          <w:szCs w:val="24"/>
          <w:lang w:eastAsia="fr-FR" w:bidi="fr-CA"/>
        </w:rPr>
        <w:t xml:space="preserve"> additions à la base de tarification</w:t>
      </w:r>
      <w:r w:rsidR="00D80193">
        <w:rPr>
          <w:rFonts w:eastAsia="Times New Roman" w:cs="Calibri"/>
          <w:snapToGrid w:val="0"/>
          <w:sz w:val="24"/>
          <w:szCs w:val="24"/>
          <w:lang w:eastAsia="fr-FR" w:bidi="fr-CA"/>
        </w:rPr>
        <w:t>.</w:t>
      </w:r>
      <w:r w:rsidR="00D80193" w:rsidRPr="007928D3">
        <w:rPr>
          <w:rFonts w:eastAsia="Times New Roman" w:cs="Calibri"/>
          <w:snapToGrid w:val="0"/>
          <w:sz w:val="24"/>
          <w:szCs w:val="24"/>
          <w:lang w:eastAsia="fr-FR" w:bidi="fr-CA"/>
        </w:rPr>
        <w:t xml:space="preserve"> </w:t>
      </w:r>
      <w:r w:rsidR="009C70D6" w:rsidRPr="007928D3">
        <w:rPr>
          <w:rFonts w:eastAsia="Times New Roman" w:cs="Calibri"/>
          <w:snapToGrid w:val="0"/>
          <w:sz w:val="24"/>
          <w:szCs w:val="24"/>
          <w:lang w:eastAsia="fr-FR" w:bidi="fr-CA"/>
        </w:rPr>
        <w:t xml:space="preserve">Intégrer dans la description des investissements une description des actifs visés qui en reflète la nature. </w:t>
      </w:r>
    </w:p>
    <w:p w14:paraId="02842FFC" w14:textId="77777777" w:rsidR="009C70D6" w:rsidRPr="007928D3" w:rsidRDefault="009C70D6" w:rsidP="009C70D6">
      <w:pPr>
        <w:spacing w:before="200" w:after="0" w:line="264" w:lineRule="auto"/>
        <w:ind w:left="360"/>
        <w:rPr>
          <w:rFonts w:eastAsia="Times New Roman" w:cs="Calibri"/>
          <w:bCs/>
          <w:snapToGrid w:val="0"/>
          <w:sz w:val="24"/>
          <w:szCs w:val="24"/>
          <w:lang w:val="fr-FR" w:eastAsia="fr-FR" w:bidi="fr-CA"/>
        </w:rPr>
      </w:pPr>
    </w:p>
    <w:p w14:paraId="24319ABC" w14:textId="323F3FA9" w:rsidR="009C70D6" w:rsidRDefault="00A12C16" w:rsidP="00A12C16">
      <w:pPr>
        <w:pStyle w:val="Titre1"/>
        <w:tabs>
          <w:tab w:val="clear" w:pos="360"/>
          <w:tab w:val="num" w:pos="567"/>
        </w:tabs>
        <w:spacing w:before="200" w:after="0"/>
        <w:ind w:left="567" w:hanging="567"/>
      </w:pPr>
      <w:r w:rsidRPr="00A12C16">
        <w:t>Entrée en vigueur</w:t>
      </w:r>
    </w:p>
    <w:p w14:paraId="3F79FB41" w14:textId="45A8C3AE" w:rsidR="00A12C16" w:rsidRDefault="00A12C16" w:rsidP="00A12C16"/>
    <w:p w14:paraId="7667C698" w14:textId="2F7E733B" w:rsidR="00A12C16" w:rsidRPr="00A12C16" w:rsidRDefault="00A12C16" w:rsidP="00A12C16">
      <w:pPr>
        <w:pStyle w:val="Paragraphedeliste"/>
        <w:numPr>
          <w:ilvl w:val="0"/>
          <w:numId w:val="2"/>
        </w:numPr>
        <w:ind w:left="567" w:hanging="595"/>
        <w:rPr>
          <w:rFonts w:eastAsia="Times New Roman" w:cs="Calibri"/>
          <w:snapToGrid w:val="0"/>
          <w:sz w:val="24"/>
          <w:szCs w:val="24"/>
          <w:lang w:eastAsia="fr-FR"/>
        </w:rPr>
      </w:pPr>
      <w:r w:rsidRPr="00A12C16">
        <w:rPr>
          <w:rFonts w:eastAsia="Times New Roman" w:cs="Calibri"/>
          <w:snapToGrid w:val="0"/>
          <w:sz w:val="24"/>
          <w:szCs w:val="24"/>
          <w:lang w:eastAsia="fr-FR"/>
        </w:rPr>
        <w:t>Le présent Guide de d</w:t>
      </w:r>
      <w:r>
        <w:rPr>
          <w:rFonts w:eastAsia="Times New Roman" w:cs="Calibri"/>
          <w:snapToGrid w:val="0"/>
          <w:sz w:val="24"/>
          <w:szCs w:val="24"/>
          <w:lang w:eastAsia="fr-FR"/>
        </w:rPr>
        <w:t xml:space="preserve">épôt entre en vigueur </w:t>
      </w:r>
      <w:r w:rsidR="00D75690">
        <w:rPr>
          <w:rFonts w:eastAsia="Times New Roman" w:cs="Calibri"/>
          <w:snapToGrid w:val="0"/>
          <w:sz w:val="24"/>
          <w:szCs w:val="24"/>
          <w:lang w:eastAsia="fr-FR"/>
        </w:rPr>
        <w:t>le</w:t>
      </w:r>
      <w:r>
        <w:rPr>
          <w:rFonts w:eastAsia="Times New Roman" w:cs="Calibri"/>
          <w:snapToGrid w:val="0"/>
          <w:sz w:val="24"/>
          <w:szCs w:val="24"/>
          <w:lang w:eastAsia="fr-FR"/>
        </w:rPr>
        <w:t xml:space="preserve"> 11 avril 2023.</w:t>
      </w:r>
    </w:p>
    <w:sectPr w:rsidR="00A12C16" w:rsidRPr="00A12C16" w:rsidSect="00994F20">
      <w:footerReference w:type="default" r:id="rId16"/>
      <w:pgSz w:w="12242" w:h="17294"/>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87AB" w14:textId="77777777" w:rsidR="003D4EB5" w:rsidRDefault="003D4EB5" w:rsidP="00A805F6">
      <w:pPr>
        <w:spacing w:after="0" w:line="240" w:lineRule="auto"/>
      </w:pPr>
      <w:r>
        <w:separator/>
      </w:r>
    </w:p>
  </w:endnote>
  <w:endnote w:type="continuationSeparator" w:id="0">
    <w:p w14:paraId="58EFCAA7" w14:textId="77777777" w:rsidR="003D4EB5" w:rsidRDefault="003D4EB5" w:rsidP="00A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F7E89" w14:textId="6F9A2A16" w:rsidR="00C75AE7" w:rsidRPr="002777AF" w:rsidRDefault="00C75AE7" w:rsidP="00C75AE7">
    <w:pPr>
      <w:pStyle w:val="Pieddepage"/>
      <w:pBdr>
        <w:top w:val="single" w:sz="2" w:space="1" w:color="auto"/>
      </w:pBdr>
      <w:tabs>
        <w:tab w:val="clear" w:pos="4320"/>
        <w:tab w:val="clear" w:pos="8640"/>
        <w:tab w:val="center" w:pos="4536"/>
        <w:tab w:val="right" w:pos="9356"/>
      </w:tabs>
      <w:rPr>
        <w:rFonts w:cs="Calibri"/>
      </w:rPr>
    </w:pPr>
    <w:r w:rsidRPr="002777AF">
      <w:rPr>
        <w:rFonts w:cs="Calibri"/>
      </w:rPr>
      <w:t>Régie de l’énergie (</w:t>
    </w:r>
    <w:r>
      <w:rPr>
        <w:rFonts w:cs="Calibri"/>
      </w:rPr>
      <w:t>202</w:t>
    </w:r>
    <w:r w:rsidR="003F1A4F">
      <w:rPr>
        <w:rFonts w:cs="Calibri"/>
      </w:rPr>
      <w:t>3</w:t>
    </w:r>
    <w:r w:rsidR="00A43870">
      <w:rPr>
        <w:rFonts w:cs="Calibri"/>
      </w:rPr>
      <w:t>-</w:t>
    </w:r>
    <w:r w:rsidR="003F1A4F">
      <w:rPr>
        <w:rFonts w:cs="Calibri"/>
      </w:rPr>
      <w:t>0</w:t>
    </w:r>
    <w:r w:rsidR="00A52481">
      <w:rPr>
        <w:rFonts w:cs="Calibri"/>
      </w:rPr>
      <w:t>4</w:t>
    </w:r>
    <w:r w:rsidR="00A43870">
      <w:rPr>
        <w:rFonts w:cs="Calibri"/>
      </w:rPr>
      <w:t>-</w:t>
    </w:r>
    <w:r w:rsidR="00A52481">
      <w:rPr>
        <w:rFonts w:cs="Calibri"/>
      </w:rPr>
      <w:t>05</w:t>
    </w:r>
    <w:r w:rsidRPr="002777AF">
      <w:rPr>
        <w:rFonts w:cs="Calibri"/>
      </w:rPr>
      <w:t>)</w:t>
    </w:r>
    <w:r w:rsidRPr="002777AF">
      <w:rPr>
        <w:rFonts w:cs="Calibri"/>
      </w:rPr>
      <w:tab/>
    </w:r>
    <w:r w:rsidRPr="002777AF">
      <w:rPr>
        <w:rFonts w:cs="Calibri"/>
        <w:b/>
        <w:sz w:val="24"/>
      </w:rPr>
      <w:fldChar w:fldCharType="begin"/>
    </w:r>
    <w:r w:rsidRPr="002777AF">
      <w:rPr>
        <w:rFonts w:cs="Calibri"/>
        <w:b/>
        <w:sz w:val="24"/>
      </w:rPr>
      <w:instrText>PAGE   \* MERGEFORMAT</w:instrText>
    </w:r>
    <w:r w:rsidRPr="002777AF">
      <w:rPr>
        <w:rFonts w:cs="Calibri"/>
        <w:b/>
        <w:sz w:val="24"/>
      </w:rPr>
      <w:fldChar w:fldCharType="separate"/>
    </w:r>
    <w:r w:rsidR="008E4C55" w:rsidRPr="008E4C55">
      <w:rPr>
        <w:rFonts w:cs="Calibri"/>
        <w:b/>
        <w:noProof/>
        <w:sz w:val="24"/>
        <w:lang w:val="fr-FR"/>
      </w:rPr>
      <w:t>6</w:t>
    </w:r>
    <w:r w:rsidRPr="002777AF">
      <w:rPr>
        <w:rFonts w:cs="Calibri"/>
        <w:b/>
        <w:sz w:val="24"/>
      </w:rPr>
      <w:fldChar w:fldCharType="end"/>
    </w:r>
    <w:r w:rsidRPr="002777AF">
      <w:rPr>
        <w:rFonts w:cs="Calibri"/>
      </w:rPr>
      <w:tab/>
      <w:t xml:space="preserve">GUIDE DE DÉPÔT POUR </w:t>
    </w:r>
    <w:r>
      <w:rPr>
        <w:rFonts w:cs="Calibri"/>
      </w:rPr>
      <w:t>INTRAGAZ</w:t>
    </w:r>
  </w:p>
  <w:p w14:paraId="55162B5B" w14:textId="77777777" w:rsidR="00C75AE7" w:rsidRDefault="00C75A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80C6" w14:textId="77777777" w:rsidR="003D4EB5" w:rsidRDefault="003D4EB5" w:rsidP="00A805F6">
      <w:pPr>
        <w:spacing w:after="0" w:line="240" w:lineRule="auto"/>
      </w:pPr>
      <w:r>
        <w:separator/>
      </w:r>
    </w:p>
  </w:footnote>
  <w:footnote w:type="continuationSeparator" w:id="0">
    <w:p w14:paraId="50FA4C73" w14:textId="77777777" w:rsidR="003D4EB5" w:rsidRDefault="003D4EB5" w:rsidP="00A805F6">
      <w:pPr>
        <w:spacing w:after="0" w:line="240" w:lineRule="auto"/>
      </w:pPr>
      <w:r>
        <w:continuationSeparator/>
      </w:r>
    </w:p>
  </w:footnote>
  <w:footnote w:id="1">
    <w:p w14:paraId="69098BC8" w14:textId="6BC16700" w:rsidR="00502599" w:rsidRDefault="00502599" w:rsidP="00B25E4E">
      <w:pPr>
        <w:pStyle w:val="Notedebasdepage"/>
        <w:ind w:left="284" w:hanging="284"/>
      </w:pPr>
      <w:r>
        <w:rPr>
          <w:rStyle w:val="Appelnotedebasdep"/>
        </w:rPr>
        <w:footnoteRef/>
      </w:r>
      <w:r>
        <w:t xml:space="preserve"> </w:t>
      </w:r>
      <w:r w:rsidR="00B25E4E">
        <w:tab/>
      </w:r>
      <w:r>
        <w:t>Dossier R-</w:t>
      </w:r>
      <w:r w:rsidR="0099396D">
        <w:t>4189</w:t>
      </w:r>
      <w:r>
        <w:t>-</w:t>
      </w:r>
      <w:r w:rsidR="0099396D">
        <w:t>2022</w:t>
      </w:r>
      <w:r>
        <w:t xml:space="preserve">, décision </w:t>
      </w:r>
      <w:hyperlink r:id="rId1" w:history="1">
        <w:r w:rsidR="0099396D">
          <w:rPr>
            <w:rStyle w:val="Lienhypertexte"/>
          </w:rPr>
          <w:t>D-2023-005</w:t>
        </w:r>
      </w:hyperlink>
      <w:r w:rsidR="0099396D">
        <w:t>, par. 120, p.33.</w:t>
      </w:r>
    </w:p>
  </w:footnote>
  <w:footnote w:id="2">
    <w:p w14:paraId="13F641C0" w14:textId="77777777" w:rsidR="006E3CAD" w:rsidRPr="00272769" w:rsidRDefault="006E3CAD" w:rsidP="006E3CAD">
      <w:pPr>
        <w:pStyle w:val="Notedebasdepage"/>
        <w:ind w:left="284" w:hanging="284"/>
      </w:pPr>
      <w:r w:rsidRPr="00272769">
        <w:rPr>
          <w:rStyle w:val="Appelnotedebasdep"/>
        </w:rPr>
        <w:footnoteRef/>
      </w:r>
      <w:r w:rsidRPr="00272769">
        <w:t xml:space="preserve"> </w:t>
      </w:r>
      <w:r w:rsidRPr="00272769">
        <w:tab/>
        <w:t xml:space="preserve">RLRQ, chapitre </w:t>
      </w:r>
      <w:r w:rsidRPr="00744C89">
        <w:rPr>
          <w:rFonts w:cs="Calibri"/>
          <w:lang w:val="fr-FR"/>
        </w:rPr>
        <w:t>R-6.01, r. 2.</w:t>
      </w:r>
    </w:p>
  </w:footnote>
  <w:footnote w:id="3">
    <w:p w14:paraId="69452E33" w14:textId="598D3D76" w:rsidR="00502599" w:rsidRDefault="00502599" w:rsidP="00B25E4E">
      <w:pPr>
        <w:pStyle w:val="Notedebasdepage"/>
        <w:ind w:left="284" w:hanging="284"/>
      </w:pPr>
      <w:r>
        <w:rPr>
          <w:rStyle w:val="Appelnotedebasdep"/>
        </w:rPr>
        <w:footnoteRef/>
      </w:r>
      <w:r>
        <w:t xml:space="preserve"> </w:t>
      </w:r>
      <w:r w:rsidR="00B25E4E">
        <w:tab/>
      </w:r>
      <w:r>
        <w:t>Dossier R</w:t>
      </w:r>
      <w:r w:rsidR="00EB0411">
        <w:t>-</w:t>
      </w:r>
      <w:r>
        <w:t xml:space="preserve">4034-2018, ph. 1, décision </w:t>
      </w:r>
      <w:hyperlink r:id="rId2" w:anchor="page=25" w:history="1">
        <w:r w:rsidRPr="007C312F">
          <w:rPr>
            <w:rStyle w:val="Lienhypertexte"/>
          </w:rPr>
          <w:t>D-2018-155</w:t>
        </w:r>
      </w:hyperlink>
      <w:r>
        <w:t>, p. 25-26, par. 104 à 110.</w:t>
      </w:r>
    </w:p>
  </w:footnote>
  <w:footnote w:id="4">
    <w:p w14:paraId="47136BDE" w14:textId="67839265" w:rsidR="005E25A3" w:rsidRPr="001D4822" w:rsidRDefault="005E25A3" w:rsidP="001D4822">
      <w:pPr>
        <w:pStyle w:val="Notedebasdepage"/>
        <w:ind w:left="284" w:hanging="284"/>
        <w:rPr>
          <w:lang w:val="fr-FR"/>
        </w:rPr>
      </w:pPr>
      <w:r>
        <w:rPr>
          <w:rStyle w:val="Appelnotedebasdep"/>
        </w:rPr>
        <w:footnoteRef/>
      </w:r>
      <w:r>
        <w:t xml:space="preserve"> </w:t>
      </w:r>
      <w:r w:rsidR="001D4822">
        <w:tab/>
      </w:r>
      <w:r>
        <w:t xml:space="preserve">Dossier R-4157-2021, décision </w:t>
      </w:r>
      <w:hyperlink r:id="rId3" w:history="1">
        <w:r w:rsidR="00A52481" w:rsidRPr="00A52481">
          <w:rPr>
            <w:rStyle w:val="Lienhypertexte"/>
          </w:rPr>
          <w:t>D-2021-080</w:t>
        </w:r>
      </w:hyperlink>
      <w:r w:rsidR="00A52481">
        <w:t xml:space="preserve">, </w:t>
      </w:r>
      <w:r w:rsidR="00A52481" w:rsidRPr="00A52481">
        <w:t>p. 8, par. 25 et 26</w:t>
      </w:r>
      <w:r w:rsidR="001A6380">
        <w:t>.</w:t>
      </w:r>
    </w:p>
  </w:footnote>
  <w:footnote w:id="5">
    <w:p w14:paraId="67DB0476" w14:textId="359C0AAB" w:rsidR="00C165AF" w:rsidRPr="00C165AF" w:rsidRDefault="00C165AF" w:rsidP="001D4822">
      <w:pPr>
        <w:pStyle w:val="Notedebasdepage"/>
        <w:ind w:left="284" w:hanging="284"/>
      </w:pPr>
      <w:r>
        <w:rPr>
          <w:rStyle w:val="Appelnotedebasdep"/>
        </w:rPr>
        <w:footnoteRef/>
      </w:r>
      <w:r>
        <w:t xml:space="preserve"> </w:t>
      </w:r>
      <w:r w:rsidR="001D4822">
        <w:tab/>
      </w:r>
      <w:r>
        <w:t>RLRQ, chapitre R-6.01, r. 4.1</w:t>
      </w:r>
    </w:p>
  </w:footnote>
  <w:footnote w:id="6">
    <w:p w14:paraId="3B4371D1" w14:textId="70D6FC01" w:rsidR="001D4822" w:rsidRDefault="001D4822" w:rsidP="001D4822">
      <w:pPr>
        <w:pStyle w:val="Notedebasdepage"/>
        <w:ind w:left="284" w:hanging="284"/>
      </w:pPr>
      <w:r>
        <w:rPr>
          <w:rStyle w:val="Appelnotedebasdep"/>
        </w:rPr>
        <w:footnoteRef/>
      </w:r>
      <w:r>
        <w:t xml:space="preserve"> </w:t>
      </w:r>
      <w:r>
        <w:tab/>
        <w:t>RLRQ, chapitre R-6.01, r. 3.</w:t>
      </w:r>
    </w:p>
  </w:footnote>
  <w:footnote w:id="7">
    <w:p w14:paraId="1E0A575C" w14:textId="791AE86A" w:rsidR="00B25E4E" w:rsidRDefault="00B25E4E" w:rsidP="00920592">
      <w:pPr>
        <w:pStyle w:val="Notedebasdepage"/>
        <w:ind w:left="284" w:hanging="284"/>
      </w:pPr>
      <w:r>
        <w:rPr>
          <w:rStyle w:val="Appelnotedebasdep"/>
        </w:rPr>
        <w:footnoteRef/>
      </w:r>
      <w:r>
        <w:t xml:space="preserve"> </w:t>
      </w:r>
      <w:r>
        <w:tab/>
        <w:t xml:space="preserve">Voir, par exemple le Rapport de la firme Dunsky : </w:t>
      </w:r>
      <w:hyperlink r:id="rId4" w:history="1">
        <w:r w:rsidRPr="00CB765D">
          <w:rPr>
            <w:rStyle w:val="Lienhypertexte"/>
            <w:i/>
          </w:rPr>
          <w:t>Bénéfices non énergétiques (BNÉ) Orientation sur la prise en compte dans la  pratique règlementaire</w:t>
        </w:r>
      </w:hyperlink>
      <w:r w:rsidRPr="00CB765D">
        <w:rPr>
          <w:i/>
        </w:rPr>
        <w:t>, 2021</w:t>
      </w:r>
      <w:r>
        <w:t xml:space="preserve"> et la Présentation du Pr. </w:t>
      </w:r>
      <w:proofErr w:type="spellStart"/>
      <w:r>
        <w:t>Krolik</w:t>
      </w:r>
      <w:proofErr w:type="spellEnd"/>
      <w:r>
        <w:t xml:space="preserve"> : </w:t>
      </w:r>
      <w:hyperlink r:id="rId5" w:history="1">
        <w:r w:rsidRPr="004F09BC">
          <w:rPr>
            <w:rStyle w:val="Lienhypertexte"/>
            <w:i/>
          </w:rPr>
          <w:t xml:space="preserve">Les bénéfices sociaux et environnementaux dans les réseaux </w:t>
        </w:r>
        <w:r w:rsidR="00E15919" w:rsidRPr="004F09BC">
          <w:rPr>
            <w:rStyle w:val="Lienhypertexte"/>
            <w:i/>
          </w:rPr>
          <w:t>autonomes</w:t>
        </w:r>
        <w:r w:rsidRPr="004F09BC">
          <w:rPr>
            <w:rStyle w:val="Lienhypertexte"/>
            <w:i/>
          </w:rPr>
          <w:t xml:space="preserve"> du Nunavik</w:t>
        </w:r>
      </w:hyperlink>
      <w:r>
        <w:t>, septembre 2021.</w:t>
      </w:r>
    </w:p>
  </w:footnote>
  <w:footnote w:id="8">
    <w:p w14:paraId="39F0504A" w14:textId="4A4ABE5E" w:rsidR="00EB0411" w:rsidRPr="001D4822" w:rsidRDefault="00EB0411" w:rsidP="001D4822">
      <w:pPr>
        <w:pStyle w:val="Notedebasdepage"/>
        <w:ind w:left="284" w:hanging="284"/>
        <w:rPr>
          <w:lang w:val="en-CA"/>
        </w:rPr>
      </w:pPr>
      <w:r>
        <w:rPr>
          <w:rStyle w:val="Appelnotedebasdep"/>
        </w:rPr>
        <w:footnoteRef/>
      </w:r>
      <w:r>
        <w:t xml:space="preserve"> </w:t>
      </w:r>
      <w:r w:rsidR="001D4822">
        <w:tab/>
        <w:t xml:space="preserve">Décision </w:t>
      </w:r>
      <w:hyperlink r:id="rId6" w:history="1">
        <w:r w:rsidRPr="00B6464D">
          <w:rPr>
            <w:rStyle w:val="Lienhypertexte"/>
            <w:rFonts w:cs="Calibri"/>
            <w:lang w:eastAsia="fr-CA"/>
          </w:rPr>
          <w:t>D-2023-005</w:t>
        </w:r>
      </w:hyperlink>
      <w:r w:rsidR="001D4822">
        <w:rPr>
          <w:rFonts w:cs="Calibri"/>
          <w:sz w:val="24"/>
          <w:szCs w:val="24"/>
          <w:lang w:eastAsia="fr-C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1435"/>
    <w:multiLevelType w:val="hybridMultilevel"/>
    <w:tmpl w:val="2206C9F4"/>
    <w:lvl w:ilvl="0" w:tplc="34006F12">
      <w:start w:val="1"/>
      <w:numFmt w:val="decimal"/>
      <w:lvlText w:val="%1."/>
      <w:lvlJc w:val="left"/>
      <w:pPr>
        <w:ind w:left="738" w:hanging="454"/>
      </w:pPr>
      <w:rPr>
        <w:rFonts w:ascii="Calibri" w:eastAsia="Yu Mincho" w:hAnsi="Calibri" w:cs="Calibri" w:hint="default"/>
        <w:b w:val="0"/>
        <w:i w:val="0"/>
        <w:strike w:val="0"/>
        <w:sz w:val="24"/>
        <w:szCs w:val="24"/>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214474A2"/>
    <w:multiLevelType w:val="hybridMultilevel"/>
    <w:tmpl w:val="9BB88364"/>
    <w:lvl w:ilvl="0" w:tplc="4D8C7A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78C3F8F"/>
    <w:multiLevelType w:val="hybridMultilevel"/>
    <w:tmpl w:val="205CC7B8"/>
    <w:lvl w:ilvl="0" w:tplc="0C0C000F">
      <w:start w:val="1"/>
      <w:numFmt w:val="decimal"/>
      <w:lvlText w:val="%1."/>
      <w:lvlJc w:val="left"/>
      <w:pPr>
        <w:ind w:left="1428" w:hanging="360"/>
      </w:p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3" w15:restartNumberingAfterBreak="0">
    <w:nsid w:val="42D771CF"/>
    <w:multiLevelType w:val="hybridMultilevel"/>
    <w:tmpl w:val="2CB0DC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8C615AD"/>
    <w:multiLevelType w:val="hybridMultilevel"/>
    <w:tmpl w:val="713226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A491160"/>
    <w:multiLevelType w:val="hybridMultilevel"/>
    <w:tmpl w:val="A620994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A7D3DD8"/>
    <w:multiLevelType w:val="multilevel"/>
    <w:tmpl w:val="D88ACC9E"/>
    <w:lvl w:ilvl="0">
      <w:start w:val="1"/>
      <w:numFmt w:val="decimal"/>
      <w:pStyle w:val="C-1"/>
      <w:lvlText w:val="%1."/>
      <w:lvlJc w:val="left"/>
      <w:pPr>
        <w:ind w:left="1138" w:hanging="57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pStyle w:val="C-2"/>
      <w:isLgl/>
      <w:lvlText w:val="%1.%2"/>
      <w:lvlJc w:val="left"/>
      <w:pPr>
        <w:ind w:left="928"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862" w:hanging="720"/>
      </w:pPr>
      <w:rPr>
        <w:rFonts w:hint="default"/>
      </w:rPr>
    </w:lvl>
    <w:lvl w:ilvl="3">
      <w:start w:val="1"/>
      <w:numFmt w:val="decimal"/>
      <w:pStyle w:val="C-4"/>
      <w:isLgl/>
      <w:lvlText w:val="%1.%2.%3.%4"/>
      <w:lvlJc w:val="left"/>
      <w:pPr>
        <w:ind w:left="3357" w:hanging="1080"/>
      </w:pPr>
      <w:rPr>
        <w:rFonts w:hint="default"/>
        <w:i w:val="0"/>
        <w:iCs w:val="0"/>
        <w:caps w:val="0"/>
        <w:smallCaps w:val="0"/>
        <w:strike w:val="0"/>
        <w:dstrike w:val="0"/>
        <w:vanish w:val="0"/>
        <w:color w:val="000000"/>
        <w:spacing w:val="0"/>
        <w:kern w:val="0"/>
        <w:position w:val="0"/>
        <w:u w:val="none"/>
        <w:effect w:val="none"/>
        <w:vertAlign w:val="baseline"/>
        <w:em w:val="none"/>
      </w:rPr>
    </w:lvl>
    <w:lvl w:ilvl="4">
      <w:start w:val="1"/>
      <w:numFmt w:val="decimal"/>
      <w:isLgl/>
      <w:lvlText w:val="%1.%2.%3.%4.%5"/>
      <w:lvlJc w:val="left"/>
      <w:pPr>
        <w:ind w:left="3927" w:hanging="1080"/>
      </w:pPr>
      <w:rPr>
        <w:rFonts w:hint="default"/>
      </w:rPr>
    </w:lvl>
    <w:lvl w:ilvl="5">
      <w:start w:val="1"/>
      <w:numFmt w:val="decimal"/>
      <w:isLgl/>
      <w:lvlText w:val="%1.%2.%3.%4.%5.%6"/>
      <w:lvlJc w:val="left"/>
      <w:pPr>
        <w:ind w:left="4857" w:hanging="1440"/>
      </w:pPr>
      <w:rPr>
        <w:rFonts w:hint="default"/>
      </w:rPr>
    </w:lvl>
    <w:lvl w:ilvl="6">
      <w:start w:val="1"/>
      <w:numFmt w:val="decimal"/>
      <w:isLgl/>
      <w:lvlText w:val="%1.%2.%3.%4.%5.%6.%7"/>
      <w:lvlJc w:val="left"/>
      <w:pPr>
        <w:ind w:left="5427" w:hanging="1440"/>
      </w:pPr>
      <w:rPr>
        <w:rFonts w:hint="default"/>
      </w:rPr>
    </w:lvl>
    <w:lvl w:ilvl="7">
      <w:start w:val="1"/>
      <w:numFmt w:val="decimal"/>
      <w:isLgl/>
      <w:lvlText w:val="%1.%2.%3.%4.%5.%6.%7.%8"/>
      <w:lvlJc w:val="left"/>
      <w:pPr>
        <w:ind w:left="6357" w:hanging="1800"/>
      </w:pPr>
      <w:rPr>
        <w:rFonts w:hint="default"/>
      </w:rPr>
    </w:lvl>
    <w:lvl w:ilvl="8">
      <w:start w:val="1"/>
      <w:numFmt w:val="decimal"/>
      <w:isLgl/>
      <w:lvlText w:val="%1.%2.%3.%4.%5.%6.%7.%8.%9"/>
      <w:lvlJc w:val="left"/>
      <w:pPr>
        <w:ind w:left="6927" w:hanging="1800"/>
      </w:pPr>
      <w:rPr>
        <w:rFonts w:hint="default"/>
      </w:rPr>
    </w:lvl>
  </w:abstractNum>
  <w:abstractNum w:abstractNumId="7" w15:restartNumberingAfterBreak="0">
    <w:nsid w:val="5FB625A4"/>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B85359"/>
    <w:multiLevelType w:val="hybridMultilevel"/>
    <w:tmpl w:val="F0B4D9BC"/>
    <w:lvl w:ilvl="0" w:tplc="C7967CA4">
      <w:start w:val="1"/>
      <w:numFmt w:val="bullet"/>
      <w:pStyle w:val="Boulettes"/>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68891899"/>
    <w:multiLevelType w:val="hybridMultilevel"/>
    <w:tmpl w:val="83084E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0BA577D"/>
    <w:multiLevelType w:val="hybridMultilevel"/>
    <w:tmpl w:val="3F04D99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76D87C29"/>
    <w:multiLevelType w:val="hybridMultilevel"/>
    <w:tmpl w:val="22E28CEA"/>
    <w:lvl w:ilvl="0" w:tplc="59E8855C">
      <w:start w:val="1"/>
      <w:numFmt w:val="decimal"/>
      <w:lvlText w:val="%1."/>
      <w:lvlJc w:val="left"/>
      <w:pPr>
        <w:ind w:left="1616" w:hanging="454"/>
      </w:pPr>
      <w:rPr>
        <w:rFonts w:ascii="Calibri" w:eastAsia="Yu Mincho" w:hAnsi="Calibri" w:cs="Calibri" w:hint="default"/>
        <w:b w:val="0"/>
        <w:strike w:val="0"/>
      </w:rPr>
    </w:lvl>
    <w:lvl w:ilvl="1" w:tplc="0C0C0003">
      <w:start w:val="1"/>
      <w:numFmt w:val="bullet"/>
      <w:lvlText w:val="o"/>
      <w:lvlJc w:val="left"/>
      <w:pPr>
        <w:ind w:left="2242" w:hanging="360"/>
      </w:pPr>
      <w:rPr>
        <w:rFonts w:ascii="Courier New" w:hAnsi="Courier New" w:cs="Courier New" w:hint="default"/>
      </w:rPr>
    </w:lvl>
    <w:lvl w:ilvl="2" w:tplc="0C0C0005" w:tentative="1">
      <w:start w:val="1"/>
      <w:numFmt w:val="bullet"/>
      <w:lvlText w:val=""/>
      <w:lvlJc w:val="left"/>
      <w:pPr>
        <w:ind w:left="2962" w:hanging="360"/>
      </w:pPr>
      <w:rPr>
        <w:rFonts w:ascii="Wingdings" w:hAnsi="Wingdings" w:hint="default"/>
      </w:rPr>
    </w:lvl>
    <w:lvl w:ilvl="3" w:tplc="0C0C0001" w:tentative="1">
      <w:start w:val="1"/>
      <w:numFmt w:val="bullet"/>
      <w:lvlText w:val=""/>
      <w:lvlJc w:val="left"/>
      <w:pPr>
        <w:ind w:left="3682" w:hanging="360"/>
      </w:pPr>
      <w:rPr>
        <w:rFonts w:ascii="Symbol" w:hAnsi="Symbol" w:hint="default"/>
      </w:rPr>
    </w:lvl>
    <w:lvl w:ilvl="4" w:tplc="0C0C0003" w:tentative="1">
      <w:start w:val="1"/>
      <w:numFmt w:val="bullet"/>
      <w:lvlText w:val="o"/>
      <w:lvlJc w:val="left"/>
      <w:pPr>
        <w:ind w:left="4402" w:hanging="360"/>
      </w:pPr>
      <w:rPr>
        <w:rFonts w:ascii="Courier New" w:hAnsi="Courier New" w:cs="Courier New" w:hint="default"/>
      </w:rPr>
    </w:lvl>
    <w:lvl w:ilvl="5" w:tplc="0C0C0005" w:tentative="1">
      <w:start w:val="1"/>
      <w:numFmt w:val="bullet"/>
      <w:lvlText w:val=""/>
      <w:lvlJc w:val="left"/>
      <w:pPr>
        <w:ind w:left="5122" w:hanging="360"/>
      </w:pPr>
      <w:rPr>
        <w:rFonts w:ascii="Wingdings" w:hAnsi="Wingdings" w:hint="default"/>
      </w:rPr>
    </w:lvl>
    <w:lvl w:ilvl="6" w:tplc="0C0C0001" w:tentative="1">
      <w:start w:val="1"/>
      <w:numFmt w:val="bullet"/>
      <w:lvlText w:val=""/>
      <w:lvlJc w:val="left"/>
      <w:pPr>
        <w:ind w:left="5842" w:hanging="360"/>
      </w:pPr>
      <w:rPr>
        <w:rFonts w:ascii="Symbol" w:hAnsi="Symbol" w:hint="default"/>
      </w:rPr>
    </w:lvl>
    <w:lvl w:ilvl="7" w:tplc="0C0C0003" w:tentative="1">
      <w:start w:val="1"/>
      <w:numFmt w:val="bullet"/>
      <w:lvlText w:val="o"/>
      <w:lvlJc w:val="left"/>
      <w:pPr>
        <w:ind w:left="6562" w:hanging="360"/>
      </w:pPr>
      <w:rPr>
        <w:rFonts w:ascii="Courier New" w:hAnsi="Courier New" w:cs="Courier New" w:hint="default"/>
      </w:rPr>
    </w:lvl>
    <w:lvl w:ilvl="8" w:tplc="0C0C0005" w:tentative="1">
      <w:start w:val="1"/>
      <w:numFmt w:val="bullet"/>
      <w:lvlText w:val=""/>
      <w:lvlJc w:val="left"/>
      <w:pPr>
        <w:ind w:left="7282" w:hanging="360"/>
      </w:pPr>
      <w:rPr>
        <w:rFonts w:ascii="Wingdings" w:hAnsi="Wingdings" w:hint="default"/>
      </w:rPr>
    </w:lvl>
  </w:abstractNum>
  <w:abstractNum w:abstractNumId="12" w15:restartNumberingAfterBreak="0">
    <w:nsid w:val="78D25336"/>
    <w:multiLevelType w:val="hybridMultilevel"/>
    <w:tmpl w:val="93D49AC4"/>
    <w:lvl w:ilvl="0" w:tplc="17206406">
      <w:start w:val="1"/>
      <w:numFmt w:val="decimal"/>
      <w:pStyle w:val="TitreS2"/>
      <w:lvlText w:val="%1."/>
      <w:lvlJc w:val="left"/>
      <w:pPr>
        <w:tabs>
          <w:tab w:val="num" w:pos="360"/>
        </w:tabs>
        <w:ind w:left="360" w:hanging="360"/>
      </w:pPr>
    </w:lvl>
    <w:lvl w:ilvl="1" w:tplc="C3A8B0C6">
      <w:numFmt w:val="none"/>
      <w:lvlText w:val=""/>
      <w:lvlJc w:val="left"/>
      <w:pPr>
        <w:tabs>
          <w:tab w:val="num" w:pos="360"/>
        </w:tabs>
      </w:pPr>
    </w:lvl>
    <w:lvl w:ilvl="2" w:tplc="1C60063A">
      <w:numFmt w:val="none"/>
      <w:lvlText w:val=""/>
      <w:lvlJc w:val="left"/>
      <w:pPr>
        <w:tabs>
          <w:tab w:val="num" w:pos="360"/>
        </w:tabs>
      </w:pPr>
    </w:lvl>
    <w:lvl w:ilvl="3" w:tplc="412CA37A">
      <w:numFmt w:val="none"/>
      <w:lvlText w:val=""/>
      <w:lvlJc w:val="left"/>
      <w:pPr>
        <w:tabs>
          <w:tab w:val="num" w:pos="360"/>
        </w:tabs>
      </w:pPr>
    </w:lvl>
    <w:lvl w:ilvl="4" w:tplc="1848E7CA">
      <w:numFmt w:val="none"/>
      <w:lvlText w:val=""/>
      <w:lvlJc w:val="left"/>
      <w:pPr>
        <w:tabs>
          <w:tab w:val="num" w:pos="360"/>
        </w:tabs>
      </w:pPr>
    </w:lvl>
    <w:lvl w:ilvl="5" w:tplc="AD5AF086">
      <w:numFmt w:val="none"/>
      <w:lvlText w:val=""/>
      <w:lvlJc w:val="left"/>
      <w:pPr>
        <w:tabs>
          <w:tab w:val="num" w:pos="360"/>
        </w:tabs>
      </w:pPr>
    </w:lvl>
    <w:lvl w:ilvl="6" w:tplc="FE9AFAAA">
      <w:numFmt w:val="none"/>
      <w:lvlText w:val=""/>
      <w:lvlJc w:val="left"/>
      <w:pPr>
        <w:tabs>
          <w:tab w:val="num" w:pos="360"/>
        </w:tabs>
      </w:pPr>
    </w:lvl>
    <w:lvl w:ilvl="7" w:tplc="D7DA70F2">
      <w:numFmt w:val="none"/>
      <w:lvlText w:val=""/>
      <w:lvlJc w:val="left"/>
      <w:pPr>
        <w:tabs>
          <w:tab w:val="num" w:pos="360"/>
        </w:tabs>
      </w:pPr>
    </w:lvl>
    <w:lvl w:ilvl="8" w:tplc="738E7476">
      <w:numFmt w:val="none"/>
      <w:lvlText w:val=""/>
      <w:lvlJc w:val="left"/>
      <w:pPr>
        <w:tabs>
          <w:tab w:val="num" w:pos="360"/>
        </w:tabs>
      </w:pPr>
    </w:lvl>
  </w:abstractNum>
  <w:abstractNum w:abstractNumId="13" w15:restartNumberingAfterBreak="0">
    <w:nsid w:val="7AC41664"/>
    <w:multiLevelType w:val="hybridMultilevel"/>
    <w:tmpl w:val="5E0ED874"/>
    <w:lvl w:ilvl="0" w:tplc="0C0C0001">
      <w:start w:val="1"/>
      <w:numFmt w:val="bullet"/>
      <w:lvlText w:val=""/>
      <w:lvlJc w:val="left"/>
      <w:pPr>
        <w:ind w:left="2502" w:hanging="360"/>
      </w:pPr>
      <w:rPr>
        <w:rFonts w:ascii="Symbol" w:hAnsi="Symbol" w:hint="default"/>
      </w:rPr>
    </w:lvl>
    <w:lvl w:ilvl="1" w:tplc="0C0C0003" w:tentative="1">
      <w:start w:val="1"/>
      <w:numFmt w:val="bullet"/>
      <w:lvlText w:val="o"/>
      <w:lvlJc w:val="left"/>
      <w:pPr>
        <w:ind w:left="3222" w:hanging="360"/>
      </w:pPr>
      <w:rPr>
        <w:rFonts w:ascii="Courier New" w:hAnsi="Courier New" w:cs="Courier New" w:hint="default"/>
      </w:rPr>
    </w:lvl>
    <w:lvl w:ilvl="2" w:tplc="0C0C0005" w:tentative="1">
      <w:start w:val="1"/>
      <w:numFmt w:val="bullet"/>
      <w:lvlText w:val=""/>
      <w:lvlJc w:val="left"/>
      <w:pPr>
        <w:ind w:left="3942" w:hanging="360"/>
      </w:pPr>
      <w:rPr>
        <w:rFonts w:ascii="Wingdings" w:hAnsi="Wingdings" w:hint="default"/>
      </w:rPr>
    </w:lvl>
    <w:lvl w:ilvl="3" w:tplc="0C0C0001" w:tentative="1">
      <w:start w:val="1"/>
      <w:numFmt w:val="bullet"/>
      <w:lvlText w:val=""/>
      <w:lvlJc w:val="left"/>
      <w:pPr>
        <w:ind w:left="4662" w:hanging="360"/>
      </w:pPr>
      <w:rPr>
        <w:rFonts w:ascii="Symbol" w:hAnsi="Symbol" w:hint="default"/>
      </w:rPr>
    </w:lvl>
    <w:lvl w:ilvl="4" w:tplc="0C0C0003" w:tentative="1">
      <w:start w:val="1"/>
      <w:numFmt w:val="bullet"/>
      <w:lvlText w:val="o"/>
      <w:lvlJc w:val="left"/>
      <w:pPr>
        <w:ind w:left="5382" w:hanging="360"/>
      </w:pPr>
      <w:rPr>
        <w:rFonts w:ascii="Courier New" w:hAnsi="Courier New" w:cs="Courier New" w:hint="default"/>
      </w:rPr>
    </w:lvl>
    <w:lvl w:ilvl="5" w:tplc="0C0C0005" w:tentative="1">
      <w:start w:val="1"/>
      <w:numFmt w:val="bullet"/>
      <w:lvlText w:val=""/>
      <w:lvlJc w:val="left"/>
      <w:pPr>
        <w:ind w:left="6102" w:hanging="360"/>
      </w:pPr>
      <w:rPr>
        <w:rFonts w:ascii="Wingdings" w:hAnsi="Wingdings" w:hint="default"/>
      </w:rPr>
    </w:lvl>
    <w:lvl w:ilvl="6" w:tplc="0C0C0001" w:tentative="1">
      <w:start w:val="1"/>
      <w:numFmt w:val="bullet"/>
      <w:lvlText w:val=""/>
      <w:lvlJc w:val="left"/>
      <w:pPr>
        <w:ind w:left="6822" w:hanging="360"/>
      </w:pPr>
      <w:rPr>
        <w:rFonts w:ascii="Symbol" w:hAnsi="Symbol" w:hint="default"/>
      </w:rPr>
    </w:lvl>
    <w:lvl w:ilvl="7" w:tplc="0C0C0003" w:tentative="1">
      <w:start w:val="1"/>
      <w:numFmt w:val="bullet"/>
      <w:lvlText w:val="o"/>
      <w:lvlJc w:val="left"/>
      <w:pPr>
        <w:ind w:left="7542" w:hanging="360"/>
      </w:pPr>
      <w:rPr>
        <w:rFonts w:ascii="Courier New" w:hAnsi="Courier New" w:cs="Courier New" w:hint="default"/>
      </w:rPr>
    </w:lvl>
    <w:lvl w:ilvl="8" w:tplc="0C0C0005" w:tentative="1">
      <w:start w:val="1"/>
      <w:numFmt w:val="bullet"/>
      <w:lvlText w:val=""/>
      <w:lvlJc w:val="left"/>
      <w:pPr>
        <w:ind w:left="8262" w:hanging="360"/>
      </w:pPr>
      <w:rPr>
        <w:rFonts w:ascii="Wingdings" w:hAnsi="Wingdings" w:hint="default"/>
      </w:rPr>
    </w:lvl>
  </w:abstractNum>
  <w:num w:numId="1" w16cid:durableId="1338387624">
    <w:abstractNumId w:val="12"/>
  </w:num>
  <w:num w:numId="2" w16cid:durableId="786432487">
    <w:abstractNumId w:val="0"/>
  </w:num>
  <w:num w:numId="3" w16cid:durableId="676348213">
    <w:abstractNumId w:val="3"/>
  </w:num>
  <w:num w:numId="4" w16cid:durableId="2114012920">
    <w:abstractNumId w:val="7"/>
  </w:num>
  <w:num w:numId="5" w16cid:durableId="104736677">
    <w:abstractNumId w:val="10"/>
  </w:num>
  <w:num w:numId="6" w16cid:durableId="280766896">
    <w:abstractNumId w:val="1"/>
  </w:num>
  <w:num w:numId="7" w16cid:durableId="849180640">
    <w:abstractNumId w:val="8"/>
  </w:num>
  <w:num w:numId="8" w16cid:durableId="253247163">
    <w:abstractNumId w:val="4"/>
  </w:num>
  <w:num w:numId="9" w16cid:durableId="1033962523">
    <w:abstractNumId w:val="5"/>
  </w:num>
  <w:num w:numId="10" w16cid:durableId="191381490">
    <w:abstractNumId w:val="6"/>
  </w:num>
  <w:num w:numId="11" w16cid:durableId="238638722">
    <w:abstractNumId w:val="9"/>
  </w:num>
  <w:num w:numId="12" w16cid:durableId="216167509">
    <w:abstractNumId w:val="2"/>
  </w:num>
  <w:num w:numId="13" w16cid:durableId="284433262">
    <w:abstractNumId w:val="13"/>
  </w:num>
  <w:num w:numId="14" w16cid:durableId="1258369028">
    <w:abstractNumId w:val="11"/>
  </w:num>
  <w:num w:numId="15" w16cid:durableId="1429040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5F6"/>
    <w:rsid w:val="000418CA"/>
    <w:rsid w:val="0006211D"/>
    <w:rsid w:val="00064477"/>
    <w:rsid w:val="00077B77"/>
    <w:rsid w:val="0008600B"/>
    <w:rsid w:val="000D30C6"/>
    <w:rsid w:val="000F7B9B"/>
    <w:rsid w:val="001A55EB"/>
    <w:rsid w:val="001A6380"/>
    <w:rsid w:val="001D4822"/>
    <w:rsid w:val="001F3BCC"/>
    <w:rsid w:val="00200997"/>
    <w:rsid w:val="00211FD1"/>
    <w:rsid w:val="00243653"/>
    <w:rsid w:val="00251854"/>
    <w:rsid w:val="00281394"/>
    <w:rsid w:val="00281754"/>
    <w:rsid w:val="002B55B9"/>
    <w:rsid w:val="002C01E0"/>
    <w:rsid w:val="002E01E9"/>
    <w:rsid w:val="002F436B"/>
    <w:rsid w:val="002F5376"/>
    <w:rsid w:val="003149FA"/>
    <w:rsid w:val="00325A96"/>
    <w:rsid w:val="00341D90"/>
    <w:rsid w:val="0038157C"/>
    <w:rsid w:val="00381A83"/>
    <w:rsid w:val="00387463"/>
    <w:rsid w:val="00387729"/>
    <w:rsid w:val="003A736B"/>
    <w:rsid w:val="003C1197"/>
    <w:rsid w:val="003D1BD2"/>
    <w:rsid w:val="003D4EB5"/>
    <w:rsid w:val="003F1A4F"/>
    <w:rsid w:val="003F4648"/>
    <w:rsid w:val="004342CD"/>
    <w:rsid w:val="00451EE5"/>
    <w:rsid w:val="00454523"/>
    <w:rsid w:val="004779A4"/>
    <w:rsid w:val="004B414B"/>
    <w:rsid w:val="004C7719"/>
    <w:rsid w:val="004D784A"/>
    <w:rsid w:val="004D7C7F"/>
    <w:rsid w:val="004E49D0"/>
    <w:rsid w:val="004F5D1B"/>
    <w:rsid w:val="00502599"/>
    <w:rsid w:val="00531E50"/>
    <w:rsid w:val="00547DEE"/>
    <w:rsid w:val="005540CA"/>
    <w:rsid w:val="005728C7"/>
    <w:rsid w:val="005767EF"/>
    <w:rsid w:val="005A4195"/>
    <w:rsid w:val="005C6A52"/>
    <w:rsid w:val="005E25A3"/>
    <w:rsid w:val="0061119C"/>
    <w:rsid w:val="00616B4D"/>
    <w:rsid w:val="006A09B6"/>
    <w:rsid w:val="006B3144"/>
    <w:rsid w:val="006C192D"/>
    <w:rsid w:val="006E3CAD"/>
    <w:rsid w:val="006E74D5"/>
    <w:rsid w:val="00704FC9"/>
    <w:rsid w:val="00710C6A"/>
    <w:rsid w:val="00722E01"/>
    <w:rsid w:val="00765825"/>
    <w:rsid w:val="007B69AC"/>
    <w:rsid w:val="007C312F"/>
    <w:rsid w:val="007D65BA"/>
    <w:rsid w:val="007F7788"/>
    <w:rsid w:val="00870890"/>
    <w:rsid w:val="00884B18"/>
    <w:rsid w:val="008B7BF9"/>
    <w:rsid w:val="008E4C55"/>
    <w:rsid w:val="009002A9"/>
    <w:rsid w:val="00920592"/>
    <w:rsid w:val="00921457"/>
    <w:rsid w:val="00946D4B"/>
    <w:rsid w:val="00956904"/>
    <w:rsid w:val="0099396D"/>
    <w:rsid w:val="00994F20"/>
    <w:rsid w:val="009A4804"/>
    <w:rsid w:val="009A51FE"/>
    <w:rsid w:val="009A5DDD"/>
    <w:rsid w:val="009C285F"/>
    <w:rsid w:val="009C4CF2"/>
    <w:rsid w:val="009C70D6"/>
    <w:rsid w:val="009D514D"/>
    <w:rsid w:val="009E3006"/>
    <w:rsid w:val="009F07AD"/>
    <w:rsid w:val="00A0302E"/>
    <w:rsid w:val="00A12C16"/>
    <w:rsid w:val="00A43870"/>
    <w:rsid w:val="00A52481"/>
    <w:rsid w:val="00A539A2"/>
    <w:rsid w:val="00A551AA"/>
    <w:rsid w:val="00A75C5A"/>
    <w:rsid w:val="00A805F6"/>
    <w:rsid w:val="00A93448"/>
    <w:rsid w:val="00AB2148"/>
    <w:rsid w:val="00AB77A4"/>
    <w:rsid w:val="00AC41A8"/>
    <w:rsid w:val="00B114E7"/>
    <w:rsid w:val="00B20EFC"/>
    <w:rsid w:val="00B2280C"/>
    <w:rsid w:val="00B25E4E"/>
    <w:rsid w:val="00B44143"/>
    <w:rsid w:val="00B562E2"/>
    <w:rsid w:val="00B6464D"/>
    <w:rsid w:val="00B7111E"/>
    <w:rsid w:val="00BB5CA7"/>
    <w:rsid w:val="00BC2A39"/>
    <w:rsid w:val="00BD6706"/>
    <w:rsid w:val="00BE346C"/>
    <w:rsid w:val="00BE5FE2"/>
    <w:rsid w:val="00BE6B31"/>
    <w:rsid w:val="00C11D76"/>
    <w:rsid w:val="00C165AF"/>
    <w:rsid w:val="00C5217F"/>
    <w:rsid w:val="00C53A9C"/>
    <w:rsid w:val="00C75AE7"/>
    <w:rsid w:val="00CC19A0"/>
    <w:rsid w:val="00D34431"/>
    <w:rsid w:val="00D459AD"/>
    <w:rsid w:val="00D625DB"/>
    <w:rsid w:val="00D750E5"/>
    <w:rsid w:val="00D75690"/>
    <w:rsid w:val="00D80193"/>
    <w:rsid w:val="00D93EBF"/>
    <w:rsid w:val="00DC5B83"/>
    <w:rsid w:val="00DF3177"/>
    <w:rsid w:val="00E15919"/>
    <w:rsid w:val="00E203F3"/>
    <w:rsid w:val="00E24F94"/>
    <w:rsid w:val="00E43237"/>
    <w:rsid w:val="00E53CE9"/>
    <w:rsid w:val="00EB0411"/>
    <w:rsid w:val="00ED182A"/>
    <w:rsid w:val="00EF2A2C"/>
    <w:rsid w:val="00F500DB"/>
    <w:rsid w:val="00F610DD"/>
    <w:rsid w:val="00F635F7"/>
    <w:rsid w:val="00F66367"/>
    <w:rsid w:val="00F846CF"/>
    <w:rsid w:val="00F90571"/>
    <w:rsid w:val="00F97643"/>
    <w:rsid w:val="00FB1725"/>
    <w:rsid w:val="00FB2B9D"/>
    <w:rsid w:val="00FD684E"/>
    <w:rsid w:val="00FE1656"/>
    <w:rsid w:val="00FF61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FA0020"/>
  <w15:chartTrackingRefBased/>
  <w15:docId w15:val="{19798CA3-6EC4-4453-994F-596DF23F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S2"/>
    <w:next w:val="Normal"/>
    <w:link w:val="Titre1Car"/>
    <w:uiPriority w:val="9"/>
    <w:qFormat/>
    <w:rsid w:val="00A805F6"/>
    <w:pPr>
      <w:spacing w:before="60" w:after="60"/>
      <w:outlineLvl w:val="0"/>
    </w:pPr>
    <w:rPr>
      <w:rFonts w:cs="Calibri"/>
      <w:sz w:val="36"/>
      <w:szCs w:val="36"/>
    </w:rPr>
  </w:style>
  <w:style w:type="paragraph" w:styleId="Titre2">
    <w:name w:val="heading 2"/>
    <w:basedOn w:val="Normal"/>
    <w:next w:val="Normal"/>
    <w:link w:val="Titre2Car"/>
    <w:uiPriority w:val="9"/>
    <w:unhideWhenUsed/>
    <w:qFormat/>
    <w:rsid w:val="00A805F6"/>
    <w:pPr>
      <w:tabs>
        <w:tab w:val="left" w:pos="851"/>
      </w:tabs>
      <w:spacing w:before="60" w:after="60" w:line="264" w:lineRule="auto"/>
      <w:ind w:left="851" w:hanging="851"/>
      <w:jc w:val="both"/>
      <w:outlineLvl w:val="1"/>
    </w:pPr>
    <w:rPr>
      <w:rFonts w:ascii="Calibri" w:eastAsia="Yu Mincho" w:hAnsi="Calibri" w:cs="Calibri"/>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05F6"/>
    <w:rPr>
      <w:rFonts w:ascii="Calibri" w:eastAsia="Yu Mincho" w:hAnsi="Calibri" w:cs="Calibri"/>
      <w:b/>
      <w:bCs/>
      <w:sz w:val="36"/>
      <w:szCs w:val="36"/>
    </w:rPr>
  </w:style>
  <w:style w:type="character" w:customStyle="1" w:styleId="Titre2Car">
    <w:name w:val="Titre 2 Car"/>
    <w:basedOn w:val="Policepardfaut"/>
    <w:link w:val="Titre2"/>
    <w:uiPriority w:val="9"/>
    <w:rsid w:val="00A805F6"/>
    <w:rPr>
      <w:rFonts w:ascii="Calibri" w:eastAsia="Yu Mincho" w:hAnsi="Calibri" w:cs="Calibri"/>
      <w:b/>
      <w:bCs/>
      <w:sz w:val="32"/>
      <w:szCs w:val="32"/>
    </w:rPr>
  </w:style>
  <w:style w:type="character" w:styleId="Lienhypertexte">
    <w:name w:val="Hyperlink"/>
    <w:uiPriority w:val="99"/>
    <w:unhideWhenUsed/>
    <w:rsid w:val="00A805F6"/>
    <w:rPr>
      <w:color w:val="0000FF"/>
      <w:u w:val="single"/>
    </w:rPr>
  </w:style>
  <w:style w:type="character" w:customStyle="1" w:styleId="texte-courant1">
    <w:name w:val="texte-courant1"/>
    <w:rsid w:val="00A805F6"/>
  </w:style>
  <w:style w:type="paragraph" w:styleId="Paragraphedeliste">
    <w:name w:val="List Paragraph"/>
    <w:aliases w:val="Puces point rond"/>
    <w:basedOn w:val="Normal"/>
    <w:link w:val="ParagraphedelisteCar"/>
    <w:uiPriority w:val="34"/>
    <w:qFormat/>
    <w:rsid w:val="00A805F6"/>
    <w:pPr>
      <w:spacing w:after="200" w:line="276" w:lineRule="auto"/>
      <w:ind w:left="720"/>
      <w:contextualSpacing/>
      <w:jc w:val="both"/>
    </w:pPr>
    <w:rPr>
      <w:rFonts w:ascii="Calibri" w:eastAsia="Yu Mincho" w:hAnsi="Calibri" w:cs="Arial"/>
      <w:sz w:val="20"/>
      <w:szCs w:val="20"/>
    </w:rPr>
  </w:style>
  <w:style w:type="character" w:customStyle="1" w:styleId="label-z">
    <w:name w:val="label-z"/>
    <w:basedOn w:val="Policepardfaut"/>
    <w:rsid w:val="00A805F6"/>
  </w:style>
  <w:style w:type="character" w:styleId="Marquedecommentaire">
    <w:name w:val="annotation reference"/>
    <w:uiPriority w:val="99"/>
    <w:semiHidden/>
    <w:unhideWhenUsed/>
    <w:rsid w:val="00A805F6"/>
    <w:rPr>
      <w:sz w:val="16"/>
      <w:szCs w:val="16"/>
    </w:rPr>
  </w:style>
  <w:style w:type="paragraph" w:styleId="Commentaire">
    <w:name w:val="annotation text"/>
    <w:basedOn w:val="Normal"/>
    <w:link w:val="CommentaireCar"/>
    <w:uiPriority w:val="99"/>
    <w:unhideWhenUsed/>
    <w:rsid w:val="00A805F6"/>
    <w:pPr>
      <w:spacing w:after="200" w:line="240" w:lineRule="auto"/>
      <w:jc w:val="both"/>
    </w:pPr>
    <w:rPr>
      <w:rFonts w:ascii="Calibri" w:eastAsia="Yu Mincho" w:hAnsi="Calibri" w:cs="Arial"/>
      <w:sz w:val="20"/>
      <w:szCs w:val="20"/>
    </w:rPr>
  </w:style>
  <w:style w:type="character" w:customStyle="1" w:styleId="CommentaireCar">
    <w:name w:val="Commentaire Car"/>
    <w:basedOn w:val="Policepardfaut"/>
    <w:link w:val="Commentaire"/>
    <w:uiPriority w:val="99"/>
    <w:rsid w:val="00A805F6"/>
    <w:rPr>
      <w:rFonts w:ascii="Calibri" w:eastAsia="Yu Mincho" w:hAnsi="Calibri" w:cs="Arial"/>
      <w:sz w:val="20"/>
      <w:szCs w:val="20"/>
    </w:rPr>
  </w:style>
  <w:style w:type="paragraph" w:styleId="Notedebasdepage">
    <w:name w:val="footnote text"/>
    <w:aliases w:val=" Car,Car"/>
    <w:basedOn w:val="Normal"/>
    <w:link w:val="NotedebasdepageCar"/>
    <w:uiPriority w:val="99"/>
    <w:unhideWhenUsed/>
    <w:qFormat/>
    <w:rsid w:val="00A805F6"/>
    <w:pPr>
      <w:spacing w:after="0" w:line="240" w:lineRule="auto"/>
      <w:jc w:val="both"/>
    </w:pPr>
    <w:rPr>
      <w:rFonts w:ascii="Calibri" w:eastAsia="Yu Mincho" w:hAnsi="Calibri" w:cs="Arial"/>
      <w:sz w:val="20"/>
      <w:szCs w:val="20"/>
    </w:rPr>
  </w:style>
  <w:style w:type="character" w:customStyle="1" w:styleId="NotedebasdepageCar">
    <w:name w:val="Note de bas de page Car"/>
    <w:aliases w:val=" Car Car,Car Car"/>
    <w:basedOn w:val="Policepardfaut"/>
    <w:link w:val="Notedebasdepage"/>
    <w:uiPriority w:val="99"/>
    <w:rsid w:val="00A805F6"/>
    <w:rPr>
      <w:rFonts w:ascii="Calibri" w:eastAsia="Yu Mincho" w:hAnsi="Calibri" w:cs="Arial"/>
      <w:sz w:val="20"/>
      <w:szCs w:val="20"/>
    </w:rPr>
  </w:style>
  <w:style w:type="character" w:styleId="Appelnotedebasdep">
    <w:name w:val="footnote reference"/>
    <w:aliases w:val="o,fr,Style 13,Style 12,Style 15,Style 17,Style 9,o1,fr1,o2,fr2,o3,fr3,Style 18,(NECG) Footnote Reference,Style 20,Style 7,Styl"/>
    <w:uiPriority w:val="99"/>
    <w:unhideWhenUsed/>
    <w:rsid w:val="00A805F6"/>
    <w:rPr>
      <w:vertAlign w:val="superscript"/>
    </w:rPr>
  </w:style>
  <w:style w:type="paragraph" w:customStyle="1" w:styleId="TitreS2">
    <w:name w:val="Titre S2"/>
    <w:basedOn w:val="Normal"/>
    <w:link w:val="TitreS2Car"/>
    <w:rsid w:val="00A805F6"/>
    <w:pPr>
      <w:numPr>
        <w:numId w:val="1"/>
      </w:numPr>
      <w:spacing w:after="120" w:line="264" w:lineRule="auto"/>
      <w:jc w:val="both"/>
    </w:pPr>
    <w:rPr>
      <w:rFonts w:ascii="Calibri" w:eastAsia="Yu Mincho" w:hAnsi="Calibri" w:cs="Arial"/>
      <w:b/>
      <w:bCs/>
      <w:sz w:val="32"/>
      <w:szCs w:val="32"/>
    </w:rPr>
  </w:style>
  <w:style w:type="character" w:customStyle="1" w:styleId="TitreS2Car">
    <w:name w:val="Titre S2 Car"/>
    <w:link w:val="TitreS2"/>
    <w:rsid w:val="00A805F6"/>
    <w:rPr>
      <w:rFonts w:ascii="Calibri" w:eastAsia="Yu Mincho" w:hAnsi="Calibri" w:cs="Arial"/>
      <w:b/>
      <w:bCs/>
      <w:sz w:val="32"/>
      <w:szCs w:val="32"/>
    </w:rPr>
  </w:style>
  <w:style w:type="paragraph" w:styleId="Textedebulles">
    <w:name w:val="Balloon Text"/>
    <w:basedOn w:val="Normal"/>
    <w:link w:val="TextedebullesCar"/>
    <w:uiPriority w:val="99"/>
    <w:semiHidden/>
    <w:unhideWhenUsed/>
    <w:rsid w:val="00A805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05F6"/>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B114E7"/>
    <w:pPr>
      <w:spacing w:after="160"/>
      <w:jc w:val="left"/>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B114E7"/>
    <w:rPr>
      <w:rFonts w:ascii="Calibri" w:eastAsia="Yu Mincho" w:hAnsi="Calibri" w:cs="Arial"/>
      <w:b/>
      <w:bCs/>
      <w:sz w:val="20"/>
      <w:szCs w:val="20"/>
    </w:rPr>
  </w:style>
  <w:style w:type="character" w:customStyle="1" w:styleId="ParagraphedelisteCar">
    <w:name w:val="Paragraphe de liste Car"/>
    <w:aliases w:val="Puces point rond Car"/>
    <w:link w:val="Paragraphedeliste"/>
    <w:uiPriority w:val="34"/>
    <w:rsid w:val="002C01E0"/>
    <w:rPr>
      <w:rFonts w:ascii="Calibri" w:eastAsia="Yu Mincho" w:hAnsi="Calibri" w:cs="Arial"/>
      <w:sz w:val="20"/>
      <w:szCs w:val="20"/>
    </w:rPr>
  </w:style>
  <w:style w:type="character" w:styleId="Lienhypertextesuivivisit">
    <w:name w:val="FollowedHyperlink"/>
    <w:basedOn w:val="Policepardfaut"/>
    <w:uiPriority w:val="99"/>
    <w:semiHidden/>
    <w:unhideWhenUsed/>
    <w:rsid w:val="009C4CF2"/>
    <w:rPr>
      <w:color w:val="954F72" w:themeColor="followedHyperlink"/>
      <w:u w:val="single"/>
    </w:rPr>
  </w:style>
  <w:style w:type="paragraph" w:customStyle="1" w:styleId="Boulettes">
    <w:name w:val="Boulettes"/>
    <w:basedOn w:val="Normal"/>
    <w:rsid w:val="007B69AC"/>
    <w:pPr>
      <w:numPr>
        <w:numId w:val="7"/>
      </w:numPr>
      <w:tabs>
        <w:tab w:val="right" w:pos="851"/>
      </w:tabs>
      <w:spacing w:after="200" w:line="276" w:lineRule="auto"/>
      <w:jc w:val="both"/>
    </w:pPr>
    <w:rPr>
      <w:rFonts w:ascii="Calibri" w:eastAsia="Yu Mincho" w:hAnsi="Calibri" w:cs="Arial"/>
      <w:bCs/>
      <w:sz w:val="20"/>
      <w:szCs w:val="24"/>
    </w:rPr>
  </w:style>
  <w:style w:type="paragraph" w:customStyle="1" w:styleId="C-1">
    <w:name w:val="C-1"/>
    <w:basedOn w:val="Normal"/>
    <w:rsid w:val="009C70D6"/>
    <w:pPr>
      <w:numPr>
        <w:numId w:val="10"/>
      </w:numPr>
      <w:tabs>
        <w:tab w:val="left" w:pos="567"/>
        <w:tab w:val="left" w:pos="851"/>
        <w:tab w:val="left" w:pos="1134"/>
        <w:tab w:val="left" w:pos="1701"/>
      </w:tabs>
      <w:spacing w:after="120" w:line="276" w:lineRule="auto"/>
      <w:jc w:val="both"/>
    </w:pPr>
    <w:rPr>
      <w:rFonts w:ascii="Calibri" w:eastAsia="Yu Mincho" w:hAnsi="Calibri" w:cs="Arial"/>
      <w:b/>
      <w:bCs/>
      <w:caps/>
      <w:sz w:val="20"/>
      <w:szCs w:val="24"/>
    </w:rPr>
  </w:style>
  <w:style w:type="paragraph" w:customStyle="1" w:styleId="C-2">
    <w:name w:val="C-2"/>
    <w:basedOn w:val="Normal"/>
    <w:link w:val="C-2Car"/>
    <w:rsid w:val="009C70D6"/>
    <w:pPr>
      <w:numPr>
        <w:ilvl w:val="1"/>
        <w:numId w:val="10"/>
      </w:numPr>
      <w:tabs>
        <w:tab w:val="left" w:pos="567"/>
        <w:tab w:val="left" w:pos="851"/>
        <w:tab w:val="left" w:pos="1418"/>
        <w:tab w:val="left" w:pos="1701"/>
      </w:tabs>
      <w:spacing w:after="120" w:line="276" w:lineRule="auto"/>
      <w:jc w:val="both"/>
    </w:pPr>
    <w:rPr>
      <w:rFonts w:ascii="Calibri" w:eastAsia="Yu Mincho" w:hAnsi="Calibri" w:cs="Arial"/>
      <w:b/>
      <w:bCs/>
      <w:sz w:val="20"/>
      <w:szCs w:val="24"/>
    </w:rPr>
  </w:style>
  <w:style w:type="character" w:customStyle="1" w:styleId="C-2Car">
    <w:name w:val="C-2 Car"/>
    <w:link w:val="C-2"/>
    <w:rsid w:val="009C70D6"/>
    <w:rPr>
      <w:rFonts w:ascii="Calibri" w:eastAsia="Yu Mincho" w:hAnsi="Calibri" w:cs="Arial"/>
      <w:b/>
      <w:bCs/>
      <w:sz w:val="20"/>
      <w:szCs w:val="24"/>
    </w:rPr>
  </w:style>
  <w:style w:type="paragraph" w:customStyle="1" w:styleId="C-4">
    <w:name w:val="C-4"/>
    <w:basedOn w:val="Normal"/>
    <w:rsid w:val="009C70D6"/>
    <w:pPr>
      <w:numPr>
        <w:ilvl w:val="3"/>
        <w:numId w:val="10"/>
      </w:numPr>
      <w:tabs>
        <w:tab w:val="right" w:pos="1134"/>
      </w:tabs>
      <w:spacing w:after="0" w:line="240" w:lineRule="auto"/>
      <w:jc w:val="both"/>
    </w:pPr>
    <w:rPr>
      <w:rFonts w:ascii="Calibri" w:eastAsia="Times New Roman" w:hAnsi="Calibri" w:cs="Arial"/>
      <w:b/>
      <w:sz w:val="20"/>
      <w:szCs w:val="24"/>
      <w:lang w:val="fr-FR" w:eastAsia="fr-FR"/>
    </w:rPr>
  </w:style>
  <w:style w:type="paragraph" w:styleId="En-tte">
    <w:name w:val="header"/>
    <w:basedOn w:val="Normal"/>
    <w:link w:val="En-tteCar"/>
    <w:uiPriority w:val="99"/>
    <w:unhideWhenUsed/>
    <w:rsid w:val="00C75AE7"/>
    <w:pPr>
      <w:tabs>
        <w:tab w:val="center" w:pos="4320"/>
        <w:tab w:val="right" w:pos="8640"/>
      </w:tabs>
      <w:spacing w:after="0" w:line="240" w:lineRule="auto"/>
    </w:pPr>
  </w:style>
  <w:style w:type="character" w:customStyle="1" w:styleId="En-tteCar">
    <w:name w:val="En-tête Car"/>
    <w:basedOn w:val="Policepardfaut"/>
    <w:link w:val="En-tte"/>
    <w:uiPriority w:val="99"/>
    <w:rsid w:val="00C75AE7"/>
  </w:style>
  <w:style w:type="paragraph" w:styleId="Pieddepage">
    <w:name w:val="footer"/>
    <w:basedOn w:val="Normal"/>
    <w:link w:val="PieddepageCar"/>
    <w:uiPriority w:val="99"/>
    <w:unhideWhenUsed/>
    <w:rsid w:val="00C75AE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75AE7"/>
  </w:style>
  <w:style w:type="paragraph" w:customStyle="1" w:styleId="TitreS3">
    <w:name w:val="Titre S3"/>
    <w:basedOn w:val="Normal"/>
    <w:link w:val="TitreS3Car"/>
    <w:autoRedefine/>
    <w:qFormat/>
    <w:rsid w:val="00B6464D"/>
    <w:pPr>
      <w:tabs>
        <w:tab w:val="left" w:pos="851"/>
      </w:tabs>
      <w:spacing w:before="200" w:after="0" w:line="264" w:lineRule="auto"/>
      <w:ind w:left="567" w:hanging="567"/>
      <w:jc w:val="both"/>
    </w:pPr>
    <w:rPr>
      <w:rFonts w:ascii="Calibri" w:eastAsia="Yu Mincho" w:hAnsi="Calibri" w:cs="Calibri"/>
      <w:b/>
      <w:bCs/>
      <w:i/>
      <w:sz w:val="28"/>
      <w:szCs w:val="28"/>
    </w:rPr>
  </w:style>
  <w:style w:type="character" w:customStyle="1" w:styleId="TitreS3Car">
    <w:name w:val="Titre S3 Car"/>
    <w:link w:val="TitreS3"/>
    <w:rsid w:val="00B6464D"/>
    <w:rPr>
      <w:rFonts w:ascii="Calibri" w:eastAsia="Yu Mincho" w:hAnsi="Calibri" w:cs="Calibri"/>
      <w:b/>
      <w:bCs/>
      <w:i/>
      <w:sz w:val="28"/>
      <w:szCs w:val="28"/>
    </w:rPr>
  </w:style>
  <w:style w:type="table" w:styleId="Grilledutableau">
    <w:name w:val="Table Grid"/>
    <w:basedOn w:val="TableauNormal"/>
    <w:uiPriority w:val="39"/>
    <w:rsid w:val="003F1A4F"/>
    <w:pPr>
      <w:spacing w:after="0" w:line="240" w:lineRule="auto"/>
    </w:pPr>
    <w:rPr>
      <w:rFonts w:ascii="Calibri" w:eastAsia="Yu Mincho" w:hAnsi="Calibri" w:cs="Arial"/>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P1">
    <w:name w:val="NBP1"/>
    <w:basedOn w:val="Notedebasdepage"/>
    <w:autoRedefine/>
    <w:qFormat/>
    <w:rsid w:val="003F1A4F"/>
    <w:pPr>
      <w:tabs>
        <w:tab w:val="left" w:pos="284"/>
      </w:tabs>
      <w:ind w:left="284" w:hanging="284"/>
    </w:pPr>
    <w:rPr>
      <w:rFonts w:eastAsia="Times New Roman" w:cs="Calibri"/>
      <w:iCs/>
      <w:lang w:eastAsia="fr-CA"/>
    </w:rPr>
  </w:style>
  <w:style w:type="paragraph" w:styleId="Rvision">
    <w:name w:val="Revision"/>
    <w:hidden/>
    <w:uiPriority w:val="99"/>
    <w:semiHidden/>
    <w:rsid w:val="00381A83"/>
    <w:pPr>
      <w:spacing w:after="0" w:line="240" w:lineRule="auto"/>
    </w:pPr>
  </w:style>
  <w:style w:type="character" w:styleId="Mentionnonrsolue">
    <w:name w:val="Unresolved Mention"/>
    <w:basedOn w:val="Policepardfaut"/>
    <w:uiPriority w:val="99"/>
    <w:semiHidden/>
    <w:unhideWhenUsed/>
    <w:rsid w:val="001D4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quebec.gouv.qc.ca/fr/document/rc/R-6.01,%20r.%2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quebec.gouv.qc.ca/fr/document/rc/R-6.01,%20r.%204.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quebec.gouv.qc.ca/fr/ShowDoc/cr/R-6.01,%20r.%202/" TargetMode="External"/><Relationship Id="rId5" Type="http://schemas.openxmlformats.org/officeDocument/2006/relationships/webSettings" Target="webSettings.xml"/><Relationship Id="rId15" Type="http://schemas.openxmlformats.org/officeDocument/2006/relationships/hyperlink" Target="https://sde.regie-energie.qc.ca/Guides/Guide_utilisateur_externe.pdf" TargetMode="External"/><Relationship Id="rId10" Type="http://schemas.openxmlformats.org/officeDocument/2006/relationships/hyperlink" Target="http://legisquebec.gouv.qc.ca/fr/ShowDoc/cr/R-6.01,%20r.%20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de.regie-energie.qc.ca/Guides/Guide_utilisateur_extern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ublicsde.regie-energie.qc.ca/projets/586/DocPrj/R-4157-2021-A-0005-Dec-Dec-2021_06_18.pdf" TargetMode="External"/><Relationship Id="rId2" Type="http://schemas.openxmlformats.org/officeDocument/2006/relationships/hyperlink" Target="http://publicsde.regie-energie.qc.ca/projets/443/DocPrj/R-4034-2018-A-0016-Dec-Dec-2018_10_31.pdf" TargetMode="External"/><Relationship Id="rId1" Type="http://schemas.openxmlformats.org/officeDocument/2006/relationships/hyperlink" Target="http://publicsde.regie-energie.qc.ca/projets/618/DocPrj/R-4189-2022-A-0030-Dec-Dec-2023_01_18.pdf" TargetMode="External"/><Relationship Id="rId6" Type="http://schemas.openxmlformats.org/officeDocument/2006/relationships/hyperlink" Target="http://publicsde.regie-energie.qc.ca/projets/618/DocPrj/R-4189-2022-A-0030-Dec-Dec-2023_01_18.pdf" TargetMode="External"/><Relationship Id="rId5" Type="http://schemas.openxmlformats.org/officeDocument/2006/relationships/hyperlink" Target="http://www.regie-energie.qc.ca/documents/conferences/BN%C3%89%202021_CKrolik.pdf" TargetMode="External"/><Relationship Id="rId4" Type="http://schemas.openxmlformats.org/officeDocument/2006/relationships/hyperlink" Target="http://www.regie-energie.qc.ca/documents/conferences/BN%C3%89%202021_Orientation%20sur%20la%20prise%20en%20compte%20dans%20la%20pratique%20r%C3%A9glementaire%20-%20Dunsky.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85DC3-1F68-43BF-84A5-3B3FC1F4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1916</Words>
  <Characters>10539</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Silvia</dc:creator>
  <cp:keywords/>
  <dc:description/>
  <cp:lastModifiedBy>Félix Turgeon</cp:lastModifiedBy>
  <cp:revision>4</cp:revision>
  <dcterms:created xsi:type="dcterms:W3CDTF">2023-04-05T18:33:00Z</dcterms:created>
  <dcterms:modified xsi:type="dcterms:W3CDTF">2023-04-05T20:42:00Z</dcterms:modified>
</cp:coreProperties>
</file>