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234DA2" w:rsidRDefault="009166F6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FAC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11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-2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234DA2" w:rsidRPr="00234DA2">
        <w:rPr>
          <w:rFonts w:ascii="Times New Roman" w:hAnsi="Times New Roman" w:cs="Times New Roman"/>
          <w:b/>
          <w:bCs/>
          <w:sz w:val="28"/>
          <w:szCs w:val="28"/>
          <w:lang w:val="fr-CA"/>
        </w:rPr>
        <w:t>Méthode d'établissement des limites d’exploitation du réseau pour l’horizon d’exploitation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234DA2" w:rsidRDefault="00234DA2" w:rsidP="00234DA2">
      <w:pPr>
        <w:pStyle w:val="Default"/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</w:t>
      </w:r>
      <w:r w:rsidR="00396459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la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fiabilité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juin 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31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mai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201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9166F6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9166F6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327E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2016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234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51555E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51555E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51555E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234DA2" w:rsidRPr="003B0847" w:rsidTr="00285088">
        <w:tc>
          <w:tcPr>
            <w:tcW w:w="2693" w:type="dxa"/>
          </w:tcPr>
          <w:p w:rsidR="00234DA2" w:rsidRPr="00D723D8" w:rsidRDefault="00234DA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234DA2" w:rsidRPr="00D723D8" w:rsidRDefault="0051555E" w:rsidP="000130C6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87"/>
              </w:sdtPr>
              <w:sdtContent>
                <w:r w:rsidR="00234DA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234DA2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234DA2" w:rsidRPr="00D723D8" w:rsidRDefault="0051555E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88"/>
              </w:sdtPr>
              <w:sdtContent>
                <w:r w:rsidR="00234DA2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234DA2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234DA2" w:rsidRDefault="0051555E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89"/>
              </w:sdtPr>
              <w:sdtContent>
                <w:r w:rsidR="00234DA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234DA2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234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234DA2" w:rsidRPr="003B0847" w:rsidTr="00285088">
        <w:tc>
          <w:tcPr>
            <w:tcW w:w="2693" w:type="dxa"/>
          </w:tcPr>
          <w:p w:rsidR="00234DA2" w:rsidRPr="00D723D8" w:rsidRDefault="00234DA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2126" w:type="dxa"/>
          </w:tcPr>
          <w:p w:rsidR="00234DA2" w:rsidRPr="00D723D8" w:rsidRDefault="0051555E" w:rsidP="000130C6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90"/>
              </w:sdtPr>
              <w:sdtContent>
                <w:r w:rsidR="00234DA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234DA2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234DA2" w:rsidRPr="00D723D8" w:rsidRDefault="0051555E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91"/>
              </w:sdtPr>
              <w:sdtContent>
                <w:r w:rsidR="00234DA2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234DA2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234DA2" w:rsidRDefault="0051555E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92"/>
              </w:sdtPr>
              <w:sdtContent>
                <w:r w:rsidR="00234DA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234DA2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234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51555E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51555E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9166F6">
      <w:rPr>
        <w:rFonts w:ascii="Times New Roman" w:hAnsi="Times New Roman"/>
        <w:sz w:val="18"/>
        <w:szCs w:val="18"/>
        <w:lang w:val="fr-CA"/>
      </w:rPr>
      <w:t>FAC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</w:t>
    </w:r>
    <w:r w:rsidR="009166F6">
      <w:rPr>
        <w:rFonts w:ascii="Times New Roman" w:hAnsi="Times New Roman"/>
        <w:sz w:val="18"/>
        <w:szCs w:val="18"/>
        <w:lang w:val="fr-CA"/>
      </w:rPr>
      <w:t>11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51555E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51555E" w:rsidRPr="00323003">
      <w:rPr>
        <w:rStyle w:val="Numrodepage"/>
        <w:rFonts w:ascii="Times New Roman" w:hAnsi="Times New Roman" w:cs="Times New Roman"/>
      </w:rPr>
      <w:fldChar w:fldCharType="separate"/>
    </w:r>
    <w:r w:rsidR="00132591">
      <w:rPr>
        <w:rStyle w:val="Numrodepage"/>
        <w:rFonts w:ascii="Times New Roman" w:hAnsi="Times New Roman" w:cs="Times New Roman"/>
        <w:noProof/>
        <w:lang w:val="fr-CA"/>
      </w:rPr>
      <w:t>4</w:t>
    </w:r>
    <w:r w:rsidR="0051555E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132591" w:rsidRPr="00132591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132591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2591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34DA2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94F69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1555E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0100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66F6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749A1D-DA67-478E-B7C3-D502E955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461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3151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5</cp:revision>
  <cp:lastPrinted>2015-10-28T13:25:00Z</cp:lastPrinted>
  <dcterms:created xsi:type="dcterms:W3CDTF">2016-06-27T17:20:00Z</dcterms:created>
  <dcterms:modified xsi:type="dcterms:W3CDTF">2017-01-12T13:16:00Z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