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1B8A" w14:textId="77777777" w:rsidR="00FD74D9" w:rsidRPr="009C797D" w:rsidRDefault="00AA550E" w:rsidP="00352626">
      <w:pPr>
        <w:rPr>
          <w:rFonts w:cs="Calibri"/>
        </w:rPr>
      </w:pPr>
      <w:r>
        <w:rPr>
          <w:rFonts w:cs="Calibri"/>
        </w:rPr>
        <w:object w:dxaOrig="4079" w:dyaOrig="1786" w14:anchorId="22408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8.8pt" o:ole="">
            <v:imagedata r:id="rId11" o:title=""/>
          </v:shape>
          <o:OLEObject Type="Embed" ProgID="MSPhotoEd.3" ShapeID="_x0000_i1025" DrawAspect="Content" ObjectID="_1748773892" r:id="rId12"/>
        </w:object>
      </w:r>
    </w:p>
    <w:p w14:paraId="0B5C30FD" w14:textId="77777777" w:rsidR="00FD74D9" w:rsidRPr="009C797D" w:rsidRDefault="00FD74D9" w:rsidP="00352626">
      <w:pPr>
        <w:rPr>
          <w:rFonts w:cs="Calibri"/>
        </w:rPr>
      </w:pPr>
    </w:p>
    <w:p w14:paraId="6AD001B2" w14:textId="77777777" w:rsidR="00FD74D9" w:rsidRPr="009C797D" w:rsidRDefault="00FD74D9" w:rsidP="00352626">
      <w:pPr>
        <w:rPr>
          <w:rFonts w:cs="Calibri"/>
        </w:rPr>
      </w:pPr>
    </w:p>
    <w:p w14:paraId="48DDF4D0" w14:textId="77777777" w:rsidR="00FD74D9" w:rsidRPr="009C797D" w:rsidRDefault="00FD74D9" w:rsidP="00352626">
      <w:pPr>
        <w:rPr>
          <w:rFonts w:cs="Calibri"/>
        </w:rPr>
      </w:pPr>
    </w:p>
    <w:p w14:paraId="06059FD1" w14:textId="77777777" w:rsidR="00FD74D9" w:rsidRPr="009C797D" w:rsidRDefault="00FD74D9" w:rsidP="00352626">
      <w:pPr>
        <w:rPr>
          <w:rFonts w:cs="Calibri"/>
        </w:rPr>
      </w:pPr>
    </w:p>
    <w:p w14:paraId="20D0B6A5" w14:textId="77777777" w:rsidR="00FD74D9" w:rsidRPr="009C797D" w:rsidRDefault="00FD74D9" w:rsidP="00352626">
      <w:pPr>
        <w:rPr>
          <w:rFonts w:cs="Calibri"/>
        </w:rPr>
      </w:pPr>
    </w:p>
    <w:p w14:paraId="01FBA7BF" w14:textId="77777777" w:rsidR="00FD74D9" w:rsidRPr="009C797D" w:rsidRDefault="00FD74D9" w:rsidP="00352626">
      <w:pPr>
        <w:rPr>
          <w:rFonts w:cs="Calibri"/>
        </w:rPr>
      </w:pPr>
    </w:p>
    <w:p w14:paraId="2E5EE8A9" w14:textId="77777777" w:rsidR="00FD74D9" w:rsidRPr="009C797D" w:rsidRDefault="00FD74D9" w:rsidP="00352626">
      <w:pPr>
        <w:rPr>
          <w:rFonts w:cs="Calibri"/>
        </w:rPr>
      </w:pPr>
    </w:p>
    <w:p w14:paraId="0A105D90" w14:textId="77777777" w:rsidR="00FD74D9" w:rsidRPr="009C797D" w:rsidRDefault="00FD74D9" w:rsidP="00352626">
      <w:pPr>
        <w:rPr>
          <w:rFonts w:cs="Calibri"/>
        </w:rPr>
      </w:pPr>
    </w:p>
    <w:p w14:paraId="30E21057" w14:textId="77777777" w:rsidR="00FD74D9" w:rsidRPr="009C797D" w:rsidRDefault="00FD74D9" w:rsidP="00352626">
      <w:pPr>
        <w:rPr>
          <w:rFonts w:cs="Calibri"/>
        </w:rPr>
      </w:pPr>
    </w:p>
    <w:p w14:paraId="6B99A7D4" w14:textId="77777777" w:rsidR="00026D0A" w:rsidRPr="009C797D" w:rsidRDefault="00AA550E" w:rsidP="00A658B0">
      <w:pPr>
        <w:jc w:val="center"/>
        <w:rPr>
          <w:rFonts w:cs="Calibri"/>
          <w:b/>
          <w:caps/>
          <w:sz w:val="72"/>
          <w:szCs w:val="72"/>
        </w:rPr>
      </w:pPr>
      <w:r w:rsidRPr="009C797D">
        <w:rPr>
          <w:rFonts w:cs="Calibri"/>
          <w:b/>
          <w:caps/>
          <w:sz w:val="72"/>
          <w:szCs w:val="72"/>
        </w:rPr>
        <w:t>Guide de dépôt</w:t>
      </w:r>
    </w:p>
    <w:p w14:paraId="00C86223" w14:textId="77777777" w:rsidR="00FD74D9" w:rsidRPr="009C797D" w:rsidRDefault="00AA550E" w:rsidP="00A658B0">
      <w:pPr>
        <w:jc w:val="center"/>
        <w:rPr>
          <w:rFonts w:cs="Calibri"/>
          <w:bCs/>
          <w:sz w:val="44"/>
          <w:szCs w:val="44"/>
        </w:rPr>
      </w:pPr>
      <w:r w:rsidRPr="009C797D">
        <w:rPr>
          <w:rFonts w:cs="Calibri"/>
          <w:sz w:val="44"/>
          <w:szCs w:val="44"/>
        </w:rPr>
        <w:t>pour Gazifère Inc.</w:t>
      </w:r>
    </w:p>
    <w:p w14:paraId="22697E68" w14:textId="77777777" w:rsidR="00026D0A" w:rsidRPr="009C797D" w:rsidRDefault="00026D0A" w:rsidP="00A658B0">
      <w:pPr>
        <w:jc w:val="center"/>
        <w:rPr>
          <w:rFonts w:cs="Calibri"/>
          <w:b/>
          <w:bCs/>
        </w:rPr>
      </w:pPr>
    </w:p>
    <w:p w14:paraId="44231D45" w14:textId="77777777" w:rsidR="00FD74D9" w:rsidRPr="009C797D" w:rsidRDefault="00FD74D9" w:rsidP="00A658B0">
      <w:pPr>
        <w:jc w:val="center"/>
        <w:rPr>
          <w:rFonts w:cs="Calibri"/>
          <w:b/>
          <w:bCs/>
        </w:rPr>
      </w:pPr>
    </w:p>
    <w:p w14:paraId="1226BBF8" w14:textId="77777777" w:rsidR="00FD74D9" w:rsidRPr="009C797D" w:rsidRDefault="00FD74D9" w:rsidP="00A658B0">
      <w:pPr>
        <w:jc w:val="center"/>
        <w:rPr>
          <w:rFonts w:cs="Calibri"/>
          <w:b/>
          <w:bCs/>
        </w:rPr>
      </w:pPr>
    </w:p>
    <w:p w14:paraId="7305D76E" w14:textId="77777777" w:rsidR="00FD74D9" w:rsidRPr="009C797D" w:rsidRDefault="00FD74D9" w:rsidP="00A658B0">
      <w:pPr>
        <w:jc w:val="center"/>
        <w:rPr>
          <w:rFonts w:cs="Calibri"/>
          <w:b/>
          <w:bCs/>
        </w:rPr>
      </w:pPr>
    </w:p>
    <w:p w14:paraId="42269BF5" w14:textId="77777777" w:rsidR="00FD74D9" w:rsidRPr="009C797D" w:rsidRDefault="00FD74D9" w:rsidP="00A658B0">
      <w:pPr>
        <w:jc w:val="center"/>
        <w:rPr>
          <w:rFonts w:cs="Calibri"/>
          <w:b/>
          <w:bCs/>
        </w:rPr>
      </w:pPr>
    </w:p>
    <w:p w14:paraId="5E39EFBA" w14:textId="77777777" w:rsidR="00FD74D9" w:rsidRPr="009C797D" w:rsidRDefault="00FD74D9" w:rsidP="00A658B0">
      <w:pPr>
        <w:jc w:val="center"/>
        <w:rPr>
          <w:rFonts w:cs="Calibri"/>
          <w:b/>
          <w:bCs/>
        </w:rPr>
      </w:pPr>
    </w:p>
    <w:p w14:paraId="6FAE97B9" w14:textId="77777777" w:rsidR="00FD74D9" w:rsidRPr="009C797D" w:rsidRDefault="00FD74D9" w:rsidP="00A658B0">
      <w:pPr>
        <w:jc w:val="center"/>
        <w:rPr>
          <w:rFonts w:cs="Calibri"/>
          <w:b/>
          <w:bCs/>
        </w:rPr>
      </w:pPr>
    </w:p>
    <w:p w14:paraId="17FF764A" w14:textId="77777777" w:rsidR="00FD74D9" w:rsidRDefault="00FD74D9" w:rsidP="00A658B0">
      <w:pPr>
        <w:jc w:val="center"/>
        <w:rPr>
          <w:rFonts w:cs="Calibri"/>
          <w:b/>
          <w:bCs/>
        </w:rPr>
      </w:pPr>
    </w:p>
    <w:p w14:paraId="3E69C5E1" w14:textId="77777777" w:rsidR="000A08AB" w:rsidRDefault="000A08AB" w:rsidP="00A658B0">
      <w:pPr>
        <w:jc w:val="center"/>
        <w:rPr>
          <w:rFonts w:cs="Calibri"/>
          <w:b/>
          <w:bCs/>
        </w:rPr>
      </w:pPr>
    </w:p>
    <w:p w14:paraId="7AD93023" w14:textId="77777777" w:rsidR="000A08AB" w:rsidRDefault="000A08AB" w:rsidP="00A658B0">
      <w:pPr>
        <w:jc w:val="center"/>
        <w:rPr>
          <w:rFonts w:cs="Calibri"/>
          <w:b/>
          <w:bCs/>
        </w:rPr>
      </w:pPr>
    </w:p>
    <w:p w14:paraId="7918A207" w14:textId="77777777" w:rsidR="000A08AB" w:rsidRPr="009C797D" w:rsidRDefault="000A08AB" w:rsidP="00A658B0">
      <w:pPr>
        <w:jc w:val="center"/>
        <w:rPr>
          <w:rFonts w:cs="Calibri"/>
          <w:b/>
          <w:bCs/>
        </w:rPr>
      </w:pPr>
    </w:p>
    <w:p w14:paraId="410CD55D" w14:textId="2CCA2869" w:rsidR="00FD74D9" w:rsidRPr="009C797D" w:rsidRDefault="003F18EB" w:rsidP="00A658B0">
      <w:pPr>
        <w:jc w:val="center"/>
        <w:rPr>
          <w:rFonts w:cs="Calibri"/>
          <w:b/>
          <w:bCs/>
        </w:rPr>
      </w:pPr>
      <w:r>
        <w:rPr>
          <w:rFonts w:cs="Calibri"/>
          <w:b/>
          <w:bCs/>
        </w:rPr>
        <w:t>5 avril</w:t>
      </w:r>
      <w:r w:rsidR="00AA550E" w:rsidRPr="009C797D">
        <w:rPr>
          <w:rFonts w:cs="Calibri"/>
          <w:b/>
          <w:bCs/>
        </w:rPr>
        <w:t xml:space="preserve"> 202</w:t>
      </w:r>
      <w:r w:rsidR="00256B2F">
        <w:rPr>
          <w:rFonts w:cs="Calibri"/>
          <w:b/>
          <w:bCs/>
        </w:rPr>
        <w:t>3</w:t>
      </w:r>
    </w:p>
    <w:p w14:paraId="24621D24" w14:textId="77777777" w:rsidR="0090725D" w:rsidRPr="009C797D" w:rsidRDefault="0090725D" w:rsidP="00A658B0">
      <w:pPr>
        <w:jc w:val="center"/>
        <w:rPr>
          <w:rFonts w:cs="Calibri"/>
          <w:b/>
          <w:bCs/>
        </w:rPr>
      </w:pPr>
    </w:p>
    <w:p w14:paraId="6304A513" w14:textId="77777777" w:rsidR="006D4426" w:rsidRDefault="00AA550E" w:rsidP="00352626">
      <w:pPr>
        <w:spacing w:line="240" w:lineRule="auto"/>
        <w:rPr>
          <w:rFonts w:cs="Calibri"/>
          <w:b/>
          <w:bCs/>
        </w:rPr>
      </w:pPr>
      <w:r>
        <w:rPr>
          <w:rFonts w:cs="Calibri"/>
          <w:b/>
          <w:bCs/>
        </w:rPr>
        <w:br w:type="page"/>
      </w:r>
    </w:p>
    <w:p w14:paraId="443DB02E" w14:textId="77777777" w:rsidR="0090725D" w:rsidRPr="009C797D" w:rsidRDefault="0090725D" w:rsidP="00352626">
      <w:pPr>
        <w:rPr>
          <w:rFonts w:cs="Calibri"/>
          <w:b/>
          <w:bCs/>
        </w:rPr>
      </w:pPr>
    </w:p>
    <w:p w14:paraId="0D9CAC3B" w14:textId="77777777" w:rsidR="00026D0A" w:rsidRPr="009C797D" w:rsidRDefault="00026D0A" w:rsidP="00352626">
      <w:pPr>
        <w:rPr>
          <w:rFonts w:cs="Calibri"/>
          <w:b/>
          <w:bCs/>
        </w:rPr>
      </w:pPr>
    </w:p>
    <w:p w14:paraId="4E880CE7" w14:textId="77777777" w:rsidR="00DC13E0" w:rsidRPr="009C797D" w:rsidRDefault="00DC13E0" w:rsidP="00352626">
      <w:pPr>
        <w:rPr>
          <w:rFonts w:cs="Calibri"/>
          <w:b/>
          <w:bCs/>
        </w:rPr>
        <w:sectPr w:rsidR="00DC13E0" w:rsidRPr="009C797D" w:rsidSect="002C0FA2">
          <w:headerReference w:type="default" r:id="rId13"/>
          <w:footerReference w:type="default" r:id="rId14"/>
          <w:pgSz w:w="12242" w:h="15842" w:code="1"/>
          <w:pgMar w:top="1701" w:right="1418" w:bottom="1134" w:left="1418" w:header="709" w:footer="709" w:gutter="0"/>
          <w:pgBorders w:display="firstPage">
            <w:top w:val="single" w:sz="18" w:space="1" w:color="auto"/>
            <w:left w:val="single" w:sz="18" w:space="4" w:color="auto"/>
            <w:bottom w:val="single" w:sz="18" w:space="1" w:color="auto"/>
            <w:right w:val="single" w:sz="18" w:space="4" w:color="auto"/>
          </w:pgBorders>
          <w:cols w:space="720"/>
          <w:titlePg/>
          <w:docGrid w:linePitch="354"/>
        </w:sectPr>
      </w:pPr>
    </w:p>
    <w:p w14:paraId="5463DFF8" w14:textId="77777777" w:rsidR="00026D0A" w:rsidRPr="009C797D" w:rsidRDefault="00AA550E" w:rsidP="00352626">
      <w:pPr>
        <w:rPr>
          <w:rFonts w:cs="Calibri"/>
          <w:b/>
          <w:bCs/>
          <w:caps/>
          <w:color w:val="808080"/>
          <w:sz w:val="28"/>
          <w:szCs w:val="28"/>
          <w:u w:val="dotted"/>
        </w:rPr>
      </w:pPr>
      <w:r w:rsidRPr="009C797D">
        <w:rPr>
          <w:rFonts w:cs="Calibri"/>
          <w:b/>
          <w:bCs/>
          <w:caps/>
          <w:color w:val="808080"/>
          <w:sz w:val="28"/>
          <w:szCs w:val="28"/>
          <w:u w:val="dotted"/>
        </w:rPr>
        <w:lastRenderedPageBreak/>
        <w:t>Table des matières</w:t>
      </w:r>
    </w:p>
    <w:p w14:paraId="16941612" w14:textId="77777777" w:rsidR="00EC14A3" w:rsidRPr="009C797D" w:rsidRDefault="00EC14A3" w:rsidP="00352626">
      <w:pPr>
        <w:rPr>
          <w:rFonts w:cs="Calibri"/>
          <w:color w:val="808080"/>
        </w:rPr>
      </w:pPr>
    </w:p>
    <w:p w14:paraId="4A1F765F" w14:textId="77777777" w:rsidR="000852BF" w:rsidRPr="009C797D" w:rsidRDefault="000852BF" w:rsidP="00352626">
      <w:pPr>
        <w:rPr>
          <w:rFonts w:cs="Calibri"/>
          <w:color w:val="808080"/>
        </w:rPr>
      </w:pPr>
    </w:p>
    <w:p w14:paraId="3F15B45E" w14:textId="1ECDE0E5" w:rsidR="009C5382" w:rsidRDefault="00AA550E">
      <w:pPr>
        <w:pStyle w:val="TM1"/>
        <w:rPr>
          <w:rFonts w:asciiTheme="minorHAnsi" w:eastAsiaTheme="minorEastAsia" w:hAnsiTheme="minorHAnsi" w:cstheme="minorBidi"/>
          <w:b w:val="0"/>
          <w:bCs w:val="0"/>
          <w:caps w:val="0"/>
          <w:noProof/>
          <w:sz w:val="22"/>
          <w:szCs w:val="22"/>
          <w:lang w:eastAsia="fr-CA"/>
        </w:rPr>
      </w:pPr>
      <w:r w:rsidRPr="009C797D">
        <w:rPr>
          <w:rFonts w:cs="Calibri"/>
          <w:b w:val="0"/>
          <w:bCs w:val="0"/>
          <w:caps w:val="0"/>
        </w:rPr>
        <w:fldChar w:fldCharType="begin"/>
      </w:r>
      <w:r w:rsidRPr="009C797D">
        <w:rPr>
          <w:rFonts w:cs="Calibri"/>
          <w:b w:val="0"/>
          <w:bCs w:val="0"/>
          <w:caps w:val="0"/>
        </w:rPr>
        <w:instrText xml:space="preserve"> TOC \o "1-4" \h \z \u </w:instrText>
      </w:r>
      <w:r w:rsidRPr="009C797D">
        <w:rPr>
          <w:rFonts w:cs="Calibri"/>
          <w:b w:val="0"/>
          <w:bCs w:val="0"/>
          <w:caps w:val="0"/>
        </w:rPr>
        <w:fldChar w:fldCharType="separate"/>
      </w:r>
      <w:hyperlink w:anchor="_Toc124329913" w:history="1">
        <w:r w:rsidR="009C5382" w:rsidRPr="00773C89">
          <w:rPr>
            <w:rStyle w:val="Lienhypertexte"/>
            <w:rFonts w:cs="Calibri"/>
            <w:noProof/>
          </w:rPr>
          <w:t>1.</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INTRODUCTION</w:t>
        </w:r>
        <w:r w:rsidR="009C5382">
          <w:rPr>
            <w:noProof/>
            <w:webHidden/>
          </w:rPr>
          <w:tab/>
        </w:r>
        <w:r w:rsidR="009C5382">
          <w:rPr>
            <w:noProof/>
            <w:webHidden/>
          </w:rPr>
          <w:fldChar w:fldCharType="begin"/>
        </w:r>
        <w:r w:rsidR="009C5382">
          <w:rPr>
            <w:noProof/>
            <w:webHidden/>
          </w:rPr>
          <w:instrText xml:space="preserve"> PAGEREF _Toc124329913 \h </w:instrText>
        </w:r>
        <w:r w:rsidR="009C5382">
          <w:rPr>
            <w:noProof/>
            <w:webHidden/>
          </w:rPr>
        </w:r>
        <w:r w:rsidR="009C5382">
          <w:rPr>
            <w:noProof/>
            <w:webHidden/>
          </w:rPr>
          <w:fldChar w:fldCharType="separate"/>
        </w:r>
        <w:r w:rsidR="009C5382">
          <w:rPr>
            <w:noProof/>
            <w:webHidden/>
          </w:rPr>
          <w:t>6</w:t>
        </w:r>
        <w:r w:rsidR="009C5382">
          <w:rPr>
            <w:noProof/>
            <w:webHidden/>
          </w:rPr>
          <w:fldChar w:fldCharType="end"/>
        </w:r>
      </w:hyperlink>
    </w:p>
    <w:p w14:paraId="3EB55D34" w14:textId="094F4C0C"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14" w:history="1">
        <w:r w:rsidR="009C5382" w:rsidRPr="00773C89">
          <w:rPr>
            <w:rStyle w:val="Lienhypertexte"/>
            <w:rFonts w:cs="Calibri"/>
            <w:noProof/>
          </w:rPr>
          <w:t>2.</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DIRECTIVES GÉNÉRALES</w:t>
        </w:r>
        <w:r w:rsidR="009C5382">
          <w:rPr>
            <w:noProof/>
            <w:webHidden/>
          </w:rPr>
          <w:tab/>
        </w:r>
        <w:r w:rsidR="009C5382">
          <w:rPr>
            <w:noProof/>
            <w:webHidden/>
          </w:rPr>
          <w:fldChar w:fldCharType="begin"/>
        </w:r>
        <w:r w:rsidR="009C5382">
          <w:rPr>
            <w:noProof/>
            <w:webHidden/>
          </w:rPr>
          <w:instrText xml:space="preserve"> PAGEREF _Toc124329914 \h </w:instrText>
        </w:r>
        <w:r w:rsidR="009C5382">
          <w:rPr>
            <w:noProof/>
            <w:webHidden/>
          </w:rPr>
        </w:r>
        <w:r w:rsidR="009C5382">
          <w:rPr>
            <w:noProof/>
            <w:webHidden/>
          </w:rPr>
          <w:fldChar w:fldCharType="separate"/>
        </w:r>
        <w:r w:rsidR="009C5382">
          <w:rPr>
            <w:noProof/>
            <w:webHidden/>
          </w:rPr>
          <w:t>8</w:t>
        </w:r>
        <w:r w:rsidR="009C5382">
          <w:rPr>
            <w:noProof/>
            <w:webHidden/>
          </w:rPr>
          <w:fldChar w:fldCharType="end"/>
        </w:r>
      </w:hyperlink>
    </w:p>
    <w:p w14:paraId="4EC572AD" w14:textId="2CC8FA0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15" w:history="1">
        <w:r w:rsidR="009C5382" w:rsidRPr="00773C89">
          <w:rPr>
            <w:rStyle w:val="Lienhypertexte"/>
            <w:rFonts w:cs="Calibri"/>
            <w:noProof/>
          </w:rPr>
          <w:t>2.1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Exigences générales</w:t>
        </w:r>
        <w:r w:rsidR="009C5382">
          <w:rPr>
            <w:noProof/>
            <w:webHidden/>
          </w:rPr>
          <w:tab/>
        </w:r>
        <w:r w:rsidR="009C5382">
          <w:rPr>
            <w:noProof/>
            <w:webHidden/>
          </w:rPr>
          <w:fldChar w:fldCharType="begin"/>
        </w:r>
        <w:r w:rsidR="009C5382">
          <w:rPr>
            <w:noProof/>
            <w:webHidden/>
          </w:rPr>
          <w:instrText xml:space="preserve"> PAGEREF _Toc124329915 \h </w:instrText>
        </w:r>
        <w:r w:rsidR="009C5382">
          <w:rPr>
            <w:noProof/>
            <w:webHidden/>
          </w:rPr>
        </w:r>
        <w:r w:rsidR="009C5382">
          <w:rPr>
            <w:noProof/>
            <w:webHidden/>
          </w:rPr>
          <w:fldChar w:fldCharType="separate"/>
        </w:r>
        <w:r w:rsidR="009C5382">
          <w:rPr>
            <w:noProof/>
            <w:webHidden/>
          </w:rPr>
          <w:t>8</w:t>
        </w:r>
        <w:r w:rsidR="009C5382">
          <w:rPr>
            <w:noProof/>
            <w:webHidden/>
          </w:rPr>
          <w:fldChar w:fldCharType="end"/>
        </w:r>
      </w:hyperlink>
    </w:p>
    <w:p w14:paraId="07CD2813" w14:textId="3909F1F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16" w:history="1">
        <w:r w:rsidR="009C5382" w:rsidRPr="00773C89">
          <w:rPr>
            <w:rStyle w:val="Lienhypertexte"/>
            <w:rFonts w:cs="Calibri"/>
            <w:noProof/>
          </w:rPr>
          <w:t>2.2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Dépôt de la demande</w:t>
        </w:r>
        <w:r w:rsidR="009C5382">
          <w:rPr>
            <w:noProof/>
            <w:webHidden/>
          </w:rPr>
          <w:tab/>
        </w:r>
        <w:r w:rsidR="009C5382">
          <w:rPr>
            <w:noProof/>
            <w:webHidden/>
          </w:rPr>
          <w:fldChar w:fldCharType="begin"/>
        </w:r>
        <w:r w:rsidR="009C5382">
          <w:rPr>
            <w:noProof/>
            <w:webHidden/>
          </w:rPr>
          <w:instrText xml:space="preserve"> PAGEREF _Toc124329916 \h </w:instrText>
        </w:r>
        <w:r w:rsidR="009C5382">
          <w:rPr>
            <w:noProof/>
            <w:webHidden/>
          </w:rPr>
        </w:r>
        <w:r w:rsidR="009C5382">
          <w:rPr>
            <w:noProof/>
            <w:webHidden/>
          </w:rPr>
          <w:fldChar w:fldCharType="separate"/>
        </w:r>
        <w:r w:rsidR="009C5382">
          <w:rPr>
            <w:noProof/>
            <w:webHidden/>
          </w:rPr>
          <w:t>8</w:t>
        </w:r>
        <w:r w:rsidR="009C5382">
          <w:rPr>
            <w:noProof/>
            <w:webHidden/>
          </w:rPr>
          <w:fldChar w:fldCharType="end"/>
        </w:r>
      </w:hyperlink>
    </w:p>
    <w:p w14:paraId="6487107B" w14:textId="0F5039C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17" w:history="1">
        <w:r w:rsidR="009C5382" w:rsidRPr="00773C89">
          <w:rPr>
            <w:rStyle w:val="Lienhypertexte"/>
            <w:rFonts w:cs="Calibri"/>
            <w:noProof/>
          </w:rPr>
          <w:t>2.3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Dépôt de pièces amendées</w:t>
        </w:r>
        <w:r w:rsidR="009C5382">
          <w:rPr>
            <w:noProof/>
            <w:webHidden/>
          </w:rPr>
          <w:tab/>
        </w:r>
        <w:r w:rsidR="009C5382">
          <w:rPr>
            <w:noProof/>
            <w:webHidden/>
          </w:rPr>
          <w:fldChar w:fldCharType="begin"/>
        </w:r>
        <w:r w:rsidR="009C5382">
          <w:rPr>
            <w:noProof/>
            <w:webHidden/>
          </w:rPr>
          <w:instrText xml:space="preserve"> PAGEREF _Toc124329917 \h </w:instrText>
        </w:r>
        <w:r w:rsidR="009C5382">
          <w:rPr>
            <w:noProof/>
            <w:webHidden/>
          </w:rPr>
        </w:r>
        <w:r w:rsidR="009C5382">
          <w:rPr>
            <w:noProof/>
            <w:webHidden/>
          </w:rPr>
          <w:fldChar w:fldCharType="separate"/>
        </w:r>
        <w:r w:rsidR="009C5382">
          <w:rPr>
            <w:noProof/>
            <w:webHidden/>
          </w:rPr>
          <w:t>9</w:t>
        </w:r>
        <w:r w:rsidR="009C5382">
          <w:rPr>
            <w:noProof/>
            <w:webHidden/>
          </w:rPr>
          <w:fldChar w:fldCharType="end"/>
        </w:r>
      </w:hyperlink>
    </w:p>
    <w:p w14:paraId="2C9025A3" w14:textId="6C311E9A"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18" w:history="1">
        <w:r w:rsidR="009C5382" w:rsidRPr="00773C89">
          <w:rPr>
            <w:rStyle w:val="Lienhypertexte"/>
            <w:rFonts w:cs="Calibri"/>
            <w:noProof/>
          </w:rPr>
          <w:t>2.4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Demandes de renseignements et réponses</w:t>
        </w:r>
        <w:r w:rsidR="009C5382">
          <w:rPr>
            <w:noProof/>
            <w:webHidden/>
          </w:rPr>
          <w:tab/>
        </w:r>
        <w:r w:rsidR="009C5382">
          <w:rPr>
            <w:noProof/>
            <w:webHidden/>
          </w:rPr>
          <w:fldChar w:fldCharType="begin"/>
        </w:r>
        <w:r w:rsidR="009C5382">
          <w:rPr>
            <w:noProof/>
            <w:webHidden/>
          </w:rPr>
          <w:instrText xml:space="preserve"> PAGEREF _Toc124329918 \h </w:instrText>
        </w:r>
        <w:r w:rsidR="009C5382">
          <w:rPr>
            <w:noProof/>
            <w:webHidden/>
          </w:rPr>
        </w:r>
        <w:r w:rsidR="009C5382">
          <w:rPr>
            <w:noProof/>
            <w:webHidden/>
          </w:rPr>
          <w:fldChar w:fldCharType="separate"/>
        </w:r>
        <w:r w:rsidR="009C5382">
          <w:rPr>
            <w:noProof/>
            <w:webHidden/>
          </w:rPr>
          <w:t>9</w:t>
        </w:r>
        <w:r w:rsidR="009C5382">
          <w:rPr>
            <w:noProof/>
            <w:webHidden/>
          </w:rPr>
          <w:fldChar w:fldCharType="end"/>
        </w:r>
      </w:hyperlink>
    </w:p>
    <w:p w14:paraId="3100A7B9" w14:textId="572ADD45"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19" w:history="1">
        <w:r w:rsidR="009C5382" w:rsidRPr="00773C89">
          <w:rPr>
            <w:rStyle w:val="Lienhypertexte"/>
            <w:rFonts w:cs="Calibri"/>
            <w:noProof/>
          </w:rPr>
          <w:t>2.5</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Planification de la date de dépôt</w:t>
        </w:r>
        <w:r w:rsidR="009C5382">
          <w:rPr>
            <w:noProof/>
            <w:webHidden/>
          </w:rPr>
          <w:tab/>
        </w:r>
        <w:r w:rsidR="009C5382">
          <w:rPr>
            <w:noProof/>
            <w:webHidden/>
          </w:rPr>
          <w:fldChar w:fldCharType="begin"/>
        </w:r>
        <w:r w:rsidR="009C5382">
          <w:rPr>
            <w:noProof/>
            <w:webHidden/>
          </w:rPr>
          <w:instrText xml:space="preserve"> PAGEREF _Toc124329919 \h </w:instrText>
        </w:r>
        <w:r w:rsidR="009C5382">
          <w:rPr>
            <w:noProof/>
            <w:webHidden/>
          </w:rPr>
        </w:r>
        <w:r w:rsidR="009C5382">
          <w:rPr>
            <w:noProof/>
            <w:webHidden/>
          </w:rPr>
          <w:fldChar w:fldCharType="separate"/>
        </w:r>
        <w:r w:rsidR="009C5382">
          <w:rPr>
            <w:noProof/>
            <w:webHidden/>
          </w:rPr>
          <w:t>10</w:t>
        </w:r>
        <w:r w:rsidR="009C5382">
          <w:rPr>
            <w:noProof/>
            <w:webHidden/>
          </w:rPr>
          <w:fldChar w:fldCharType="end"/>
        </w:r>
      </w:hyperlink>
    </w:p>
    <w:p w14:paraId="012F1EF4" w14:textId="475BF881"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20" w:history="1">
        <w:r w:rsidR="009C5382" w:rsidRPr="00773C89">
          <w:rPr>
            <w:rStyle w:val="Lienhypertexte"/>
            <w:rFonts w:cs="Calibri"/>
            <w:noProof/>
          </w:rPr>
          <w:t>3.</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Informations spécifiques en lien avec le Plan d’approvisionnement en gaz naturel et en GSR</w:t>
        </w:r>
        <w:r w:rsidR="009C5382">
          <w:rPr>
            <w:noProof/>
            <w:webHidden/>
          </w:rPr>
          <w:tab/>
        </w:r>
        <w:r w:rsidR="009C5382">
          <w:rPr>
            <w:noProof/>
            <w:webHidden/>
          </w:rPr>
          <w:fldChar w:fldCharType="begin"/>
        </w:r>
        <w:r w:rsidR="009C5382">
          <w:rPr>
            <w:noProof/>
            <w:webHidden/>
          </w:rPr>
          <w:instrText xml:space="preserve"> PAGEREF _Toc124329920 \h </w:instrText>
        </w:r>
        <w:r w:rsidR="009C5382">
          <w:rPr>
            <w:noProof/>
            <w:webHidden/>
          </w:rPr>
        </w:r>
        <w:r w:rsidR="009C5382">
          <w:rPr>
            <w:noProof/>
            <w:webHidden/>
          </w:rPr>
          <w:fldChar w:fldCharType="separate"/>
        </w:r>
        <w:r w:rsidR="009C5382">
          <w:rPr>
            <w:noProof/>
            <w:webHidden/>
          </w:rPr>
          <w:t>12</w:t>
        </w:r>
        <w:r w:rsidR="009C5382">
          <w:rPr>
            <w:noProof/>
            <w:webHidden/>
          </w:rPr>
          <w:fldChar w:fldCharType="end"/>
        </w:r>
      </w:hyperlink>
    </w:p>
    <w:p w14:paraId="07C339B5" w14:textId="6C3BC5E6"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1" w:history="1">
        <w:r w:rsidR="009C5382" w:rsidRPr="00773C89">
          <w:rPr>
            <w:rStyle w:val="Lienhypertexte"/>
            <w:rFonts w:cs="Calibri"/>
            <w:noProof/>
          </w:rPr>
          <w:t>3.1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Informations requises</w:t>
        </w:r>
        <w:r w:rsidR="009C5382">
          <w:rPr>
            <w:noProof/>
            <w:webHidden/>
          </w:rPr>
          <w:tab/>
        </w:r>
        <w:r w:rsidR="009C5382">
          <w:rPr>
            <w:noProof/>
            <w:webHidden/>
          </w:rPr>
          <w:fldChar w:fldCharType="begin"/>
        </w:r>
        <w:r w:rsidR="009C5382">
          <w:rPr>
            <w:noProof/>
            <w:webHidden/>
          </w:rPr>
          <w:instrText xml:space="preserve"> PAGEREF _Toc124329921 \h </w:instrText>
        </w:r>
        <w:r w:rsidR="009C5382">
          <w:rPr>
            <w:noProof/>
            <w:webHidden/>
          </w:rPr>
        </w:r>
        <w:r w:rsidR="009C5382">
          <w:rPr>
            <w:noProof/>
            <w:webHidden/>
          </w:rPr>
          <w:fldChar w:fldCharType="separate"/>
        </w:r>
        <w:r w:rsidR="009C5382">
          <w:rPr>
            <w:noProof/>
            <w:webHidden/>
          </w:rPr>
          <w:t>12</w:t>
        </w:r>
        <w:r w:rsidR="009C5382">
          <w:rPr>
            <w:noProof/>
            <w:webHidden/>
          </w:rPr>
          <w:fldChar w:fldCharType="end"/>
        </w:r>
      </w:hyperlink>
    </w:p>
    <w:p w14:paraId="678977AB" w14:textId="04FF90FF"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22" w:history="1">
        <w:r w:rsidR="009C5382" w:rsidRPr="00773C89">
          <w:rPr>
            <w:rStyle w:val="Lienhypertexte"/>
            <w:rFonts w:cs="Calibri"/>
            <w:noProof/>
          </w:rPr>
          <w:t>4.</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Informations spécifiques en lien avec la fixation ou modification des tarifs et des conditions de service</w:t>
        </w:r>
        <w:r w:rsidR="009C5382">
          <w:rPr>
            <w:noProof/>
            <w:webHidden/>
          </w:rPr>
          <w:tab/>
        </w:r>
        <w:r w:rsidR="009C5382">
          <w:rPr>
            <w:noProof/>
            <w:webHidden/>
          </w:rPr>
          <w:fldChar w:fldCharType="begin"/>
        </w:r>
        <w:r w:rsidR="009C5382">
          <w:rPr>
            <w:noProof/>
            <w:webHidden/>
          </w:rPr>
          <w:instrText xml:space="preserve"> PAGEREF _Toc124329922 \h </w:instrText>
        </w:r>
        <w:r w:rsidR="009C5382">
          <w:rPr>
            <w:noProof/>
            <w:webHidden/>
          </w:rPr>
        </w:r>
        <w:r w:rsidR="009C5382">
          <w:rPr>
            <w:noProof/>
            <w:webHidden/>
          </w:rPr>
          <w:fldChar w:fldCharType="separate"/>
        </w:r>
        <w:r w:rsidR="009C5382">
          <w:rPr>
            <w:noProof/>
            <w:webHidden/>
          </w:rPr>
          <w:t>14</w:t>
        </w:r>
        <w:r w:rsidR="009C5382">
          <w:rPr>
            <w:noProof/>
            <w:webHidden/>
          </w:rPr>
          <w:fldChar w:fldCharType="end"/>
        </w:r>
      </w:hyperlink>
    </w:p>
    <w:p w14:paraId="1FC0D931" w14:textId="53364E3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3" w:history="1">
        <w:r w:rsidR="009C5382" w:rsidRPr="00773C89">
          <w:rPr>
            <w:rStyle w:val="Lienhypertexte"/>
            <w:rFonts w:cs="Calibri"/>
            <w:noProof/>
            <w:lang w:eastAsia="fr-CA"/>
          </w:rPr>
          <w:t>4.1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Informations générales</w:t>
        </w:r>
        <w:r w:rsidR="009C5382">
          <w:rPr>
            <w:noProof/>
            <w:webHidden/>
          </w:rPr>
          <w:tab/>
        </w:r>
        <w:r w:rsidR="009C5382">
          <w:rPr>
            <w:noProof/>
            <w:webHidden/>
          </w:rPr>
          <w:fldChar w:fldCharType="begin"/>
        </w:r>
        <w:r w:rsidR="009C5382">
          <w:rPr>
            <w:noProof/>
            <w:webHidden/>
          </w:rPr>
          <w:instrText xml:space="preserve"> PAGEREF _Toc124329923 \h </w:instrText>
        </w:r>
        <w:r w:rsidR="009C5382">
          <w:rPr>
            <w:noProof/>
            <w:webHidden/>
          </w:rPr>
        </w:r>
        <w:r w:rsidR="009C5382">
          <w:rPr>
            <w:noProof/>
            <w:webHidden/>
          </w:rPr>
          <w:fldChar w:fldCharType="separate"/>
        </w:r>
        <w:r w:rsidR="009C5382">
          <w:rPr>
            <w:noProof/>
            <w:webHidden/>
          </w:rPr>
          <w:t>15</w:t>
        </w:r>
        <w:r w:rsidR="009C5382">
          <w:rPr>
            <w:noProof/>
            <w:webHidden/>
          </w:rPr>
          <w:fldChar w:fldCharType="end"/>
        </w:r>
      </w:hyperlink>
    </w:p>
    <w:p w14:paraId="4458E48C" w14:textId="6F398E62"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4" w:history="1">
        <w:r w:rsidR="009C5382" w:rsidRPr="00773C89">
          <w:rPr>
            <w:rStyle w:val="Lienhypertexte"/>
            <w:rFonts w:cs="Calibri"/>
            <w:noProof/>
          </w:rPr>
          <w:t>4.2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Revenu additionnel requis</w:t>
        </w:r>
        <w:r w:rsidR="009C5382">
          <w:rPr>
            <w:noProof/>
            <w:webHidden/>
          </w:rPr>
          <w:tab/>
        </w:r>
        <w:r w:rsidR="009C5382">
          <w:rPr>
            <w:noProof/>
            <w:webHidden/>
          </w:rPr>
          <w:fldChar w:fldCharType="begin"/>
        </w:r>
        <w:r w:rsidR="009C5382">
          <w:rPr>
            <w:noProof/>
            <w:webHidden/>
          </w:rPr>
          <w:instrText xml:space="preserve"> PAGEREF _Toc124329924 \h </w:instrText>
        </w:r>
        <w:r w:rsidR="009C5382">
          <w:rPr>
            <w:noProof/>
            <w:webHidden/>
          </w:rPr>
        </w:r>
        <w:r w:rsidR="009C5382">
          <w:rPr>
            <w:noProof/>
            <w:webHidden/>
          </w:rPr>
          <w:fldChar w:fldCharType="separate"/>
        </w:r>
        <w:r w:rsidR="009C5382">
          <w:rPr>
            <w:noProof/>
            <w:webHidden/>
          </w:rPr>
          <w:t>16</w:t>
        </w:r>
        <w:r w:rsidR="009C5382">
          <w:rPr>
            <w:noProof/>
            <w:webHidden/>
          </w:rPr>
          <w:fldChar w:fldCharType="end"/>
        </w:r>
      </w:hyperlink>
    </w:p>
    <w:p w14:paraId="2144AE18" w14:textId="0A4C9A41"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5" w:history="1">
        <w:r w:rsidR="009C5382" w:rsidRPr="00773C89">
          <w:rPr>
            <w:rStyle w:val="Lienhypertexte"/>
            <w:rFonts w:cs="Calibri"/>
            <w:noProof/>
          </w:rPr>
          <w:t>4.3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Bénéfice net réglementé</w:t>
        </w:r>
        <w:r w:rsidR="009C5382">
          <w:rPr>
            <w:noProof/>
            <w:webHidden/>
          </w:rPr>
          <w:tab/>
        </w:r>
        <w:r w:rsidR="009C5382">
          <w:rPr>
            <w:noProof/>
            <w:webHidden/>
          </w:rPr>
          <w:fldChar w:fldCharType="begin"/>
        </w:r>
        <w:r w:rsidR="009C5382">
          <w:rPr>
            <w:noProof/>
            <w:webHidden/>
          </w:rPr>
          <w:instrText xml:space="preserve"> PAGEREF _Toc124329925 \h </w:instrText>
        </w:r>
        <w:r w:rsidR="009C5382">
          <w:rPr>
            <w:noProof/>
            <w:webHidden/>
          </w:rPr>
        </w:r>
        <w:r w:rsidR="009C5382">
          <w:rPr>
            <w:noProof/>
            <w:webHidden/>
          </w:rPr>
          <w:fldChar w:fldCharType="separate"/>
        </w:r>
        <w:r w:rsidR="009C5382">
          <w:rPr>
            <w:noProof/>
            <w:webHidden/>
          </w:rPr>
          <w:t>17</w:t>
        </w:r>
        <w:r w:rsidR="009C5382">
          <w:rPr>
            <w:noProof/>
            <w:webHidden/>
          </w:rPr>
          <w:fldChar w:fldCharType="end"/>
        </w:r>
      </w:hyperlink>
    </w:p>
    <w:p w14:paraId="62D7A363" w14:textId="7C07B6C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6" w:history="1">
        <w:r w:rsidR="009C5382" w:rsidRPr="00773C89">
          <w:rPr>
            <w:rStyle w:val="Lienhypertexte"/>
            <w:rFonts w:cs="Calibri"/>
            <w:noProof/>
          </w:rPr>
          <w:t>4.4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Charge d’amortissement</w:t>
        </w:r>
        <w:r w:rsidR="009C5382">
          <w:rPr>
            <w:noProof/>
            <w:webHidden/>
          </w:rPr>
          <w:tab/>
        </w:r>
        <w:r w:rsidR="009C5382">
          <w:rPr>
            <w:noProof/>
            <w:webHidden/>
          </w:rPr>
          <w:fldChar w:fldCharType="begin"/>
        </w:r>
        <w:r w:rsidR="009C5382">
          <w:rPr>
            <w:noProof/>
            <w:webHidden/>
          </w:rPr>
          <w:instrText xml:space="preserve"> PAGEREF _Toc124329926 \h </w:instrText>
        </w:r>
        <w:r w:rsidR="009C5382">
          <w:rPr>
            <w:noProof/>
            <w:webHidden/>
          </w:rPr>
        </w:r>
        <w:r w:rsidR="009C5382">
          <w:rPr>
            <w:noProof/>
            <w:webHidden/>
          </w:rPr>
          <w:fldChar w:fldCharType="separate"/>
        </w:r>
        <w:r w:rsidR="009C5382">
          <w:rPr>
            <w:noProof/>
            <w:webHidden/>
          </w:rPr>
          <w:t>18</w:t>
        </w:r>
        <w:r w:rsidR="009C5382">
          <w:rPr>
            <w:noProof/>
            <w:webHidden/>
          </w:rPr>
          <w:fldChar w:fldCharType="end"/>
        </w:r>
      </w:hyperlink>
    </w:p>
    <w:p w14:paraId="05A3F08C" w14:textId="44987A16"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7" w:history="1">
        <w:r w:rsidR="009C5382" w:rsidRPr="00773C89">
          <w:rPr>
            <w:rStyle w:val="Lienhypertexte"/>
            <w:rFonts w:cs="Calibri"/>
            <w:noProof/>
          </w:rPr>
          <w:t>4.5</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Revenu imposable et impôt à payer</w:t>
        </w:r>
        <w:r w:rsidR="009C5382">
          <w:rPr>
            <w:noProof/>
            <w:webHidden/>
          </w:rPr>
          <w:tab/>
        </w:r>
        <w:r w:rsidR="009C5382">
          <w:rPr>
            <w:noProof/>
            <w:webHidden/>
          </w:rPr>
          <w:fldChar w:fldCharType="begin"/>
        </w:r>
        <w:r w:rsidR="009C5382">
          <w:rPr>
            <w:noProof/>
            <w:webHidden/>
          </w:rPr>
          <w:instrText xml:space="preserve"> PAGEREF _Toc124329927 \h </w:instrText>
        </w:r>
        <w:r w:rsidR="009C5382">
          <w:rPr>
            <w:noProof/>
            <w:webHidden/>
          </w:rPr>
        </w:r>
        <w:r w:rsidR="009C5382">
          <w:rPr>
            <w:noProof/>
            <w:webHidden/>
          </w:rPr>
          <w:fldChar w:fldCharType="separate"/>
        </w:r>
        <w:r w:rsidR="009C5382">
          <w:rPr>
            <w:noProof/>
            <w:webHidden/>
          </w:rPr>
          <w:t>18</w:t>
        </w:r>
        <w:r w:rsidR="009C5382">
          <w:rPr>
            <w:noProof/>
            <w:webHidden/>
          </w:rPr>
          <w:fldChar w:fldCharType="end"/>
        </w:r>
      </w:hyperlink>
    </w:p>
    <w:p w14:paraId="7D4FEDB1" w14:textId="1D6A3C8B"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8" w:history="1">
        <w:r w:rsidR="009C5382" w:rsidRPr="00773C89">
          <w:rPr>
            <w:rStyle w:val="Lienhypertexte"/>
            <w:rFonts w:cs="Calibri"/>
            <w:noProof/>
          </w:rPr>
          <w:t>4.6</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Coût du capital</w:t>
        </w:r>
        <w:r w:rsidR="009C5382">
          <w:rPr>
            <w:noProof/>
            <w:webHidden/>
          </w:rPr>
          <w:tab/>
        </w:r>
        <w:r w:rsidR="009C5382">
          <w:rPr>
            <w:noProof/>
            <w:webHidden/>
          </w:rPr>
          <w:fldChar w:fldCharType="begin"/>
        </w:r>
        <w:r w:rsidR="009C5382">
          <w:rPr>
            <w:noProof/>
            <w:webHidden/>
          </w:rPr>
          <w:instrText xml:space="preserve"> PAGEREF _Toc124329928 \h </w:instrText>
        </w:r>
        <w:r w:rsidR="009C5382">
          <w:rPr>
            <w:noProof/>
            <w:webHidden/>
          </w:rPr>
        </w:r>
        <w:r w:rsidR="009C5382">
          <w:rPr>
            <w:noProof/>
            <w:webHidden/>
          </w:rPr>
          <w:fldChar w:fldCharType="separate"/>
        </w:r>
        <w:r w:rsidR="009C5382">
          <w:rPr>
            <w:noProof/>
            <w:webHidden/>
          </w:rPr>
          <w:t>19</w:t>
        </w:r>
        <w:r w:rsidR="009C5382">
          <w:rPr>
            <w:noProof/>
            <w:webHidden/>
          </w:rPr>
          <w:fldChar w:fldCharType="end"/>
        </w:r>
      </w:hyperlink>
    </w:p>
    <w:p w14:paraId="7E5EA066" w14:textId="2054A2CA"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29" w:history="1">
        <w:r w:rsidR="009C5382" w:rsidRPr="00773C89">
          <w:rPr>
            <w:rStyle w:val="Lienhypertexte"/>
            <w:rFonts w:cs="Calibri"/>
            <w:noProof/>
          </w:rPr>
          <w:t>4.7</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Base de tarification</w:t>
        </w:r>
        <w:r w:rsidR="009C5382">
          <w:rPr>
            <w:noProof/>
            <w:webHidden/>
          </w:rPr>
          <w:tab/>
        </w:r>
        <w:r w:rsidR="009C5382">
          <w:rPr>
            <w:noProof/>
            <w:webHidden/>
          </w:rPr>
          <w:fldChar w:fldCharType="begin"/>
        </w:r>
        <w:r w:rsidR="009C5382">
          <w:rPr>
            <w:noProof/>
            <w:webHidden/>
          </w:rPr>
          <w:instrText xml:space="preserve"> PAGEREF _Toc124329929 \h </w:instrText>
        </w:r>
        <w:r w:rsidR="009C5382">
          <w:rPr>
            <w:noProof/>
            <w:webHidden/>
          </w:rPr>
        </w:r>
        <w:r w:rsidR="009C5382">
          <w:rPr>
            <w:noProof/>
            <w:webHidden/>
          </w:rPr>
          <w:fldChar w:fldCharType="separate"/>
        </w:r>
        <w:r w:rsidR="009C5382">
          <w:rPr>
            <w:noProof/>
            <w:webHidden/>
          </w:rPr>
          <w:t>20</w:t>
        </w:r>
        <w:r w:rsidR="009C5382">
          <w:rPr>
            <w:noProof/>
            <w:webHidden/>
          </w:rPr>
          <w:fldChar w:fldCharType="end"/>
        </w:r>
      </w:hyperlink>
    </w:p>
    <w:p w14:paraId="0F3C6810" w14:textId="60CBD467"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30" w:history="1">
        <w:r w:rsidR="009C5382" w:rsidRPr="00773C89">
          <w:rPr>
            <w:rStyle w:val="Lienhypertexte"/>
            <w:rFonts w:cs="Calibri"/>
            <w:noProof/>
          </w:rPr>
          <w:t>4.8</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Investissements</w:t>
        </w:r>
        <w:r w:rsidR="009C5382">
          <w:rPr>
            <w:noProof/>
            <w:webHidden/>
          </w:rPr>
          <w:tab/>
        </w:r>
        <w:r w:rsidR="009C5382">
          <w:rPr>
            <w:noProof/>
            <w:webHidden/>
          </w:rPr>
          <w:fldChar w:fldCharType="begin"/>
        </w:r>
        <w:r w:rsidR="009C5382">
          <w:rPr>
            <w:noProof/>
            <w:webHidden/>
          </w:rPr>
          <w:instrText xml:space="preserve"> PAGEREF _Toc124329930 \h </w:instrText>
        </w:r>
        <w:r w:rsidR="009C5382">
          <w:rPr>
            <w:noProof/>
            <w:webHidden/>
          </w:rPr>
        </w:r>
        <w:r w:rsidR="009C5382">
          <w:rPr>
            <w:noProof/>
            <w:webHidden/>
          </w:rPr>
          <w:fldChar w:fldCharType="separate"/>
        </w:r>
        <w:r w:rsidR="009C5382">
          <w:rPr>
            <w:noProof/>
            <w:webHidden/>
          </w:rPr>
          <w:t>21</w:t>
        </w:r>
        <w:r w:rsidR="009C5382">
          <w:rPr>
            <w:noProof/>
            <w:webHidden/>
          </w:rPr>
          <w:fldChar w:fldCharType="end"/>
        </w:r>
      </w:hyperlink>
    </w:p>
    <w:p w14:paraId="1B70DCCC" w14:textId="049E7F66"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31" w:history="1">
        <w:r w:rsidR="009C5382" w:rsidRPr="00773C89">
          <w:rPr>
            <w:rStyle w:val="Lienhypertexte"/>
            <w:rFonts w:cs="Calibri"/>
            <w:noProof/>
          </w:rPr>
          <w:t>4.9</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Évolution du nombre de clients, des volumes et des revenus de distribution</w:t>
        </w:r>
        <w:r w:rsidR="009C5382">
          <w:rPr>
            <w:noProof/>
            <w:webHidden/>
          </w:rPr>
          <w:tab/>
        </w:r>
        <w:r w:rsidR="009C5382">
          <w:rPr>
            <w:noProof/>
            <w:webHidden/>
          </w:rPr>
          <w:fldChar w:fldCharType="begin"/>
        </w:r>
        <w:r w:rsidR="009C5382">
          <w:rPr>
            <w:noProof/>
            <w:webHidden/>
          </w:rPr>
          <w:instrText xml:space="preserve"> PAGEREF _Toc124329931 \h </w:instrText>
        </w:r>
        <w:r w:rsidR="009C5382">
          <w:rPr>
            <w:noProof/>
            <w:webHidden/>
          </w:rPr>
        </w:r>
        <w:r w:rsidR="009C5382">
          <w:rPr>
            <w:noProof/>
            <w:webHidden/>
          </w:rPr>
          <w:fldChar w:fldCharType="separate"/>
        </w:r>
        <w:r w:rsidR="009C5382">
          <w:rPr>
            <w:noProof/>
            <w:webHidden/>
          </w:rPr>
          <w:t>21</w:t>
        </w:r>
        <w:r w:rsidR="009C5382">
          <w:rPr>
            <w:noProof/>
            <w:webHidden/>
          </w:rPr>
          <w:fldChar w:fldCharType="end"/>
        </w:r>
      </w:hyperlink>
    </w:p>
    <w:p w14:paraId="53D32D50" w14:textId="6C3546A8"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2" w:history="1">
        <w:r w:rsidR="009C5382" w:rsidRPr="00773C89">
          <w:rPr>
            <w:rStyle w:val="Lienhypertexte"/>
            <w:rFonts w:cs="Calibri"/>
            <w:noProof/>
          </w:rPr>
          <w:t>4.10</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Méthode de répartition des coûts</w:t>
        </w:r>
        <w:r w:rsidR="009C5382">
          <w:rPr>
            <w:noProof/>
            <w:webHidden/>
          </w:rPr>
          <w:tab/>
        </w:r>
        <w:r w:rsidR="009C5382">
          <w:rPr>
            <w:noProof/>
            <w:webHidden/>
          </w:rPr>
          <w:fldChar w:fldCharType="begin"/>
        </w:r>
        <w:r w:rsidR="009C5382">
          <w:rPr>
            <w:noProof/>
            <w:webHidden/>
          </w:rPr>
          <w:instrText xml:space="preserve"> PAGEREF _Toc124329932 \h </w:instrText>
        </w:r>
        <w:r w:rsidR="009C5382">
          <w:rPr>
            <w:noProof/>
            <w:webHidden/>
          </w:rPr>
        </w:r>
        <w:r w:rsidR="009C5382">
          <w:rPr>
            <w:noProof/>
            <w:webHidden/>
          </w:rPr>
          <w:fldChar w:fldCharType="separate"/>
        </w:r>
        <w:r w:rsidR="009C5382">
          <w:rPr>
            <w:noProof/>
            <w:webHidden/>
          </w:rPr>
          <w:t>22</w:t>
        </w:r>
        <w:r w:rsidR="009C5382">
          <w:rPr>
            <w:noProof/>
            <w:webHidden/>
          </w:rPr>
          <w:fldChar w:fldCharType="end"/>
        </w:r>
      </w:hyperlink>
    </w:p>
    <w:p w14:paraId="677E4089" w14:textId="1C8E5E7B"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3" w:history="1">
        <w:r w:rsidR="009C5382" w:rsidRPr="00773C89">
          <w:rPr>
            <w:rStyle w:val="Lienhypertexte"/>
            <w:rFonts w:cs="Calibri"/>
            <w:noProof/>
          </w:rPr>
          <w:t>4.11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Structure tarifaire</w:t>
        </w:r>
        <w:r w:rsidR="009C5382">
          <w:rPr>
            <w:noProof/>
            <w:webHidden/>
          </w:rPr>
          <w:tab/>
        </w:r>
        <w:r w:rsidR="009C5382">
          <w:rPr>
            <w:noProof/>
            <w:webHidden/>
          </w:rPr>
          <w:fldChar w:fldCharType="begin"/>
        </w:r>
        <w:r w:rsidR="009C5382">
          <w:rPr>
            <w:noProof/>
            <w:webHidden/>
          </w:rPr>
          <w:instrText xml:space="preserve"> PAGEREF _Toc124329933 \h </w:instrText>
        </w:r>
        <w:r w:rsidR="009C5382">
          <w:rPr>
            <w:noProof/>
            <w:webHidden/>
          </w:rPr>
        </w:r>
        <w:r w:rsidR="009C5382">
          <w:rPr>
            <w:noProof/>
            <w:webHidden/>
          </w:rPr>
          <w:fldChar w:fldCharType="separate"/>
        </w:r>
        <w:r w:rsidR="009C5382">
          <w:rPr>
            <w:noProof/>
            <w:webHidden/>
          </w:rPr>
          <w:t>22</w:t>
        </w:r>
        <w:r w:rsidR="009C5382">
          <w:rPr>
            <w:noProof/>
            <w:webHidden/>
          </w:rPr>
          <w:fldChar w:fldCharType="end"/>
        </w:r>
      </w:hyperlink>
    </w:p>
    <w:p w14:paraId="717EA5E0" w14:textId="152D6B22"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4" w:history="1">
        <w:r w:rsidR="009C5382" w:rsidRPr="00773C89">
          <w:rPr>
            <w:rStyle w:val="Lienhypertexte"/>
            <w:rFonts w:cs="Calibri"/>
            <w:noProof/>
          </w:rPr>
          <w:t>4.12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Charges liées au coût du gaz</w:t>
        </w:r>
        <w:r w:rsidR="009C5382">
          <w:rPr>
            <w:noProof/>
            <w:webHidden/>
          </w:rPr>
          <w:tab/>
        </w:r>
        <w:r w:rsidR="009C5382">
          <w:rPr>
            <w:noProof/>
            <w:webHidden/>
          </w:rPr>
          <w:fldChar w:fldCharType="begin"/>
        </w:r>
        <w:r w:rsidR="009C5382">
          <w:rPr>
            <w:noProof/>
            <w:webHidden/>
          </w:rPr>
          <w:instrText xml:space="preserve"> PAGEREF _Toc124329934 \h </w:instrText>
        </w:r>
        <w:r w:rsidR="009C5382">
          <w:rPr>
            <w:noProof/>
            <w:webHidden/>
          </w:rPr>
        </w:r>
        <w:r w:rsidR="009C5382">
          <w:rPr>
            <w:noProof/>
            <w:webHidden/>
          </w:rPr>
          <w:fldChar w:fldCharType="separate"/>
        </w:r>
        <w:r w:rsidR="009C5382">
          <w:rPr>
            <w:noProof/>
            <w:webHidden/>
          </w:rPr>
          <w:t>23</w:t>
        </w:r>
        <w:r w:rsidR="009C5382">
          <w:rPr>
            <w:noProof/>
            <w:webHidden/>
          </w:rPr>
          <w:fldChar w:fldCharType="end"/>
        </w:r>
      </w:hyperlink>
    </w:p>
    <w:p w14:paraId="22AE87F9" w14:textId="0E38C5BD"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5" w:history="1">
        <w:r w:rsidR="009C5382" w:rsidRPr="00773C89">
          <w:rPr>
            <w:rStyle w:val="Lienhypertexte"/>
            <w:rFonts w:cs="Calibri"/>
            <w:noProof/>
          </w:rPr>
          <w:t>4.13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Programmes commerciaux</w:t>
        </w:r>
        <w:r w:rsidR="009C5382">
          <w:rPr>
            <w:noProof/>
            <w:webHidden/>
          </w:rPr>
          <w:tab/>
        </w:r>
        <w:r w:rsidR="009C5382">
          <w:rPr>
            <w:noProof/>
            <w:webHidden/>
          </w:rPr>
          <w:fldChar w:fldCharType="begin"/>
        </w:r>
        <w:r w:rsidR="009C5382">
          <w:rPr>
            <w:noProof/>
            <w:webHidden/>
          </w:rPr>
          <w:instrText xml:space="preserve"> PAGEREF _Toc124329935 \h </w:instrText>
        </w:r>
        <w:r w:rsidR="009C5382">
          <w:rPr>
            <w:noProof/>
            <w:webHidden/>
          </w:rPr>
        </w:r>
        <w:r w:rsidR="009C5382">
          <w:rPr>
            <w:noProof/>
            <w:webHidden/>
          </w:rPr>
          <w:fldChar w:fldCharType="separate"/>
        </w:r>
        <w:r w:rsidR="009C5382">
          <w:rPr>
            <w:noProof/>
            <w:webHidden/>
          </w:rPr>
          <w:t>24</w:t>
        </w:r>
        <w:r w:rsidR="009C5382">
          <w:rPr>
            <w:noProof/>
            <w:webHidden/>
          </w:rPr>
          <w:fldChar w:fldCharType="end"/>
        </w:r>
      </w:hyperlink>
    </w:p>
    <w:p w14:paraId="1CA33034" w14:textId="649F7B3B"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6" w:history="1">
        <w:r w:rsidR="009C5382" w:rsidRPr="00773C89">
          <w:rPr>
            <w:rStyle w:val="Lienhypertexte"/>
            <w:rFonts w:cs="Calibri"/>
            <w:noProof/>
          </w:rPr>
          <w:t>4.14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Système de plafonnement et d’échanges de droits d’émission (SPEDE)</w:t>
        </w:r>
        <w:r w:rsidR="009C5382">
          <w:rPr>
            <w:noProof/>
            <w:webHidden/>
          </w:rPr>
          <w:tab/>
        </w:r>
        <w:r w:rsidR="009C5382">
          <w:rPr>
            <w:noProof/>
            <w:webHidden/>
          </w:rPr>
          <w:fldChar w:fldCharType="begin"/>
        </w:r>
        <w:r w:rsidR="009C5382">
          <w:rPr>
            <w:noProof/>
            <w:webHidden/>
          </w:rPr>
          <w:instrText xml:space="preserve"> PAGEREF _Toc124329936 \h </w:instrText>
        </w:r>
        <w:r w:rsidR="009C5382">
          <w:rPr>
            <w:noProof/>
            <w:webHidden/>
          </w:rPr>
        </w:r>
        <w:r w:rsidR="009C5382">
          <w:rPr>
            <w:noProof/>
            <w:webHidden/>
          </w:rPr>
          <w:fldChar w:fldCharType="separate"/>
        </w:r>
        <w:r w:rsidR="009C5382">
          <w:rPr>
            <w:noProof/>
            <w:webHidden/>
          </w:rPr>
          <w:t>24</w:t>
        </w:r>
        <w:r w:rsidR="009C5382">
          <w:rPr>
            <w:noProof/>
            <w:webHidden/>
          </w:rPr>
          <w:fldChar w:fldCharType="end"/>
        </w:r>
      </w:hyperlink>
    </w:p>
    <w:p w14:paraId="3B7CFF13" w14:textId="63AFEE70"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7" w:history="1">
        <w:r w:rsidR="009C5382" w:rsidRPr="00773C89">
          <w:rPr>
            <w:rStyle w:val="Lienhypertexte"/>
            <w:rFonts w:cs="Calibri"/>
            <w:noProof/>
          </w:rPr>
          <w:t>4.15</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Pouvoir calorifique</w:t>
        </w:r>
        <w:r w:rsidR="009C5382">
          <w:rPr>
            <w:noProof/>
            <w:webHidden/>
          </w:rPr>
          <w:tab/>
        </w:r>
        <w:r w:rsidR="009C5382">
          <w:rPr>
            <w:noProof/>
            <w:webHidden/>
          </w:rPr>
          <w:fldChar w:fldCharType="begin"/>
        </w:r>
        <w:r w:rsidR="009C5382">
          <w:rPr>
            <w:noProof/>
            <w:webHidden/>
          </w:rPr>
          <w:instrText xml:space="preserve"> PAGEREF _Toc124329937 \h </w:instrText>
        </w:r>
        <w:r w:rsidR="009C5382">
          <w:rPr>
            <w:noProof/>
            <w:webHidden/>
          </w:rPr>
        </w:r>
        <w:r w:rsidR="009C5382">
          <w:rPr>
            <w:noProof/>
            <w:webHidden/>
          </w:rPr>
          <w:fldChar w:fldCharType="separate"/>
        </w:r>
        <w:r w:rsidR="009C5382">
          <w:rPr>
            <w:noProof/>
            <w:webHidden/>
          </w:rPr>
          <w:t>25</w:t>
        </w:r>
        <w:r w:rsidR="009C5382">
          <w:rPr>
            <w:noProof/>
            <w:webHidden/>
          </w:rPr>
          <w:fldChar w:fldCharType="end"/>
        </w:r>
      </w:hyperlink>
    </w:p>
    <w:p w14:paraId="455260FB" w14:textId="1730F3D6"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38" w:history="1">
        <w:r w:rsidR="009C5382" w:rsidRPr="00773C89">
          <w:rPr>
            <w:rStyle w:val="Lienhypertexte"/>
            <w:rFonts w:cs="Calibri"/>
            <w:noProof/>
          </w:rPr>
          <w:t>4.16</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Texte des CST</w:t>
        </w:r>
        <w:r w:rsidR="009C5382">
          <w:rPr>
            <w:noProof/>
            <w:webHidden/>
          </w:rPr>
          <w:tab/>
        </w:r>
        <w:r w:rsidR="009C5382">
          <w:rPr>
            <w:noProof/>
            <w:webHidden/>
          </w:rPr>
          <w:fldChar w:fldCharType="begin"/>
        </w:r>
        <w:r w:rsidR="009C5382">
          <w:rPr>
            <w:noProof/>
            <w:webHidden/>
          </w:rPr>
          <w:instrText xml:space="preserve"> PAGEREF _Toc124329938 \h </w:instrText>
        </w:r>
        <w:r w:rsidR="009C5382">
          <w:rPr>
            <w:noProof/>
            <w:webHidden/>
          </w:rPr>
        </w:r>
        <w:r w:rsidR="009C5382">
          <w:rPr>
            <w:noProof/>
            <w:webHidden/>
          </w:rPr>
          <w:fldChar w:fldCharType="separate"/>
        </w:r>
        <w:r w:rsidR="009C5382">
          <w:rPr>
            <w:noProof/>
            <w:webHidden/>
          </w:rPr>
          <w:t>25</w:t>
        </w:r>
        <w:r w:rsidR="009C5382">
          <w:rPr>
            <w:noProof/>
            <w:webHidden/>
          </w:rPr>
          <w:fldChar w:fldCharType="end"/>
        </w:r>
      </w:hyperlink>
    </w:p>
    <w:p w14:paraId="045F584D" w14:textId="2A7A9456"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39" w:history="1">
        <w:r w:rsidR="009C5382" w:rsidRPr="00773C89">
          <w:rPr>
            <w:rStyle w:val="Lienhypertexte"/>
            <w:rFonts w:cs="Calibri"/>
            <w:noProof/>
          </w:rPr>
          <w:t>5.</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Informations spécifiques en lien avec les programmes et mesures en efficacité énergétique et leur budget annuel</w:t>
        </w:r>
        <w:r w:rsidR="009C5382">
          <w:rPr>
            <w:noProof/>
            <w:webHidden/>
          </w:rPr>
          <w:tab/>
        </w:r>
        <w:r w:rsidR="009C5382">
          <w:rPr>
            <w:noProof/>
            <w:webHidden/>
          </w:rPr>
          <w:fldChar w:fldCharType="begin"/>
        </w:r>
        <w:r w:rsidR="009C5382">
          <w:rPr>
            <w:noProof/>
            <w:webHidden/>
          </w:rPr>
          <w:instrText xml:space="preserve"> PAGEREF _Toc124329939 \h </w:instrText>
        </w:r>
        <w:r w:rsidR="009C5382">
          <w:rPr>
            <w:noProof/>
            <w:webHidden/>
          </w:rPr>
        </w:r>
        <w:r w:rsidR="009C5382">
          <w:rPr>
            <w:noProof/>
            <w:webHidden/>
          </w:rPr>
          <w:fldChar w:fldCharType="separate"/>
        </w:r>
        <w:r w:rsidR="009C5382">
          <w:rPr>
            <w:noProof/>
            <w:webHidden/>
          </w:rPr>
          <w:t>26</w:t>
        </w:r>
        <w:r w:rsidR="009C5382">
          <w:rPr>
            <w:noProof/>
            <w:webHidden/>
          </w:rPr>
          <w:fldChar w:fldCharType="end"/>
        </w:r>
      </w:hyperlink>
    </w:p>
    <w:p w14:paraId="58CB30A7" w14:textId="3DD3DDA3"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0" w:history="1">
        <w:r w:rsidR="009C5382" w:rsidRPr="00773C89">
          <w:rPr>
            <w:rStyle w:val="Lienhypertexte"/>
            <w:rFonts w:cs="Calibri"/>
            <w:noProof/>
          </w:rPr>
          <w:t>5.1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Contexte : mise en œuvre des Plans directeurs en transition, innovation et efficacité énergétiques du Québec</w:t>
        </w:r>
        <w:r w:rsidR="009C5382">
          <w:rPr>
            <w:noProof/>
            <w:webHidden/>
          </w:rPr>
          <w:tab/>
        </w:r>
        <w:r w:rsidR="009C5382">
          <w:rPr>
            <w:noProof/>
            <w:webHidden/>
          </w:rPr>
          <w:fldChar w:fldCharType="begin"/>
        </w:r>
        <w:r w:rsidR="009C5382">
          <w:rPr>
            <w:noProof/>
            <w:webHidden/>
          </w:rPr>
          <w:instrText xml:space="preserve"> PAGEREF _Toc124329940 \h </w:instrText>
        </w:r>
        <w:r w:rsidR="009C5382">
          <w:rPr>
            <w:noProof/>
            <w:webHidden/>
          </w:rPr>
        </w:r>
        <w:r w:rsidR="009C5382">
          <w:rPr>
            <w:noProof/>
            <w:webHidden/>
          </w:rPr>
          <w:fldChar w:fldCharType="separate"/>
        </w:r>
        <w:r w:rsidR="009C5382">
          <w:rPr>
            <w:noProof/>
            <w:webHidden/>
          </w:rPr>
          <w:t>26</w:t>
        </w:r>
        <w:r w:rsidR="009C5382">
          <w:rPr>
            <w:noProof/>
            <w:webHidden/>
          </w:rPr>
          <w:fldChar w:fldCharType="end"/>
        </w:r>
      </w:hyperlink>
    </w:p>
    <w:p w14:paraId="061656BB" w14:textId="3D2DE0E3"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1" w:history="1">
        <w:r w:rsidR="009C5382" w:rsidRPr="00773C89">
          <w:rPr>
            <w:rStyle w:val="Lienhypertexte"/>
            <w:rFonts w:cs="Calibri"/>
            <w:noProof/>
          </w:rPr>
          <w:t>5.2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Exigences de dépôt</w:t>
        </w:r>
        <w:r w:rsidR="009C5382">
          <w:rPr>
            <w:noProof/>
            <w:webHidden/>
          </w:rPr>
          <w:tab/>
        </w:r>
        <w:r w:rsidR="009C5382">
          <w:rPr>
            <w:noProof/>
            <w:webHidden/>
          </w:rPr>
          <w:fldChar w:fldCharType="begin"/>
        </w:r>
        <w:r w:rsidR="009C5382">
          <w:rPr>
            <w:noProof/>
            <w:webHidden/>
          </w:rPr>
          <w:instrText xml:space="preserve"> PAGEREF _Toc124329941 \h </w:instrText>
        </w:r>
        <w:r w:rsidR="009C5382">
          <w:rPr>
            <w:noProof/>
            <w:webHidden/>
          </w:rPr>
        </w:r>
        <w:r w:rsidR="009C5382">
          <w:rPr>
            <w:noProof/>
            <w:webHidden/>
          </w:rPr>
          <w:fldChar w:fldCharType="separate"/>
        </w:r>
        <w:r w:rsidR="009C5382">
          <w:rPr>
            <w:noProof/>
            <w:webHidden/>
          </w:rPr>
          <w:t>26</w:t>
        </w:r>
        <w:r w:rsidR="009C5382">
          <w:rPr>
            <w:noProof/>
            <w:webHidden/>
          </w:rPr>
          <w:fldChar w:fldCharType="end"/>
        </w:r>
      </w:hyperlink>
    </w:p>
    <w:p w14:paraId="2209F22B" w14:textId="1F157180"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2" w:history="1">
        <w:r w:rsidR="009C5382" w:rsidRPr="00773C89">
          <w:rPr>
            <w:rStyle w:val="Lienhypertexte"/>
            <w:rFonts w:cs="Calibri"/>
            <w:noProof/>
          </w:rPr>
          <w:t>5.3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Proposition de programmes, volets et mesures du PGEÉ</w:t>
        </w:r>
        <w:r w:rsidR="009C5382">
          <w:rPr>
            <w:noProof/>
            <w:webHidden/>
          </w:rPr>
          <w:tab/>
        </w:r>
        <w:r w:rsidR="009C5382">
          <w:rPr>
            <w:noProof/>
            <w:webHidden/>
          </w:rPr>
          <w:fldChar w:fldCharType="begin"/>
        </w:r>
        <w:r w:rsidR="009C5382">
          <w:rPr>
            <w:noProof/>
            <w:webHidden/>
          </w:rPr>
          <w:instrText xml:space="preserve"> PAGEREF _Toc124329942 \h </w:instrText>
        </w:r>
        <w:r w:rsidR="009C5382">
          <w:rPr>
            <w:noProof/>
            <w:webHidden/>
          </w:rPr>
        </w:r>
        <w:r w:rsidR="009C5382">
          <w:rPr>
            <w:noProof/>
            <w:webHidden/>
          </w:rPr>
          <w:fldChar w:fldCharType="separate"/>
        </w:r>
        <w:r w:rsidR="009C5382">
          <w:rPr>
            <w:noProof/>
            <w:webHidden/>
          </w:rPr>
          <w:t>27</w:t>
        </w:r>
        <w:r w:rsidR="009C5382">
          <w:rPr>
            <w:noProof/>
            <w:webHidden/>
          </w:rPr>
          <w:fldChar w:fldCharType="end"/>
        </w:r>
      </w:hyperlink>
    </w:p>
    <w:p w14:paraId="729C11DE" w14:textId="69C8AE07"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43" w:history="1">
        <w:r w:rsidR="009C5382" w:rsidRPr="00773C89">
          <w:rPr>
            <w:rStyle w:val="Lienhypertexte"/>
            <w:rFonts w:cs="Calibri"/>
            <w:noProof/>
          </w:rPr>
          <w:t>6.</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Informations spécifiques en lien avec les projets d’investissement</w:t>
        </w:r>
        <w:r w:rsidR="009C5382">
          <w:rPr>
            <w:noProof/>
            <w:webHidden/>
          </w:rPr>
          <w:tab/>
        </w:r>
        <w:r w:rsidR="009C5382">
          <w:rPr>
            <w:noProof/>
            <w:webHidden/>
          </w:rPr>
          <w:fldChar w:fldCharType="begin"/>
        </w:r>
        <w:r w:rsidR="009C5382">
          <w:rPr>
            <w:noProof/>
            <w:webHidden/>
          </w:rPr>
          <w:instrText xml:space="preserve"> PAGEREF _Toc124329943 \h </w:instrText>
        </w:r>
        <w:r w:rsidR="009C5382">
          <w:rPr>
            <w:noProof/>
            <w:webHidden/>
          </w:rPr>
        </w:r>
        <w:r w:rsidR="009C5382">
          <w:rPr>
            <w:noProof/>
            <w:webHidden/>
          </w:rPr>
          <w:fldChar w:fldCharType="separate"/>
        </w:r>
        <w:r w:rsidR="009C5382">
          <w:rPr>
            <w:noProof/>
            <w:webHidden/>
          </w:rPr>
          <w:t>30</w:t>
        </w:r>
        <w:r w:rsidR="009C5382">
          <w:rPr>
            <w:noProof/>
            <w:webHidden/>
          </w:rPr>
          <w:fldChar w:fldCharType="end"/>
        </w:r>
      </w:hyperlink>
    </w:p>
    <w:p w14:paraId="68665EF7" w14:textId="560EB19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4" w:history="1">
        <w:r w:rsidR="009C5382" w:rsidRPr="00773C89">
          <w:rPr>
            <w:rStyle w:val="Lienhypertexte"/>
            <w:noProof/>
          </w:rPr>
          <w:t>6.1</w:t>
        </w:r>
        <w:r w:rsidR="009C5382">
          <w:rPr>
            <w:rFonts w:asciiTheme="minorHAnsi" w:eastAsiaTheme="minorEastAsia" w:hAnsiTheme="minorHAnsi" w:cstheme="minorBidi"/>
            <w:b w:val="0"/>
            <w:noProof/>
            <w:sz w:val="22"/>
            <w:szCs w:val="22"/>
            <w:lang w:eastAsia="fr-CA"/>
          </w:rPr>
          <w:tab/>
        </w:r>
        <w:r w:rsidR="009C5382" w:rsidRPr="00773C89">
          <w:rPr>
            <w:rStyle w:val="Lienhypertexte"/>
            <w:noProof/>
          </w:rPr>
          <w:t>Contexte juridique et règlementaire</w:t>
        </w:r>
        <w:r w:rsidR="009C5382">
          <w:rPr>
            <w:noProof/>
            <w:webHidden/>
          </w:rPr>
          <w:tab/>
        </w:r>
        <w:r w:rsidR="009C5382">
          <w:rPr>
            <w:noProof/>
            <w:webHidden/>
          </w:rPr>
          <w:fldChar w:fldCharType="begin"/>
        </w:r>
        <w:r w:rsidR="009C5382">
          <w:rPr>
            <w:noProof/>
            <w:webHidden/>
          </w:rPr>
          <w:instrText xml:space="preserve"> PAGEREF _Toc124329944 \h </w:instrText>
        </w:r>
        <w:r w:rsidR="009C5382">
          <w:rPr>
            <w:noProof/>
            <w:webHidden/>
          </w:rPr>
        </w:r>
        <w:r w:rsidR="009C5382">
          <w:rPr>
            <w:noProof/>
            <w:webHidden/>
          </w:rPr>
          <w:fldChar w:fldCharType="separate"/>
        </w:r>
        <w:r w:rsidR="009C5382">
          <w:rPr>
            <w:noProof/>
            <w:webHidden/>
          </w:rPr>
          <w:t>30</w:t>
        </w:r>
        <w:r w:rsidR="009C5382">
          <w:rPr>
            <w:noProof/>
            <w:webHidden/>
          </w:rPr>
          <w:fldChar w:fldCharType="end"/>
        </w:r>
      </w:hyperlink>
    </w:p>
    <w:p w14:paraId="3A562A88" w14:textId="1FCB7B94"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5" w:history="1">
        <w:r w:rsidR="009C5382" w:rsidRPr="00773C89">
          <w:rPr>
            <w:rStyle w:val="Lienhypertexte"/>
            <w:rFonts w:cs="Calibri"/>
            <w:noProof/>
          </w:rPr>
          <w:t>6.2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Projets dont les coûts sont égaux ou supérieurs à 1,2 M$</w:t>
        </w:r>
        <w:r w:rsidR="009C5382">
          <w:rPr>
            <w:noProof/>
            <w:webHidden/>
          </w:rPr>
          <w:tab/>
        </w:r>
        <w:r w:rsidR="009C5382">
          <w:rPr>
            <w:noProof/>
            <w:webHidden/>
          </w:rPr>
          <w:fldChar w:fldCharType="begin"/>
        </w:r>
        <w:r w:rsidR="009C5382">
          <w:rPr>
            <w:noProof/>
            <w:webHidden/>
          </w:rPr>
          <w:instrText xml:space="preserve"> PAGEREF _Toc124329945 \h </w:instrText>
        </w:r>
        <w:r w:rsidR="009C5382">
          <w:rPr>
            <w:noProof/>
            <w:webHidden/>
          </w:rPr>
        </w:r>
        <w:r w:rsidR="009C5382">
          <w:rPr>
            <w:noProof/>
            <w:webHidden/>
          </w:rPr>
          <w:fldChar w:fldCharType="separate"/>
        </w:r>
        <w:r w:rsidR="009C5382">
          <w:rPr>
            <w:noProof/>
            <w:webHidden/>
          </w:rPr>
          <w:t>30</w:t>
        </w:r>
        <w:r w:rsidR="009C5382">
          <w:rPr>
            <w:noProof/>
            <w:webHidden/>
          </w:rPr>
          <w:fldChar w:fldCharType="end"/>
        </w:r>
      </w:hyperlink>
    </w:p>
    <w:p w14:paraId="16AA8677" w14:textId="2F01DC2A"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6" w:history="1">
        <w:r w:rsidR="009C5382" w:rsidRPr="00773C89">
          <w:rPr>
            <w:rStyle w:val="Lienhypertexte"/>
            <w:rFonts w:cs="Calibri"/>
            <w:noProof/>
          </w:rPr>
          <w:t>6.3</w:t>
        </w:r>
        <w:r w:rsidR="009C5382">
          <w:rPr>
            <w:rFonts w:asciiTheme="minorHAnsi" w:eastAsiaTheme="minorEastAsia" w:hAnsiTheme="minorHAnsi" w:cstheme="minorBidi"/>
            <w:b w:val="0"/>
            <w:noProof/>
            <w:sz w:val="22"/>
            <w:szCs w:val="22"/>
            <w:lang w:eastAsia="fr-CA"/>
          </w:rPr>
          <w:tab/>
        </w:r>
        <w:r w:rsidR="009C5382" w:rsidRPr="00773C89">
          <w:rPr>
            <w:rStyle w:val="Lienhypertexte"/>
            <w:noProof/>
          </w:rPr>
          <w:t xml:space="preserve">Informations requises au dossier tarifaire </w:t>
        </w:r>
        <w:r w:rsidR="009C5382" w:rsidRPr="00773C89">
          <w:rPr>
            <w:rStyle w:val="Lienhypertexte"/>
            <w:rFonts w:cs="Calibri"/>
            <w:noProof/>
          </w:rPr>
          <w:t>pour les investissements dont le coût est inférieur à 1,2 M$</w:t>
        </w:r>
        <w:r w:rsidR="009C5382">
          <w:rPr>
            <w:noProof/>
            <w:webHidden/>
          </w:rPr>
          <w:tab/>
        </w:r>
        <w:r w:rsidR="009C5382">
          <w:rPr>
            <w:noProof/>
            <w:webHidden/>
          </w:rPr>
          <w:fldChar w:fldCharType="begin"/>
        </w:r>
        <w:r w:rsidR="009C5382">
          <w:rPr>
            <w:noProof/>
            <w:webHidden/>
          </w:rPr>
          <w:instrText xml:space="preserve"> PAGEREF _Toc124329946 \h </w:instrText>
        </w:r>
        <w:r w:rsidR="009C5382">
          <w:rPr>
            <w:noProof/>
            <w:webHidden/>
          </w:rPr>
        </w:r>
        <w:r w:rsidR="009C5382">
          <w:rPr>
            <w:noProof/>
            <w:webHidden/>
          </w:rPr>
          <w:fldChar w:fldCharType="separate"/>
        </w:r>
        <w:r w:rsidR="009C5382">
          <w:rPr>
            <w:noProof/>
            <w:webHidden/>
          </w:rPr>
          <w:t>35</w:t>
        </w:r>
        <w:r w:rsidR="009C5382">
          <w:rPr>
            <w:noProof/>
            <w:webHidden/>
          </w:rPr>
          <w:fldChar w:fldCharType="end"/>
        </w:r>
      </w:hyperlink>
    </w:p>
    <w:p w14:paraId="26F53BA7" w14:textId="5CAB4B47"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47" w:history="1">
        <w:r w:rsidR="009C5382" w:rsidRPr="00773C89">
          <w:rPr>
            <w:rStyle w:val="Lienhypertexte"/>
            <w:rFonts w:cs="Calibri"/>
            <w:noProof/>
          </w:rPr>
          <w:t>7.</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Informations spécifiques requises en lien avec la fermeture règlementaire des livres</w:t>
        </w:r>
        <w:r w:rsidR="009C5382">
          <w:rPr>
            <w:noProof/>
            <w:webHidden/>
          </w:rPr>
          <w:tab/>
        </w:r>
        <w:r w:rsidR="009C5382">
          <w:rPr>
            <w:noProof/>
            <w:webHidden/>
          </w:rPr>
          <w:fldChar w:fldCharType="begin"/>
        </w:r>
        <w:r w:rsidR="009C5382">
          <w:rPr>
            <w:noProof/>
            <w:webHidden/>
          </w:rPr>
          <w:instrText xml:space="preserve"> PAGEREF _Toc124329947 \h </w:instrText>
        </w:r>
        <w:r w:rsidR="009C5382">
          <w:rPr>
            <w:noProof/>
            <w:webHidden/>
          </w:rPr>
        </w:r>
        <w:r w:rsidR="009C5382">
          <w:rPr>
            <w:noProof/>
            <w:webHidden/>
          </w:rPr>
          <w:fldChar w:fldCharType="separate"/>
        </w:r>
        <w:r w:rsidR="009C5382">
          <w:rPr>
            <w:noProof/>
            <w:webHidden/>
          </w:rPr>
          <w:t>35</w:t>
        </w:r>
        <w:r w:rsidR="009C5382">
          <w:rPr>
            <w:noProof/>
            <w:webHidden/>
          </w:rPr>
          <w:fldChar w:fldCharType="end"/>
        </w:r>
      </w:hyperlink>
    </w:p>
    <w:p w14:paraId="28FE46E4" w14:textId="4F5565C3"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8" w:history="1">
        <w:r w:rsidR="009C5382" w:rsidRPr="00773C89">
          <w:rPr>
            <w:rStyle w:val="Lienhypertexte"/>
            <w:rFonts w:cs="Calibri"/>
            <w:noProof/>
            <w:lang w:eastAsia="fr-CA"/>
          </w:rPr>
          <w:t>7.1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Informations générales</w:t>
        </w:r>
        <w:r w:rsidR="009C5382">
          <w:rPr>
            <w:noProof/>
            <w:webHidden/>
          </w:rPr>
          <w:tab/>
        </w:r>
        <w:r w:rsidR="009C5382">
          <w:rPr>
            <w:noProof/>
            <w:webHidden/>
          </w:rPr>
          <w:fldChar w:fldCharType="begin"/>
        </w:r>
        <w:r w:rsidR="009C5382">
          <w:rPr>
            <w:noProof/>
            <w:webHidden/>
          </w:rPr>
          <w:instrText xml:space="preserve"> PAGEREF _Toc124329948 \h </w:instrText>
        </w:r>
        <w:r w:rsidR="009C5382">
          <w:rPr>
            <w:noProof/>
            <w:webHidden/>
          </w:rPr>
        </w:r>
        <w:r w:rsidR="009C5382">
          <w:rPr>
            <w:noProof/>
            <w:webHidden/>
          </w:rPr>
          <w:fldChar w:fldCharType="separate"/>
        </w:r>
        <w:r w:rsidR="009C5382">
          <w:rPr>
            <w:noProof/>
            <w:webHidden/>
          </w:rPr>
          <w:t>36</w:t>
        </w:r>
        <w:r w:rsidR="009C5382">
          <w:rPr>
            <w:noProof/>
            <w:webHidden/>
          </w:rPr>
          <w:fldChar w:fldCharType="end"/>
        </w:r>
      </w:hyperlink>
    </w:p>
    <w:p w14:paraId="3DF26EC5" w14:textId="203EA3D4"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49" w:history="1">
        <w:r w:rsidR="009C5382" w:rsidRPr="00773C89">
          <w:rPr>
            <w:rStyle w:val="Lienhypertexte"/>
            <w:rFonts w:cs="Calibri"/>
            <w:noProof/>
          </w:rPr>
          <w:t>7.2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Bénéfice net réglementé</w:t>
        </w:r>
        <w:r w:rsidR="009C5382">
          <w:rPr>
            <w:noProof/>
            <w:webHidden/>
          </w:rPr>
          <w:tab/>
        </w:r>
        <w:r w:rsidR="009C5382">
          <w:rPr>
            <w:noProof/>
            <w:webHidden/>
          </w:rPr>
          <w:fldChar w:fldCharType="begin"/>
        </w:r>
        <w:r w:rsidR="009C5382">
          <w:rPr>
            <w:noProof/>
            <w:webHidden/>
          </w:rPr>
          <w:instrText xml:space="preserve"> PAGEREF _Toc124329949 \h </w:instrText>
        </w:r>
        <w:r w:rsidR="009C5382">
          <w:rPr>
            <w:noProof/>
            <w:webHidden/>
          </w:rPr>
        </w:r>
        <w:r w:rsidR="009C5382">
          <w:rPr>
            <w:noProof/>
            <w:webHidden/>
          </w:rPr>
          <w:fldChar w:fldCharType="separate"/>
        </w:r>
        <w:r w:rsidR="009C5382">
          <w:rPr>
            <w:noProof/>
            <w:webHidden/>
          </w:rPr>
          <w:t>36</w:t>
        </w:r>
        <w:r w:rsidR="009C5382">
          <w:rPr>
            <w:noProof/>
            <w:webHidden/>
          </w:rPr>
          <w:fldChar w:fldCharType="end"/>
        </w:r>
      </w:hyperlink>
    </w:p>
    <w:p w14:paraId="18906285" w14:textId="7B430F0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0" w:history="1">
        <w:r w:rsidR="009C5382" w:rsidRPr="00773C89">
          <w:rPr>
            <w:rStyle w:val="Lienhypertexte"/>
            <w:rFonts w:cs="Calibri"/>
            <w:noProof/>
          </w:rPr>
          <w:t>7.3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Comptes de frais reportés hors base</w:t>
        </w:r>
        <w:r w:rsidR="009C5382">
          <w:rPr>
            <w:noProof/>
            <w:webHidden/>
          </w:rPr>
          <w:tab/>
        </w:r>
        <w:r w:rsidR="009C5382">
          <w:rPr>
            <w:noProof/>
            <w:webHidden/>
          </w:rPr>
          <w:fldChar w:fldCharType="begin"/>
        </w:r>
        <w:r w:rsidR="009C5382">
          <w:rPr>
            <w:noProof/>
            <w:webHidden/>
          </w:rPr>
          <w:instrText xml:space="preserve"> PAGEREF _Toc124329950 \h </w:instrText>
        </w:r>
        <w:r w:rsidR="009C5382">
          <w:rPr>
            <w:noProof/>
            <w:webHidden/>
          </w:rPr>
        </w:r>
        <w:r w:rsidR="009C5382">
          <w:rPr>
            <w:noProof/>
            <w:webHidden/>
          </w:rPr>
          <w:fldChar w:fldCharType="separate"/>
        </w:r>
        <w:r w:rsidR="009C5382">
          <w:rPr>
            <w:noProof/>
            <w:webHidden/>
          </w:rPr>
          <w:t>37</w:t>
        </w:r>
        <w:r w:rsidR="009C5382">
          <w:rPr>
            <w:noProof/>
            <w:webHidden/>
          </w:rPr>
          <w:fldChar w:fldCharType="end"/>
        </w:r>
      </w:hyperlink>
    </w:p>
    <w:p w14:paraId="762051D1" w14:textId="5281082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1" w:history="1">
        <w:r w:rsidR="009C5382" w:rsidRPr="00773C89">
          <w:rPr>
            <w:rStyle w:val="Lienhypertexte"/>
            <w:rFonts w:cs="Calibri"/>
            <w:noProof/>
          </w:rPr>
          <w:t>7.4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Base de tarification</w:t>
        </w:r>
        <w:r w:rsidR="009C5382">
          <w:rPr>
            <w:noProof/>
            <w:webHidden/>
          </w:rPr>
          <w:tab/>
        </w:r>
        <w:r w:rsidR="009C5382">
          <w:rPr>
            <w:noProof/>
            <w:webHidden/>
          </w:rPr>
          <w:fldChar w:fldCharType="begin"/>
        </w:r>
        <w:r w:rsidR="009C5382">
          <w:rPr>
            <w:noProof/>
            <w:webHidden/>
          </w:rPr>
          <w:instrText xml:space="preserve"> PAGEREF _Toc124329951 \h </w:instrText>
        </w:r>
        <w:r w:rsidR="009C5382">
          <w:rPr>
            <w:noProof/>
            <w:webHidden/>
          </w:rPr>
        </w:r>
        <w:r w:rsidR="009C5382">
          <w:rPr>
            <w:noProof/>
            <w:webHidden/>
          </w:rPr>
          <w:fldChar w:fldCharType="separate"/>
        </w:r>
        <w:r w:rsidR="009C5382">
          <w:rPr>
            <w:noProof/>
            <w:webHidden/>
          </w:rPr>
          <w:t>37</w:t>
        </w:r>
        <w:r w:rsidR="009C5382">
          <w:rPr>
            <w:noProof/>
            <w:webHidden/>
          </w:rPr>
          <w:fldChar w:fldCharType="end"/>
        </w:r>
      </w:hyperlink>
    </w:p>
    <w:p w14:paraId="50EFC665" w14:textId="6B80801C"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2" w:history="1">
        <w:r w:rsidR="009C5382" w:rsidRPr="00773C89">
          <w:rPr>
            <w:rStyle w:val="Lienhypertexte"/>
            <w:rFonts w:cs="Calibri"/>
            <w:noProof/>
          </w:rPr>
          <w:t>7.5</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Gaz perdu</w:t>
        </w:r>
        <w:r w:rsidR="009C5382">
          <w:rPr>
            <w:noProof/>
            <w:webHidden/>
          </w:rPr>
          <w:tab/>
        </w:r>
        <w:r w:rsidR="009C5382">
          <w:rPr>
            <w:noProof/>
            <w:webHidden/>
          </w:rPr>
          <w:fldChar w:fldCharType="begin"/>
        </w:r>
        <w:r w:rsidR="009C5382">
          <w:rPr>
            <w:noProof/>
            <w:webHidden/>
          </w:rPr>
          <w:instrText xml:space="preserve"> PAGEREF _Toc124329952 \h </w:instrText>
        </w:r>
        <w:r w:rsidR="009C5382">
          <w:rPr>
            <w:noProof/>
            <w:webHidden/>
          </w:rPr>
        </w:r>
        <w:r w:rsidR="009C5382">
          <w:rPr>
            <w:noProof/>
            <w:webHidden/>
          </w:rPr>
          <w:fldChar w:fldCharType="separate"/>
        </w:r>
        <w:r w:rsidR="009C5382">
          <w:rPr>
            <w:noProof/>
            <w:webHidden/>
          </w:rPr>
          <w:t>38</w:t>
        </w:r>
        <w:r w:rsidR="009C5382">
          <w:rPr>
            <w:noProof/>
            <w:webHidden/>
          </w:rPr>
          <w:fldChar w:fldCharType="end"/>
        </w:r>
      </w:hyperlink>
    </w:p>
    <w:p w14:paraId="199AFA1E" w14:textId="3B84221B"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3" w:history="1">
        <w:r w:rsidR="009C5382" w:rsidRPr="00773C89">
          <w:rPr>
            <w:rStyle w:val="Lienhypertexte"/>
            <w:rFonts w:cs="Calibri"/>
            <w:noProof/>
          </w:rPr>
          <w:t>7.6</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Structure de capital</w:t>
        </w:r>
        <w:r w:rsidR="009C5382">
          <w:rPr>
            <w:noProof/>
            <w:webHidden/>
          </w:rPr>
          <w:tab/>
        </w:r>
        <w:r w:rsidR="009C5382">
          <w:rPr>
            <w:noProof/>
            <w:webHidden/>
          </w:rPr>
          <w:fldChar w:fldCharType="begin"/>
        </w:r>
        <w:r w:rsidR="009C5382">
          <w:rPr>
            <w:noProof/>
            <w:webHidden/>
          </w:rPr>
          <w:instrText xml:space="preserve"> PAGEREF _Toc124329953 \h </w:instrText>
        </w:r>
        <w:r w:rsidR="009C5382">
          <w:rPr>
            <w:noProof/>
            <w:webHidden/>
          </w:rPr>
        </w:r>
        <w:r w:rsidR="009C5382">
          <w:rPr>
            <w:noProof/>
            <w:webHidden/>
          </w:rPr>
          <w:fldChar w:fldCharType="separate"/>
        </w:r>
        <w:r w:rsidR="009C5382">
          <w:rPr>
            <w:noProof/>
            <w:webHidden/>
          </w:rPr>
          <w:t>38</w:t>
        </w:r>
        <w:r w:rsidR="009C5382">
          <w:rPr>
            <w:noProof/>
            <w:webHidden/>
          </w:rPr>
          <w:fldChar w:fldCharType="end"/>
        </w:r>
      </w:hyperlink>
    </w:p>
    <w:p w14:paraId="697A1A2D" w14:textId="75CA45B1"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4" w:history="1">
        <w:r w:rsidR="009C5382" w:rsidRPr="00773C89">
          <w:rPr>
            <w:rStyle w:val="Lienhypertexte"/>
            <w:rFonts w:cs="Calibri"/>
            <w:noProof/>
          </w:rPr>
          <w:t>7.7</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Indices de performances</w:t>
        </w:r>
        <w:r w:rsidR="009C5382">
          <w:rPr>
            <w:noProof/>
            <w:webHidden/>
          </w:rPr>
          <w:tab/>
        </w:r>
        <w:r w:rsidR="009C5382">
          <w:rPr>
            <w:noProof/>
            <w:webHidden/>
          </w:rPr>
          <w:fldChar w:fldCharType="begin"/>
        </w:r>
        <w:r w:rsidR="009C5382">
          <w:rPr>
            <w:noProof/>
            <w:webHidden/>
          </w:rPr>
          <w:instrText xml:space="preserve"> PAGEREF _Toc124329954 \h </w:instrText>
        </w:r>
        <w:r w:rsidR="009C5382">
          <w:rPr>
            <w:noProof/>
            <w:webHidden/>
          </w:rPr>
        </w:r>
        <w:r w:rsidR="009C5382">
          <w:rPr>
            <w:noProof/>
            <w:webHidden/>
          </w:rPr>
          <w:fldChar w:fldCharType="separate"/>
        </w:r>
        <w:r w:rsidR="009C5382">
          <w:rPr>
            <w:noProof/>
            <w:webHidden/>
          </w:rPr>
          <w:t>39</w:t>
        </w:r>
        <w:r w:rsidR="009C5382">
          <w:rPr>
            <w:noProof/>
            <w:webHidden/>
          </w:rPr>
          <w:fldChar w:fldCharType="end"/>
        </w:r>
      </w:hyperlink>
    </w:p>
    <w:p w14:paraId="0C4B22EB" w14:textId="30908ED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5" w:history="1">
        <w:r w:rsidR="009C5382" w:rsidRPr="00773C89">
          <w:rPr>
            <w:rStyle w:val="Lienhypertexte"/>
            <w:rFonts w:cs="Calibri"/>
            <w:noProof/>
          </w:rPr>
          <w:t>7.8</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Excédent de rendement et impôts</w:t>
        </w:r>
        <w:r w:rsidR="009C5382">
          <w:rPr>
            <w:noProof/>
            <w:webHidden/>
          </w:rPr>
          <w:tab/>
        </w:r>
        <w:r w:rsidR="009C5382">
          <w:rPr>
            <w:noProof/>
            <w:webHidden/>
          </w:rPr>
          <w:fldChar w:fldCharType="begin"/>
        </w:r>
        <w:r w:rsidR="009C5382">
          <w:rPr>
            <w:noProof/>
            <w:webHidden/>
          </w:rPr>
          <w:instrText xml:space="preserve"> PAGEREF _Toc124329955 \h </w:instrText>
        </w:r>
        <w:r w:rsidR="009C5382">
          <w:rPr>
            <w:noProof/>
            <w:webHidden/>
          </w:rPr>
        </w:r>
        <w:r w:rsidR="009C5382">
          <w:rPr>
            <w:noProof/>
            <w:webHidden/>
          </w:rPr>
          <w:fldChar w:fldCharType="separate"/>
        </w:r>
        <w:r w:rsidR="009C5382">
          <w:rPr>
            <w:noProof/>
            <w:webHidden/>
          </w:rPr>
          <w:t>39</w:t>
        </w:r>
        <w:r w:rsidR="009C5382">
          <w:rPr>
            <w:noProof/>
            <w:webHidden/>
          </w:rPr>
          <w:fldChar w:fldCharType="end"/>
        </w:r>
      </w:hyperlink>
    </w:p>
    <w:p w14:paraId="39873A6F" w14:textId="26B81A0F"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56" w:history="1">
        <w:r w:rsidR="009C5382" w:rsidRPr="00773C89">
          <w:rPr>
            <w:rStyle w:val="Lienhypertexte"/>
            <w:rFonts w:cs="Calibri"/>
            <w:noProof/>
          </w:rPr>
          <w:t>7.9</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Suivi des programmes commerciaux</w:t>
        </w:r>
        <w:r w:rsidR="009C5382">
          <w:rPr>
            <w:noProof/>
            <w:webHidden/>
          </w:rPr>
          <w:tab/>
        </w:r>
        <w:r w:rsidR="009C5382">
          <w:rPr>
            <w:noProof/>
            <w:webHidden/>
          </w:rPr>
          <w:fldChar w:fldCharType="begin"/>
        </w:r>
        <w:r w:rsidR="009C5382">
          <w:rPr>
            <w:noProof/>
            <w:webHidden/>
          </w:rPr>
          <w:instrText xml:space="preserve"> PAGEREF _Toc124329956 \h </w:instrText>
        </w:r>
        <w:r w:rsidR="009C5382">
          <w:rPr>
            <w:noProof/>
            <w:webHidden/>
          </w:rPr>
        </w:r>
        <w:r w:rsidR="009C5382">
          <w:rPr>
            <w:noProof/>
            <w:webHidden/>
          </w:rPr>
          <w:fldChar w:fldCharType="separate"/>
        </w:r>
        <w:r w:rsidR="009C5382">
          <w:rPr>
            <w:noProof/>
            <w:webHidden/>
          </w:rPr>
          <w:t>39</w:t>
        </w:r>
        <w:r w:rsidR="009C5382">
          <w:rPr>
            <w:noProof/>
            <w:webHidden/>
          </w:rPr>
          <w:fldChar w:fldCharType="end"/>
        </w:r>
      </w:hyperlink>
    </w:p>
    <w:p w14:paraId="13D97C7C" w14:textId="38F668EC"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57" w:history="1">
        <w:r w:rsidR="009C5382" w:rsidRPr="00773C89">
          <w:rPr>
            <w:rStyle w:val="Lienhypertexte"/>
            <w:rFonts w:cs="Calibri"/>
            <w:noProof/>
          </w:rPr>
          <w:t>7.10</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Suivi des projets d’investissement de plus de 1,2 M$</w:t>
        </w:r>
        <w:r w:rsidR="009C5382">
          <w:rPr>
            <w:noProof/>
            <w:webHidden/>
          </w:rPr>
          <w:tab/>
        </w:r>
        <w:r w:rsidR="009C5382">
          <w:rPr>
            <w:noProof/>
            <w:webHidden/>
          </w:rPr>
          <w:fldChar w:fldCharType="begin"/>
        </w:r>
        <w:r w:rsidR="009C5382">
          <w:rPr>
            <w:noProof/>
            <w:webHidden/>
          </w:rPr>
          <w:instrText xml:space="preserve"> PAGEREF _Toc124329957 \h </w:instrText>
        </w:r>
        <w:r w:rsidR="009C5382">
          <w:rPr>
            <w:noProof/>
            <w:webHidden/>
          </w:rPr>
        </w:r>
        <w:r w:rsidR="009C5382">
          <w:rPr>
            <w:noProof/>
            <w:webHidden/>
          </w:rPr>
          <w:fldChar w:fldCharType="separate"/>
        </w:r>
        <w:r w:rsidR="009C5382">
          <w:rPr>
            <w:noProof/>
            <w:webHidden/>
          </w:rPr>
          <w:t>41</w:t>
        </w:r>
        <w:r w:rsidR="009C5382">
          <w:rPr>
            <w:noProof/>
            <w:webHidden/>
          </w:rPr>
          <w:fldChar w:fldCharType="end"/>
        </w:r>
      </w:hyperlink>
    </w:p>
    <w:p w14:paraId="19895174" w14:textId="503EDCCD"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58" w:history="1">
        <w:r w:rsidR="009C5382" w:rsidRPr="00773C89">
          <w:rPr>
            <w:rStyle w:val="Lienhypertexte"/>
            <w:rFonts w:cs="Calibri"/>
            <w:noProof/>
          </w:rPr>
          <w:t>7.11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Compte d’ajustement du coût du gaz</w:t>
        </w:r>
        <w:r w:rsidR="009C5382">
          <w:rPr>
            <w:noProof/>
            <w:webHidden/>
          </w:rPr>
          <w:tab/>
        </w:r>
        <w:r w:rsidR="009C5382">
          <w:rPr>
            <w:noProof/>
            <w:webHidden/>
          </w:rPr>
          <w:fldChar w:fldCharType="begin"/>
        </w:r>
        <w:r w:rsidR="009C5382">
          <w:rPr>
            <w:noProof/>
            <w:webHidden/>
          </w:rPr>
          <w:instrText xml:space="preserve"> PAGEREF _Toc124329958 \h </w:instrText>
        </w:r>
        <w:r w:rsidR="009C5382">
          <w:rPr>
            <w:noProof/>
            <w:webHidden/>
          </w:rPr>
        </w:r>
        <w:r w:rsidR="009C5382">
          <w:rPr>
            <w:noProof/>
            <w:webHidden/>
          </w:rPr>
          <w:fldChar w:fldCharType="separate"/>
        </w:r>
        <w:r w:rsidR="009C5382">
          <w:rPr>
            <w:noProof/>
            <w:webHidden/>
          </w:rPr>
          <w:t>41</w:t>
        </w:r>
        <w:r w:rsidR="009C5382">
          <w:rPr>
            <w:noProof/>
            <w:webHidden/>
          </w:rPr>
          <w:fldChar w:fldCharType="end"/>
        </w:r>
      </w:hyperlink>
    </w:p>
    <w:p w14:paraId="44068FA7" w14:textId="74AFC631"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59" w:history="1">
        <w:r w:rsidR="009C5382" w:rsidRPr="00773C89">
          <w:rPr>
            <w:rStyle w:val="Lienhypertexte"/>
            <w:rFonts w:cs="Calibri"/>
            <w:noProof/>
          </w:rPr>
          <w:t>7.12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Évolution des revenus et des coûts de distribution</w:t>
        </w:r>
        <w:r w:rsidR="009C5382">
          <w:rPr>
            <w:noProof/>
            <w:webHidden/>
          </w:rPr>
          <w:tab/>
        </w:r>
        <w:r w:rsidR="009C5382">
          <w:rPr>
            <w:noProof/>
            <w:webHidden/>
          </w:rPr>
          <w:fldChar w:fldCharType="begin"/>
        </w:r>
        <w:r w:rsidR="009C5382">
          <w:rPr>
            <w:noProof/>
            <w:webHidden/>
          </w:rPr>
          <w:instrText xml:space="preserve"> PAGEREF _Toc124329959 \h </w:instrText>
        </w:r>
        <w:r w:rsidR="009C5382">
          <w:rPr>
            <w:noProof/>
            <w:webHidden/>
          </w:rPr>
        </w:r>
        <w:r w:rsidR="009C5382">
          <w:rPr>
            <w:noProof/>
            <w:webHidden/>
          </w:rPr>
          <w:fldChar w:fldCharType="separate"/>
        </w:r>
        <w:r w:rsidR="009C5382">
          <w:rPr>
            <w:noProof/>
            <w:webHidden/>
          </w:rPr>
          <w:t>42</w:t>
        </w:r>
        <w:r w:rsidR="009C5382">
          <w:rPr>
            <w:noProof/>
            <w:webHidden/>
          </w:rPr>
          <w:fldChar w:fldCharType="end"/>
        </w:r>
      </w:hyperlink>
    </w:p>
    <w:p w14:paraId="4AC1E291" w14:textId="24E06E81"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60" w:history="1">
        <w:r w:rsidR="009C5382" w:rsidRPr="00773C89">
          <w:rPr>
            <w:rStyle w:val="Lienhypertexte"/>
            <w:rFonts w:cs="Calibri"/>
            <w:noProof/>
          </w:rPr>
          <w:t>7.13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Système de plafonnement et d’échange des droits d’émission (SPEDE)</w:t>
        </w:r>
        <w:r w:rsidR="009C5382">
          <w:rPr>
            <w:noProof/>
            <w:webHidden/>
          </w:rPr>
          <w:tab/>
        </w:r>
        <w:r w:rsidR="009C5382">
          <w:rPr>
            <w:noProof/>
            <w:webHidden/>
          </w:rPr>
          <w:fldChar w:fldCharType="begin"/>
        </w:r>
        <w:r w:rsidR="009C5382">
          <w:rPr>
            <w:noProof/>
            <w:webHidden/>
          </w:rPr>
          <w:instrText xml:space="preserve"> PAGEREF _Toc124329960 \h </w:instrText>
        </w:r>
        <w:r w:rsidR="009C5382">
          <w:rPr>
            <w:noProof/>
            <w:webHidden/>
          </w:rPr>
        </w:r>
        <w:r w:rsidR="009C5382">
          <w:rPr>
            <w:noProof/>
            <w:webHidden/>
          </w:rPr>
          <w:fldChar w:fldCharType="separate"/>
        </w:r>
        <w:r w:rsidR="009C5382">
          <w:rPr>
            <w:noProof/>
            <w:webHidden/>
          </w:rPr>
          <w:t>42</w:t>
        </w:r>
        <w:r w:rsidR="009C5382">
          <w:rPr>
            <w:noProof/>
            <w:webHidden/>
          </w:rPr>
          <w:fldChar w:fldCharType="end"/>
        </w:r>
      </w:hyperlink>
    </w:p>
    <w:p w14:paraId="0B1DB9E8" w14:textId="0710DD12"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61" w:history="1">
        <w:r w:rsidR="009C5382" w:rsidRPr="00773C89">
          <w:rPr>
            <w:rStyle w:val="Lienhypertexte"/>
            <w:rFonts w:cs="Calibri"/>
            <w:noProof/>
          </w:rPr>
          <w:t>7.14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États financiers vérifiés</w:t>
        </w:r>
        <w:r w:rsidR="009C5382">
          <w:rPr>
            <w:noProof/>
            <w:webHidden/>
          </w:rPr>
          <w:tab/>
        </w:r>
        <w:r w:rsidR="009C5382">
          <w:rPr>
            <w:noProof/>
            <w:webHidden/>
          </w:rPr>
          <w:fldChar w:fldCharType="begin"/>
        </w:r>
        <w:r w:rsidR="009C5382">
          <w:rPr>
            <w:noProof/>
            <w:webHidden/>
          </w:rPr>
          <w:instrText xml:space="preserve"> PAGEREF _Toc124329961 \h </w:instrText>
        </w:r>
        <w:r w:rsidR="009C5382">
          <w:rPr>
            <w:noProof/>
            <w:webHidden/>
          </w:rPr>
        </w:r>
        <w:r w:rsidR="009C5382">
          <w:rPr>
            <w:noProof/>
            <w:webHidden/>
          </w:rPr>
          <w:fldChar w:fldCharType="separate"/>
        </w:r>
        <w:r w:rsidR="009C5382">
          <w:rPr>
            <w:noProof/>
            <w:webHidden/>
          </w:rPr>
          <w:t>43</w:t>
        </w:r>
        <w:r w:rsidR="009C5382">
          <w:rPr>
            <w:noProof/>
            <w:webHidden/>
          </w:rPr>
          <w:fldChar w:fldCharType="end"/>
        </w:r>
      </w:hyperlink>
    </w:p>
    <w:p w14:paraId="0E71BBF9" w14:textId="34CD3726"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62" w:history="1">
        <w:r w:rsidR="009C5382" w:rsidRPr="00773C89">
          <w:rPr>
            <w:rStyle w:val="Lienhypertexte"/>
            <w:rFonts w:cs="Calibri"/>
            <w:noProof/>
          </w:rPr>
          <w:t>7.15</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Plan global en efficacité énergétique (PGEÉ)</w:t>
        </w:r>
        <w:r w:rsidR="009C5382">
          <w:rPr>
            <w:noProof/>
            <w:webHidden/>
          </w:rPr>
          <w:tab/>
        </w:r>
        <w:r w:rsidR="009C5382">
          <w:rPr>
            <w:noProof/>
            <w:webHidden/>
          </w:rPr>
          <w:fldChar w:fldCharType="begin"/>
        </w:r>
        <w:r w:rsidR="009C5382">
          <w:rPr>
            <w:noProof/>
            <w:webHidden/>
          </w:rPr>
          <w:instrText xml:space="preserve"> PAGEREF _Toc124329962 \h </w:instrText>
        </w:r>
        <w:r w:rsidR="009C5382">
          <w:rPr>
            <w:noProof/>
            <w:webHidden/>
          </w:rPr>
        </w:r>
        <w:r w:rsidR="009C5382">
          <w:rPr>
            <w:noProof/>
            <w:webHidden/>
          </w:rPr>
          <w:fldChar w:fldCharType="separate"/>
        </w:r>
        <w:r w:rsidR="009C5382">
          <w:rPr>
            <w:noProof/>
            <w:webHidden/>
          </w:rPr>
          <w:t>43</w:t>
        </w:r>
        <w:r w:rsidR="009C5382">
          <w:rPr>
            <w:noProof/>
            <w:webHidden/>
          </w:rPr>
          <w:fldChar w:fldCharType="end"/>
        </w:r>
      </w:hyperlink>
    </w:p>
    <w:p w14:paraId="3C44E5E5" w14:textId="7ED7CA48" w:rsidR="009C5382" w:rsidRDefault="00383B41">
      <w:pPr>
        <w:pStyle w:val="TM2"/>
        <w:tabs>
          <w:tab w:val="left" w:pos="1814"/>
        </w:tabs>
        <w:rPr>
          <w:rFonts w:asciiTheme="minorHAnsi" w:eastAsiaTheme="minorEastAsia" w:hAnsiTheme="minorHAnsi" w:cstheme="minorBidi"/>
          <w:b w:val="0"/>
          <w:noProof/>
          <w:sz w:val="22"/>
          <w:szCs w:val="22"/>
          <w:lang w:eastAsia="fr-CA"/>
        </w:rPr>
      </w:pPr>
      <w:hyperlink w:anchor="_Toc124329963" w:history="1">
        <w:r w:rsidR="009C5382" w:rsidRPr="00773C89">
          <w:rPr>
            <w:rStyle w:val="Lienhypertexte"/>
            <w:rFonts w:cs="Calibri"/>
            <w:noProof/>
          </w:rPr>
          <w:t>7.16</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Suivis de décisions</w:t>
        </w:r>
        <w:r w:rsidR="009C5382">
          <w:rPr>
            <w:noProof/>
            <w:webHidden/>
          </w:rPr>
          <w:tab/>
        </w:r>
        <w:r w:rsidR="009C5382">
          <w:rPr>
            <w:noProof/>
            <w:webHidden/>
          </w:rPr>
          <w:fldChar w:fldCharType="begin"/>
        </w:r>
        <w:r w:rsidR="009C5382">
          <w:rPr>
            <w:noProof/>
            <w:webHidden/>
          </w:rPr>
          <w:instrText xml:space="preserve"> PAGEREF _Toc124329963 \h </w:instrText>
        </w:r>
        <w:r w:rsidR="009C5382">
          <w:rPr>
            <w:noProof/>
            <w:webHidden/>
          </w:rPr>
        </w:r>
        <w:r w:rsidR="009C5382">
          <w:rPr>
            <w:noProof/>
            <w:webHidden/>
          </w:rPr>
          <w:fldChar w:fldCharType="separate"/>
        </w:r>
        <w:r w:rsidR="009C5382">
          <w:rPr>
            <w:noProof/>
            <w:webHidden/>
          </w:rPr>
          <w:t>44</w:t>
        </w:r>
        <w:r w:rsidR="009C5382">
          <w:rPr>
            <w:noProof/>
            <w:webHidden/>
          </w:rPr>
          <w:fldChar w:fldCharType="end"/>
        </w:r>
      </w:hyperlink>
    </w:p>
    <w:p w14:paraId="3A346300" w14:textId="3A286C16"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64" w:history="1">
        <w:r w:rsidR="009C5382" w:rsidRPr="00773C89">
          <w:rPr>
            <w:rStyle w:val="Lienhypertexte"/>
            <w:rFonts w:cs="Calibri"/>
            <w:noProof/>
          </w:rPr>
          <w:t>8.</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AJUSTEMENTS SUBSÉQUENTS AUX TARIFS</w:t>
        </w:r>
        <w:r w:rsidR="009C5382">
          <w:rPr>
            <w:noProof/>
            <w:webHidden/>
          </w:rPr>
          <w:tab/>
        </w:r>
        <w:r w:rsidR="009C5382">
          <w:rPr>
            <w:noProof/>
            <w:webHidden/>
          </w:rPr>
          <w:fldChar w:fldCharType="begin"/>
        </w:r>
        <w:r w:rsidR="009C5382">
          <w:rPr>
            <w:noProof/>
            <w:webHidden/>
          </w:rPr>
          <w:instrText xml:space="preserve"> PAGEREF _Toc124329964 \h </w:instrText>
        </w:r>
        <w:r w:rsidR="009C5382">
          <w:rPr>
            <w:noProof/>
            <w:webHidden/>
          </w:rPr>
        </w:r>
        <w:r w:rsidR="009C5382">
          <w:rPr>
            <w:noProof/>
            <w:webHidden/>
          </w:rPr>
          <w:fldChar w:fldCharType="separate"/>
        </w:r>
        <w:r w:rsidR="009C5382">
          <w:rPr>
            <w:noProof/>
            <w:webHidden/>
          </w:rPr>
          <w:t>45</w:t>
        </w:r>
        <w:r w:rsidR="009C5382">
          <w:rPr>
            <w:noProof/>
            <w:webHidden/>
          </w:rPr>
          <w:fldChar w:fldCharType="end"/>
        </w:r>
      </w:hyperlink>
    </w:p>
    <w:p w14:paraId="06C6C48E" w14:textId="4F1661B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65" w:history="1">
        <w:r w:rsidR="009C5382" w:rsidRPr="00773C89">
          <w:rPr>
            <w:rStyle w:val="Lienhypertexte"/>
            <w:rFonts w:cs="Calibri"/>
            <w:noProof/>
          </w:rPr>
          <w:t>8.1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Contexte</w:t>
        </w:r>
        <w:r w:rsidR="009C5382">
          <w:rPr>
            <w:noProof/>
            <w:webHidden/>
          </w:rPr>
          <w:tab/>
        </w:r>
        <w:r w:rsidR="009C5382">
          <w:rPr>
            <w:noProof/>
            <w:webHidden/>
          </w:rPr>
          <w:fldChar w:fldCharType="begin"/>
        </w:r>
        <w:r w:rsidR="009C5382">
          <w:rPr>
            <w:noProof/>
            <w:webHidden/>
          </w:rPr>
          <w:instrText xml:space="preserve"> PAGEREF _Toc124329965 \h </w:instrText>
        </w:r>
        <w:r w:rsidR="009C5382">
          <w:rPr>
            <w:noProof/>
            <w:webHidden/>
          </w:rPr>
        </w:r>
        <w:r w:rsidR="009C5382">
          <w:rPr>
            <w:noProof/>
            <w:webHidden/>
          </w:rPr>
          <w:fldChar w:fldCharType="separate"/>
        </w:r>
        <w:r w:rsidR="009C5382">
          <w:rPr>
            <w:noProof/>
            <w:webHidden/>
          </w:rPr>
          <w:t>45</w:t>
        </w:r>
        <w:r w:rsidR="009C5382">
          <w:rPr>
            <w:noProof/>
            <w:webHidden/>
          </w:rPr>
          <w:fldChar w:fldCharType="end"/>
        </w:r>
      </w:hyperlink>
    </w:p>
    <w:p w14:paraId="126F2EFD" w14:textId="10A09394"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66" w:history="1">
        <w:r w:rsidR="009C5382" w:rsidRPr="00773C89">
          <w:rPr>
            <w:rStyle w:val="Lienhypertexte"/>
            <w:rFonts w:cs="Calibri"/>
            <w:noProof/>
          </w:rPr>
          <w:t>8.2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Échéanciers</w:t>
        </w:r>
        <w:r w:rsidR="009C5382">
          <w:rPr>
            <w:noProof/>
            <w:webHidden/>
          </w:rPr>
          <w:tab/>
        </w:r>
        <w:r w:rsidR="009C5382">
          <w:rPr>
            <w:noProof/>
            <w:webHidden/>
          </w:rPr>
          <w:fldChar w:fldCharType="begin"/>
        </w:r>
        <w:r w:rsidR="009C5382">
          <w:rPr>
            <w:noProof/>
            <w:webHidden/>
          </w:rPr>
          <w:instrText xml:space="preserve"> PAGEREF _Toc124329966 \h </w:instrText>
        </w:r>
        <w:r w:rsidR="009C5382">
          <w:rPr>
            <w:noProof/>
            <w:webHidden/>
          </w:rPr>
        </w:r>
        <w:r w:rsidR="009C5382">
          <w:rPr>
            <w:noProof/>
            <w:webHidden/>
          </w:rPr>
          <w:fldChar w:fldCharType="separate"/>
        </w:r>
        <w:r w:rsidR="009C5382">
          <w:rPr>
            <w:noProof/>
            <w:webHidden/>
          </w:rPr>
          <w:t>45</w:t>
        </w:r>
        <w:r w:rsidR="009C5382">
          <w:rPr>
            <w:noProof/>
            <w:webHidden/>
          </w:rPr>
          <w:fldChar w:fldCharType="end"/>
        </w:r>
      </w:hyperlink>
    </w:p>
    <w:p w14:paraId="4E6A6A9D" w14:textId="2B5F8D59"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67" w:history="1">
        <w:r w:rsidR="009C5382" w:rsidRPr="00773C89">
          <w:rPr>
            <w:rStyle w:val="Lienhypertexte"/>
            <w:rFonts w:cs="Calibri"/>
            <w:noProof/>
          </w:rPr>
          <w:t>8.3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Exigences générales</w:t>
        </w:r>
        <w:r w:rsidR="009C5382">
          <w:rPr>
            <w:noProof/>
            <w:webHidden/>
          </w:rPr>
          <w:tab/>
        </w:r>
        <w:r w:rsidR="009C5382">
          <w:rPr>
            <w:noProof/>
            <w:webHidden/>
          </w:rPr>
          <w:fldChar w:fldCharType="begin"/>
        </w:r>
        <w:r w:rsidR="009C5382">
          <w:rPr>
            <w:noProof/>
            <w:webHidden/>
          </w:rPr>
          <w:instrText xml:space="preserve"> PAGEREF _Toc124329967 \h </w:instrText>
        </w:r>
        <w:r w:rsidR="009C5382">
          <w:rPr>
            <w:noProof/>
            <w:webHidden/>
          </w:rPr>
        </w:r>
        <w:r w:rsidR="009C5382">
          <w:rPr>
            <w:noProof/>
            <w:webHidden/>
          </w:rPr>
          <w:fldChar w:fldCharType="separate"/>
        </w:r>
        <w:r w:rsidR="009C5382">
          <w:rPr>
            <w:noProof/>
            <w:webHidden/>
          </w:rPr>
          <w:t>46</w:t>
        </w:r>
        <w:r w:rsidR="009C5382">
          <w:rPr>
            <w:noProof/>
            <w:webHidden/>
          </w:rPr>
          <w:fldChar w:fldCharType="end"/>
        </w:r>
      </w:hyperlink>
    </w:p>
    <w:p w14:paraId="6388E68B" w14:textId="55ED206E"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68" w:history="1">
        <w:r w:rsidR="009C5382" w:rsidRPr="00773C89">
          <w:rPr>
            <w:rStyle w:val="Lienhypertexte"/>
            <w:rFonts w:cs="Calibri"/>
            <w:noProof/>
          </w:rPr>
          <w:t>8.4</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Calibri"/>
            <w:noProof/>
          </w:rPr>
          <w:t>Informations requises</w:t>
        </w:r>
        <w:r w:rsidR="009C5382">
          <w:rPr>
            <w:noProof/>
            <w:webHidden/>
          </w:rPr>
          <w:tab/>
        </w:r>
        <w:r w:rsidR="009C5382">
          <w:rPr>
            <w:noProof/>
            <w:webHidden/>
          </w:rPr>
          <w:fldChar w:fldCharType="begin"/>
        </w:r>
        <w:r w:rsidR="009C5382">
          <w:rPr>
            <w:noProof/>
            <w:webHidden/>
          </w:rPr>
          <w:instrText xml:space="preserve"> PAGEREF _Toc124329968 \h </w:instrText>
        </w:r>
        <w:r w:rsidR="009C5382">
          <w:rPr>
            <w:noProof/>
            <w:webHidden/>
          </w:rPr>
        </w:r>
        <w:r w:rsidR="009C5382">
          <w:rPr>
            <w:noProof/>
            <w:webHidden/>
          </w:rPr>
          <w:fldChar w:fldCharType="separate"/>
        </w:r>
        <w:r w:rsidR="009C5382">
          <w:rPr>
            <w:noProof/>
            <w:webHidden/>
          </w:rPr>
          <w:t>46</w:t>
        </w:r>
        <w:r w:rsidR="009C5382">
          <w:rPr>
            <w:noProof/>
            <w:webHidden/>
          </w:rPr>
          <w:fldChar w:fldCharType="end"/>
        </w:r>
      </w:hyperlink>
    </w:p>
    <w:p w14:paraId="160156B6" w14:textId="61C84683"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69" w:history="1">
        <w:r w:rsidR="009C5382" w:rsidRPr="00773C89">
          <w:rPr>
            <w:rStyle w:val="Lienhypertexte"/>
            <w:rFonts w:cs="Calibri"/>
            <w:noProof/>
          </w:rPr>
          <w:t>9.</w:t>
        </w:r>
        <w:r w:rsidR="009C5382">
          <w:rPr>
            <w:rFonts w:asciiTheme="minorHAnsi" w:eastAsiaTheme="minorEastAsia" w:hAnsiTheme="minorHAnsi" w:cstheme="minorBidi"/>
            <w:b w:val="0"/>
            <w:bCs w:val="0"/>
            <w:caps w:val="0"/>
            <w:noProof/>
            <w:sz w:val="22"/>
            <w:szCs w:val="22"/>
            <w:lang w:eastAsia="fr-CA"/>
          </w:rPr>
          <w:tab/>
        </w:r>
        <w:r w:rsidR="009C5382" w:rsidRPr="00773C89">
          <w:rPr>
            <w:rStyle w:val="Lienhypertexte"/>
            <w:rFonts w:cs="Calibri"/>
            <w:noProof/>
          </w:rPr>
          <w:t>PLAINTES DES CONSOMMATEURS</w:t>
        </w:r>
        <w:r w:rsidR="009C5382">
          <w:rPr>
            <w:noProof/>
            <w:webHidden/>
          </w:rPr>
          <w:tab/>
        </w:r>
        <w:r w:rsidR="009C5382">
          <w:rPr>
            <w:noProof/>
            <w:webHidden/>
          </w:rPr>
          <w:fldChar w:fldCharType="begin"/>
        </w:r>
        <w:r w:rsidR="009C5382">
          <w:rPr>
            <w:noProof/>
            <w:webHidden/>
          </w:rPr>
          <w:instrText xml:space="preserve"> PAGEREF _Toc124329969 \h </w:instrText>
        </w:r>
        <w:r w:rsidR="009C5382">
          <w:rPr>
            <w:noProof/>
            <w:webHidden/>
          </w:rPr>
        </w:r>
        <w:r w:rsidR="009C5382">
          <w:rPr>
            <w:noProof/>
            <w:webHidden/>
          </w:rPr>
          <w:fldChar w:fldCharType="separate"/>
        </w:r>
        <w:r w:rsidR="009C5382">
          <w:rPr>
            <w:noProof/>
            <w:webHidden/>
          </w:rPr>
          <w:t>48</w:t>
        </w:r>
        <w:r w:rsidR="009C5382">
          <w:rPr>
            <w:noProof/>
            <w:webHidden/>
          </w:rPr>
          <w:fldChar w:fldCharType="end"/>
        </w:r>
      </w:hyperlink>
    </w:p>
    <w:p w14:paraId="4C685364" w14:textId="6A749A64"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70" w:history="1">
        <w:r w:rsidR="009C5382" w:rsidRPr="00773C89">
          <w:rPr>
            <w:rStyle w:val="Lienhypertexte"/>
            <w:rFonts w:cstheme="minorHAnsi"/>
            <w:noProof/>
          </w:rPr>
          <w:t>9.1</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theme="minorHAnsi"/>
            <w:noProof/>
          </w:rPr>
          <w:t>Contexte juridique et règlementaire</w:t>
        </w:r>
        <w:r w:rsidR="009C5382">
          <w:rPr>
            <w:noProof/>
            <w:webHidden/>
          </w:rPr>
          <w:tab/>
        </w:r>
        <w:r w:rsidR="009C5382">
          <w:rPr>
            <w:noProof/>
            <w:webHidden/>
          </w:rPr>
          <w:fldChar w:fldCharType="begin"/>
        </w:r>
        <w:r w:rsidR="009C5382">
          <w:rPr>
            <w:noProof/>
            <w:webHidden/>
          </w:rPr>
          <w:instrText xml:space="preserve"> PAGEREF _Toc124329970 \h </w:instrText>
        </w:r>
        <w:r w:rsidR="009C5382">
          <w:rPr>
            <w:noProof/>
            <w:webHidden/>
          </w:rPr>
        </w:r>
        <w:r w:rsidR="009C5382">
          <w:rPr>
            <w:noProof/>
            <w:webHidden/>
          </w:rPr>
          <w:fldChar w:fldCharType="separate"/>
        </w:r>
        <w:r w:rsidR="009C5382">
          <w:rPr>
            <w:noProof/>
            <w:webHidden/>
          </w:rPr>
          <w:t>48</w:t>
        </w:r>
        <w:r w:rsidR="009C5382">
          <w:rPr>
            <w:noProof/>
            <w:webHidden/>
          </w:rPr>
          <w:fldChar w:fldCharType="end"/>
        </w:r>
      </w:hyperlink>
    </w:p>
    <w:p w14:paraId="595403E9" w14:textId="642EAECB"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71" w:history="1">
        <w:r w:rsidR="009C5382" w:rsidRPr="00773C89">
          <w:rPr>
            <w:rStyle w:val="Lienhypertexte"/>
            <w:rFonts w:cstheme="minorHAnsi"/>
            <w:noProof/>
          </w:rPr>
          <w:t>9.2</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theme="minorHAnsi"/>
            <w:noProof/>
          </w:rPr>
          <w:t>Exigences de dépôt générales</w:t>
        </w:r>
        <w:r w:rsidR="009C5382">
          <w:rPr>
            <w:noProof/>
            <w:webHidden/>
          </w:rPr>
          <w:tab/>
        </w:r>
        <w:r w:rsidR="009C5382">
          <w:rPr>
            <w:noProof/>
            <w:webHidden/>
          </w:rPr>
          <w:fldChar w:fldCharType="begin"/>
        </w:r>
        <w:r w:rsidR="009C5382">
          <w:rPr>
            <w:noProof/>
            <w:webHidden/>
          </w:rPr>
          <w:instrText xml:space="preserve"> PAGEREF _Toc124329971 \h </w:instrText>
        </w:r>
        <w:r w:rsidR="009C5382">
          <w:rPr>
            <w:noProof/>
            <w:webHidden/>
          </w:rPr>
        </w:r>
        <w:r w:rsidR="009C5382">
          <w:rPr>
            <w:noProof/>
            <w:webHidden/>
          </w:rPr>
          <w:fldChar w:fldCharType="separate"/>
        </w:r>
        <w:r w:rsidR="009C5382">
          <w:rPr>
            <w:noProof/>
            <w:webHidden/>
          </w:rPr>
          <w:t>48</w:t>
        </w:r>
        <w:r w:rsidR="009C5382">
          <w:rPr>
            <w:noProof/>
            <w:webHidden/>
          </w:rPr>
          <w:fldChar w:fldCharType="end"/>
        </w:r>
      </w:hyperlink>
    </w:p>
    <w:p w14:paraId="0726E0A8" w14:textId="5AC62671" w:rsidR="009C5382" w:rsidRDefault="00383B41">
      <w:pPr>
        <w:pStyle w:val="TM2"/>
        <w:tabs>
          <w:tab w:val="left" w:pos="1134"/>
        </w:tabs>
        <w:rPr>
          <w:rFonts w:asciiTheme="minorHAnsi" w:eastAsiaTheme="minorEastAsia" w:hAnsiTheme="minorHAnsi" w:cstheme="minorBidi"/>
          <w:b w:val="0"/>
          <w:noProof/>
          <w:sz w:val="22"/>
          <w:szCs w:val="22"/>
          <w:lang w:eastAsia="fr-CA"/>
        </w:rPr>
      </w:pPr>
      <w:hyperlink w:anchor="_Toc124329972" w:history="1">
        <w:r w:rsidR="009C5382" w:rsidRPr="00773C89">
          <w:rPr>
            <w:rStyle w:val="Lienhypertexte"/>
            <w:rFonts w:cstheme="minorHAnsi"/>
            <w:noProof/>
          </w:rPr>
          <w:t>9.3</w:t>
        </w:r>
        <w:r w:rsidR="009C5382">
          <w:rPr>
            <w:rFonts w:asciiTheme="minorHAnsi" w:eastAsiaTheme="minorEastAsia" w:hAnsiTheme="minorHAnsi" w:cstheme="minorBidi"/>
            <w:b w:val="0"/>
            <w:noProof/>
            <w:sz w:val="22"/>
            <w:szCs w:val="22"/>
            <w:lang w:eastAsia="fr-CA"/>
          </w:rPr>
          <w:tab/>
        </w:r>
        <w:r w:rsidR="009C5382" w:rsidRPr="00773C89">
          <w:rPr>
            <w:rStyle w:val="Lienhypertexte"/>
            <w:rFonts w:cstheme="minorHAnsi"/>
            <w:noProof/>
          </w:rPr>
          <w:t>Information spécifique requise</w:t>
        </w:r>
        <w:r w:rsidR="009C5382">
          <w:rPr>
            <w:noProof/>
            <w:webHidden/>
          </w:rPr>
          <w:tab/>
        </w:r>
        <w:r w:rsidR="009C5382">
          <w:rPr>
            <w:noProof/>
            <w:webHidden/>
          </w:rPr>
          <w:fldChar w:fldCharType="begin"/>
        </w:r>
        <w:r w:rsidR="009C5382">
          <w:rPr>
            <w:noProof/>
            <w:webHidden/>
          </w:rPr>
          <w:instrText xml:space="preserve"> PAGEREF _Toc124329972 \h </w:instrText>
        </w:r>
        <w:r w:rsidR="009C5382">
          <w:rPr>
            <w:noProof/>
            <w:webHidden/>
          </w:rPr>
        </w:r>
        <w:r w:rsidR="009C5382">
          <w:rPr>
            <w:noProof/>
            <w:webHidden/>
          </w:rPr>
          <w:fldChar w:fldCharType="separate"/>
        </w:r>
        <w:r w:rsidR="009C5382">
          <w:rPr>
            <w:noProof/>
            <w:webHidden/>
          </w:rPr>
          <w:t>49</w:t>
        </w:r>
        <w:r w:rsidR="009C5382">
          <w:rPr>
            <w:noProof/>
            <w:webHidden/>
          </w:rPr>
          <w:fldChar w:fldCharType="end"/>
        </w:r>
      </w:hyperlink>
    </w:p>
    <w:p w14:paraId="79854CCB" w14:textId="0E3CB9D1" w:rsidR="009C5382" w:rsidRDefault="00383B41">
      <w:pPr>
        <w:pStyle w:val="TM1"/>
        <w:rPr>
          <w:rFonts w:asciiTheme="minorHAnsi" w:eastAsiaTheme="minorEastAsia" w:hAnsiTheme="minorHAnsi" w:cstheme="minorBidi"/>
          <w:b w:val="0"/>
          <w:bCs w:val="0"/>
          <w:caps w:val="0"/>
          <w:noProof/>
          <w:sz w:val="22"/>
          <w:szCs w:val="22"/>
          <w:lang w:eastAsia="fr-CA"/>
        </w:rPr>
      </w:pPr>
      <w:hyperlink w:anchor="_Toc124329973" w:history="1">
        <w:r w:rsidR="009C5382" w:rsidRPr="00773C89">
          <w:rPr>
            <w:rStyle w:val="Lienhypertexte"/>
            <w:rFonts w:cs="Calibri"/>
            <w:noProof/>
          </w:rPr>
          <w:t>Annexe A – Modèle de Demande de renseignements</w:t>
        </w:r>
        <w:r w:rsidR="009C5382">
          <w:rPr>
            <w:noProof/>
            <w:webHidden/>
          </w:rPr>
          <w:tab/>
        </w:r>
        <w:r w:rsidR="009C5382">
          <w:rPr>
            <w:noProof/>
            <w:webHidden/>
          </w:rPr>
          <w:fldChar w:fldCharType="begin"/>
        </w:r>
        <w:r w:rsidR="009C5382">
          <w:rPr>
            <w:noProof/>
            <w:webHidden/>
          </w:rPr>
          <w:instrText xml:space="preserve"> PAGEREF _Toc124329973 \h </w:instrText>
        </w:r>
        <w:r w:rsidR="009C5382">
          <w:rPr>
            <w:noProof/>
            <w:webHidden/>
          </w:rPr>
        </w:r>
        <w:r w:rsidR="009C5382">
          <w:rPr>
            <w:noProof/>
            <w:webHidden/>
          </w:rPr>
          <w:fldChar w:fldCharType="separate"/>
        </w:r>
        <w:r w:rsidR="009C5382">
          <w:rPr>
            <w:noProof/>
            <w:webHidden/>
          </w:rPr>
          <w:t>52</w:t>
        </w:r>
        <w:r w:rsidR="009C5382">
          <w:rPr>
            <w:noProof/>
            <w:webHidden/>
          </w:rPr>
          <w:fldChar w:fldCharType="end"/>
        </w:r>
      </w:hyperlink>
    </w:p>
    <w:p w14:paraId="5B27667F" w14:textId="75A06BB5" w:rsidR="00E115E2" w:rsidRPr="009C797D" w:rsidRDefault="00AA550E" w:rsidP="00352626">
      <w:pPr>
        <w:tabs>
          <w:tab w:val="left" w:pos="567"/>
          <w:tab w:val="right" w:leader="dot" w:pos="9356"/>
        </w:tabs>
        <w:ind w:right="50"/>
        <w:rPr>
          <w:rFonts w:cs="Calibri"/>
          <w:szCs w:val="24"/>
        </w:rPr>
      </w:pPr>
      <w:r w:rsidRPr="009C797D">
        <w:rPr>
          <w:rFonts w:cs="Calibri"/>
          <w:b/>
          <w:bCs/>
          <w:caps/>
          <w:szCs w:val="24"/>
        </w:rPr>
        <w:fldChar w:fldCharType="end"/>
      </w:r>
    </w:p>
    <w:p w14:paraId="119401E3" w14:textId="77777777" w:rsidR="006D4426" w:rsidRDefault="006D4426" w:rsidP="00352626">
      <w:pPr>
        <w:pStyle w:val="Paragraphedeliste"/>
        <w:spacing w:after="60" w:line="264" w:lineRule="auto"/>
        <w:ind w:left="0"/>
        <w:contextualSpacing w:val="0"/>
        <w:jc w:val="both"/>
        <w:rPr>
          <w:rFonts w:cs="Calibri"/>
          <w:szCs w:val="24"/>
        </w:rPr>
      </w:pPr>
    </w:p>
    <w:p w14:paraId="76191C95" w14:textId="77777777" w:rsidR="006D4426" w:rsidRDefault="006D4426" w:rsidP="00352626">
      <w:pPr>
        <w:pStyle w:val="Paragraphedeliste"/>
        <w:spacing w:after="60" w:line="264" w:lineRule="auto"/>
        <w:ind w:left="0"/>
        <w:contextualSpacing w:val="0"/>
        <w:jc w:val="both"/>
        <w:rPr>
          <w:rFonts w:cs="Calibri"/>
          <w:szCs w:val="24"/>
        </w:rPr>
      </w:pPr>
    </w:p>
    <w:p w14:paraId="3C6A6608" w14:textId="77777777" w:rsidR="006D4426" w:rsidRDefault="006D4426" w:rsidP="00352626">
      <w:pPr>
        <w:pStyle w:val="Paragraphedeliste"/>
        <w:spacing w:after="60" w:line="264" w:lineRule="auto"/>
        <w:ind w:left="0"/>
        <w:contextualSpacing w:val="0"/>
        <w:jc w:val="both"/>
        <w:rPr>
          <w:rFonts w:cs="Calibri"/>
          <w:sz w:val="26"/>
          <w:szCs w:val="26"/>
        </w:rPr>
        <w:sectPr w:rsidR="006D4426" w:rsidSect="00484132">
          <w:headerReference w:type="even" r:id="rId15"/>
          <w:headerReference w:type="default" r:id="rId16"/>
          <w:pgSz w:w="12242" w:h="15842" w:code="1"/>
          <w:pgMar w:top="1701" w:right="1418" w:bottom="1134" w:left="1418" w:header="709" w:footer="709" w:gutter="0"/>
          <w:cols w:space="720"/>
          <w:docGrid w:linePitch="65"/>
        </w:sectPr>
      </w:pPr>
    </w:p>
    <w:p w14:paraId="58D91BF1" w14:textId="77777777" w:rsidR="00980CF9" w:rsidRPr="009C797D" w:rsidRDefault="00AA550E" w:rsidP="006A2DE4">
      <w:pPr>
        <w:pStyle w:val="Titre1"/>
        <w:tabs>
          <w:tab w:val="clear" w:pos="567"/>
          <w:tab w:val="num" w:pos="1701"/>
        </w:tabs>
        <w:rPr>
          <w:rFonts w:cs="Calibri"/>
        </w:rPr>
      </w:pPr>
      <w:bookmarkStart w:id="0" w:name="_Toc124329913"/>
      <w:bookmarkStart w:id="1" w:name="_Toc43611390"/>
      <w:bookmarkStart w:id="2" w:name="_Toc43612987"/>
      <w:bookmarkStart w:id="3" w:name="_Toc43715353"/>
      <w:bookmarkStart w:id="4" w:name="_Toc43715410"/>
      <w:bookmarkStart w:id="5" w:name="_Toc43715452"/>
      <w:bookmarkStart w:id="6" w:name="_Toc43715503"/>
      <w:bookmarkStart w:id="7" w:name="_Toc43715608"/>
      <w:bookmarkStart w:id="8" w:name="_Toc43716125"/>
      <w:bookmarkStart w:id="9" w:name="_Toc260235807"/>
      <w:bookmarkStart w:id="10" w:name="_Toc261254663"/>
      <w:bookmarkStart w:id="11" w:name="_Toc261254767"/>
      <w:bookmarkStart w:id="12" w:name="_Toc261255218"/>
      <w:bookmarkStart w:id="13" w:name="_Toc261255256"/>
      <w:r w:rsidRPr="009C797D">
        <w:rPr>
          <w:rFonts w:cs="Calibri"/>
        </w:rPr>
        <w:lastRenderedPageBreak/>
        <w:t>I</w:t>
      </w:r>
      <w:r w:rsidR="0086085B">
        <w:rPr>
          <w:rFonts w:cs="Calibri"/>
        </w:rPr>
        <w:t>NTRODUCTION</w:t>
      </w:r>
      <w:bookmarkEnd w:id="0"/>
    </w:p>
    <w:p w14:paraId="1C11E0FE" w14:textId="77777777" w:rsidR="00980CF9" w:rsidRDefault="00980CF9" w:rsidP="00352626"/>
    <w:p w14:paraId="74F12E16" w14:textId="77777777" w:rsidR="0086085B" w:rsidRPr="009C797D" w:rsidRDefault="0086085B" w:rsidP="00352626"/>
    <w:p w14:paraId="6381FC93" w14:textId="2BE0F5AA" w:rsidR="00980CF9" w:rsidRPr="009C797D" w:rsidRDefault="00AA550E" w:rsidP="00352626">
      <w:pPr>
        <w:rPr>
          <w:rFonts w:cs="Calibri"/>
        </w:rPr>
      </w:pPr>
      <w:r w:rsidRPr="009C797D">
        <w:rPr>
          <w:rFonts w:cs="Calibri"/>
        </w:rPr>
        <w:t xml:space="preserve">La </w:t>
      </w:r>
      <w:hyperlink r:id="rId17" w:history="1">
        <w:r w:rsidRPr="009C797D">
          <w:rPr>
            <w:rStyle w:val="Lienhypertexte"/>
            <w:rFonts w:cs="Calibri"/>
            <w:i/>
          </w:rPr>
          <w:t>Loi sur la Régie de l’énergie</w:t>
        </w:r>
      </w:hyperlink>
      <w:r w:rsidR="00287EDA">
        <w:rPr>
          <w:rStyle w:val="Appelnotedebasdep"/>
          <w:rFonts w:cs="Calibri"/>
          <w:i/>
          <w:color w:val="0000FF"/>
          <w:u w:val="single"/>
        </w:rPr>
        <w:footnoteReference w:id="2"/>
      </w:r>
      <w:r w:rsidRPr="009C797D">
        <w:rPr>
          <w:rFonts w:cs="Calibri"/>
        </w:rPr>
        <w:t xml:space="preserve"> </w:t>
      </w:r>
      <w:r w:rsidRPr="009C797D">
        <w:rPr>
          <w:rFonts w:cs="Calibri"/>
          <w:lang w:val="fr-FR"/>
        </w:rPr>
        <w:t>(la Loi) définit les</w:t>
      </w:r>
      <w:r w:rsidRPr="009C797D">
        <w:rPr>
          <w:rFonts w:cs="Calibri"/>
        </w:rPr>
        <w:t xml:space="preserve"> compétences de la Régie de l’énergie (la Régie) en matière de gaz naturel. Le présent Guide </w:t>
      </w:r>
      <w:r w:rsidR="008A1AEB" w:rsidRPr="009C797D">
        <w:rPr>
          <w:rFonts w:cs="Calibri"/>
        </w:rPr>
        <w:t xml:space="preserve">de dépôt (le Guide) </w:t>
      </w:r>
      <w:r w:rsidRPr="009C797D">
        <w:rPr>
          <w:rFonts w:cs="Calibri"/>
        </w:rPr>
        <w:t>s’applique à toute demande soumise à la Régie par Gazifère Inc. (Gazifère</w:t>
      </w:r>
      <w:r w:rsidR="00287EDA">
        <w:rPr>
          <w:rFonts w:cs="Calibri"/>
        </w:rPr>
        <w:t xml:space="preserve"> ou le Distributeur</w:t>
      </w:r>
      <w:r w:rsidRPr="009C797D">
        <w:rPr>
          <w:rFonts w:cs="Calibri"/>
        </w:rPr>
        <w:t xml:space="preserve">) dans ce contexte. </w:t>
      </w:r>
    </w:p>
    <w:p w14:paraId="5DB33F9A" w14:textId="37B813EB" w:rsidR="006C4FB2" w:rsidRPr="006C4FB2" w:rsidRDefault="00AA550E" w:rsidP="00352626">
      <w:pPr>
        <w:autoSpaceDE w:val="0"/>
        <w:autoSpaceDN w:val="0"/>
        <w:adjustRightInd w:val="0"/>
        <w:spacing w:before="200" w:after="0"/>
      </w:pPr>
      <w:r w:rsidRPr="006C4FB2">
        <w:t xml:space="preserve">Les sections 3 à </w:t>
      </w:r>
      <w:r w:rsidR="00507F6B">
        <w:t>8</w:t>
      </w:r>
      <w:r w:rsidR="00507F6B" w:rsidRPr="006C4FB2">
        <w:t xml:space="preserve"> </w:t>
      </w:r>
      <w:r w:rsidRPr="006C4FB2">
        <w:t>du présent Guide encadrent le dépôt des demandes liées </w:t>
      </w:r>
      <w:r w:rsidR="00287EDA">
        <w:t xml:space="preserve">aux compétences </w:t>
      </w:r>
      <w:r w:rsidR="00ED060F">
        <w:t>de la Régie</w:t>
      </w:r>
      <w:r w:rsidR="00287EDA">
        <w:t xml:space="preserve"> </w:t>
      </w:r>
      <w:r w:rsidRPr="006C4FB2">
        <w:t>:</w:t>
      </w:r>
    </w:p>
    <w:p w14:paraId="5117805F" w14:textId="1350E0E8" w:rsidR="00507F6B" w:rsidRPr="006A2DE4" w:rsidRDefault="00287EDA" w:rsidP="006A2DE4">
      <w:pPr>
        <w:pStyle w:val="Paragraphedeliste"/>
        <w:numPr>
          <w:ilvl w:val="0"/>
          <w:numId w:val="65"/>
        </w:numPr>
        <w:jc w:val="both"/>
        <w:rPr>
          <w:bCs/>
          <w:kern w:val="32"/>
          <w:szCs w:val="24"/>
          <w:u w:color="808080"/>
        </w:rPr>
      </w:pPr>
      <w:r>
        <w:rPr>
          <w:bCs/>
          <w:kern w:val="32"/>
          <w:sz w:val="24"/>
          <w:szCs w:val="24"/>
          <w:u w:color="808080"/>
        </w:rPr>
        <w:t>A</w:t>
      </w:r>
      <w:r w:rsidR="00507F6B" w:rsidRPr="006A2DE4">
        <w:rPr>
          <w:bCs/>
          <w:kern w:val="32"/>
          <w:sz w:val="24"/>
          <w:szCs w:val="24"/>
          <w:u w:color="808080"/>
        </w:rPr>
        <w:t>pprobation du plan d’approvisionnement (articles 31 (2</w:t>
      </w:r>
      <w:r w:rsidR="00507F6B" w:rsidRPr="006A2DE4">
        <w:rPr>
          <w:bCs/>
          <w:kern w:val="32"/>
          <w:sz w:val="24"/>
          <w:szCs w:val="24"/>
          <w:u w:color="808080"/>
          <w:vertAlign w:val="superscript"/>
        </w:rPr>
        <w:t>o</w:t>
      </w:r>
      <w:r w:rsidR="00507F6B" w:rsidRPr="006A2DE4">
        <w:rPr>
          <w:bCs/>
          <w:kern w:val="32"/>
          <w:sz w:val="24"/>
          <w:szCs w:val="24"/>
          <w:u w:color="808080"/>
        </w:rPr>
        <w:t xml:space="preserve">) et 72 de la Loi et </w:t>
      </w:r>
      <w:hyperlink r:id="rId18" w:history="1">
        <w:r w:rsidR="00507F6B" w:rsidRPr="006A2DE4">
          <w:rPr>
            <w:rStyle w:val="Lienhypertexte"/>
            <w:bCs/>
            <w:i/>
            <w:kern w:val="32"/>
            <w:sz w:val="24"/>
            <w:szCs w:val="24"/>
            <w:u w:color="808080"/>
          </w:rPr>
          <w:t>Règlement sur la teneur</w:t>
        </w:r>
      </w:hyperlink>
      <w:r w:rsidR="00507F6B" w:rsidRPr="006A2DE4">
        <w:rPr>
          <w:bCs/>
          <w:kern w:val="32"/>
          <w:sz w:val="24"/>
          <w:szCs w:val="24"/>
          <w:u w:color="808080"/>
          <w:vertAlign w:val="superscript"/>
        </w:rPr>
        <w:footnoteReference w:id="3"/>
      </w:r>
      <w:r w:rsidR="00507F6B" w:rsidRPr="006A2DE4">
        <w:rPr>
          <w:bCs/>
          <w:kern w:val="32"/>
          <w:sz w:val="24"/>
          <w:szCs w:val="24"/>
          <w:u w:color="808080"/>
        </w:rPr>
        <w:t>);</w:t>
      </w:r>
    </w:p>
    <w:p w14:paraId="409BDFEC" w14:textId="35F5D5C6" w:rsidR="006C4FB2" w:rsidRPr="006A2DE4" w:rsidRDefault="00287EDA" w:rsidP="006A2DE4">
      <w:pPr>
        <w:pStyle w:val="Paragraphedeliste"/>
        <w:numPr>
          <w:ilvl w:val="0"/>
          <w:numId w:val="65"/>
        </w:numPr>
        <w:jc w:val="both"/>
        <w:rPr>
          <w:bCs/>
          <w:kern w:val="32"/>
          <w:szCs w:val="24"/>
          <w:u w:color="808080"/>
        </w:rPr>
      </w:pPr>
      <w:r>
        <w:rPr>
          <w:bCs/>
          <w:kern w:val="32"/>
          <w:sz w:val="24"/>
          <w:szCs w:val="24"/>
          <w:u w:color="808080"/>
        </w:rPr>
        <w:t>F</w:t>
      </w:r>
      <w:r w:rsidR="00AA550E" w:rsidRPr="006A2DE4">
        <w:rPr>
          <w:bCs/>
          <w:kern w:val="32"/>
          <w:sz w:val="24"/>
          <w:szCs w:val="24"/>
          <w:u w:color="808080"/>
        </w:rPr>
        <w:t>ixation ou modification des tarifs et des conditions auxquels le gaz naturel est fourni, transporté, livré ou emmagasiné (Conditions de service et tarifs ou CST) (principalement, articles 31 (1</w:t>
      </w:r>
      <w:r w:rsidR="00AA550E" w:rsidRPr="006A2DE4">
        <w:rPr>
          <w:bCs/>
          <w:kern w:val="32"/>
          <w:sz w:val="24"/>
          <w:szCs w:val="24"/>
          <w:u w:color="808080"/>
          <w:vertAlign w:val="superscript"/>
        </w:rPr>
        <w:t>o</w:t>
      </w:r>
      <w:r w:rsidR="00AA550E" w:rsidRPr="006A2DE4">
        <w:rPr>
          <w:bCs/>
          <w:kern w:val="32"/>
          <w:sz w:val="24"/>
          <w:szCs w:val="24"/>
          <w:u w:color="808080"/>
        </w:rPr>
        <w:t>), 32 et 48 à 53</w:t>
      </w:r>
      <w:r w:rsidR="00AA550E" w:rsidRPr="006A2DE4">
        <w:rPr>
          <w:bCs/>
          <w:kern w:val="32"/>
          <w:sz w:val="24"/>
          <w:szCs w:val="24"/>
          <w:u w:color="808080"/>
          <w:vertAlign w:val="superscript"/>
        </w:rPr>
        <w:footnoteReference w:id="4"/>
      </w:r>
      <w:r w:rsidR="00AA550E" w:rsidRPr="006A2DE4">
        <w:rPr>
          <w:bCs/>
          <w:kern w:val="32"/>
          <w:sz w:val="24"/>
          <w:szCs w:val="24"/>
          <w:u w:color="808080"/>
        </w:rPr>
        <w:t xml:space="preserve"> de la Loi)</w:t>
      </w:r>
      <w:r w:rsidR="00507F6B" w:rsidRPr="006A2DE4">
        <w:rPr>
          <w:bCs/>
          <w:kern w:val="32"/>
          <w:sz w:val="24"/>
          <w:szCs w:val="24"/>
          <w:u w:color="808080"/>
        </w:rPr>
        <w:t>, incluant l’approbation des programmes commerciaux (articles 49 (1</w:t>
      </w:r>
      <w:r w:rsidR="00507F6B" w:rsidRPr="006A2DE4">
        <w:rPr>
          <w:bCs/>
          <w:kern w:val="32"/>
          <w:sz w:val="24"/>
          <w:szCs w:val="24"/>
          <w:u w:color="808080"/>
          <w:vertAlign w:val="superscript"/>
        </w:rPr>
        <w:t xml:space="preserve">o </w:t>
      </w:r>
      <w:r w:rsidR="00507F6B" w:rsidRPr="006A2DE4">
        <w:rPr>
          <w:bCs/>
          <w:kern w:val="32"/>
          <w:sz w:val="24"/>
          <w:szCs w:val="24"/>
          <w:u w:color="808080"/>
        </w:rPr>
        <w:t>et 2</w:t>
      </w:r>
      <w:r w:rsidR="00507F6B" w:rsidRPr="006A2DE4">
        <w:rPr>
          <w:bCs/>
          <w:kern w:val="32"/>
          <w:sz w:val="24"/>
          <w:szCs w:val="24"/>
          <w:u w:color="808080"/>
          <w:vertAlign w:val="superscript"/>
        </w:rPr>
        <w:t>o</w:t>
      </w:r>
      <w:r w:rsidR="00507F6B" w:rsidRPr="006A2DE4">
        <w:rPr>
          <w:bCs/>
          <w:kern w:val="32"/>
          <w:sz w:val="24"/>
          <w:szCs w:val="24"/>
          <w:u w:color="808080"/>
        </w:rPr>
        <w:t>) et 74 de la Loi)</w:t>
      </w:r>
      <w:r w:rsidR="00AA550E" w:rsidRPr="006A2DE4">
        <w:rPr>
          <w:bCs/>
          <w:kern w:val="32"/>
          <w:sz w:val="24"/>
          <w:szCs w:val="24"/>
          <w:u w:color="808080"/>
        </w:rPr>
        <w:t>;</w:t>
      </w:r>
      <w:r w:rsidR="00507F6B" w:rsidRPr="006A2DE4">
        <w:rPr>
          <w:bCs/>
          <w:kern w:val="32"/>
          <w:sz w:val="24"/>
          <w:szCs w:val="24"/>
          <w:u w:color="808080"/>
        </w:rPr>
        <w:t xml:space="preserve"> </w:t>
      </w:r>
    </w:p>
    <w:p w14:paraId="4FD66D9B" w14:textId="17CBF63C" w:rsidR="006C4FB2" w:rsidRPr="006A2DE4" w:rsidRDefault="00287EDA" w:rsidP="006A2DE4">
      <w:pPr>
        <w:pStyle w:val="Paragraphedeliste"/>
        <w:numPr>
          <w:ilvl w:val="0"/>
          <w:numId w:val="65"/>
        </w:numPr>
        <w:jc w:val="both"/>
        <w:rPr>
          <w:bCs/>
          <w:kern w:val="32"/>
          <w:szCs w:val="24"/>
          <w:u w:color="808080"/>
        </w:rPr>
      </w:pPr>
      <w:r>
        <w:rPr>
          <w:bCs/>
          <w:kern w:val="32"/>
          <w:sz w:val="24"/>
          <w:szCs w:val="24"/>
          <w:u w:color="808080"/>
        </w:rPr>
        <w:t>A</w:t>
      </w:r>
      <w:r w:rsidR="00AA550E" w:rsidRPr="006A2DE4">
        <w:rPr>
          <w:bCs/>
          <w:kern w:val="32"/>
          <w:sz w:val="24"/>
          <w:szCs w:val="24"/>
          <w:u w:color="808080"/>
        </w:rPr>
        <w:t xml:space="preserve">pprobation des budgets annuels des programmes et des mesures </w:t>
      </w:r>
      <w:r w:rsidR="00507F6B" w:rsidRPr="006A2DE4">
        <w:rPr>
          <w:bCs/>
          <w:kern w:val="32"/>
          <w:sz w:val="24"/>
          <w:szCs w:val="24"/>
          <w:u w:color="808080"/>
        </w:rPr>
        <w:t>en efficacité énergétique</w:t>
      </w:r>
      <w:r w:rsidR="005C423E">
        <w:rPr>
          <w:bCs/>
          <w:kern w:val="32"/>
          <w:sz w:val="24"/>
          <w:szCs w:val="24"/>
          <w:u w:color="808080"/>
        </w:rPr>
        <w:t xml:space="preserve"> </w:t>
      </w:r>
      <w:r w:rsidR="00AA550E" w:rsidRPr="006A2DE4">
        <w:rPr>
          <w:bCs/>
          <w:kern w:val="32"/>
          <w:sz w:val="24"/>
          <w:szCs w:val="24"/>
          <w:u w:color="808080"/>
        </w:rPr>
        <w:t>(articles 49, 85.41 et 85.44 de la Loi);</w:t>
      </w:r>
    </w:p>
    <w:p w14:paraId="21149256" w14:textId="4397B845" w:rsidR="006C4FB2" w:rsidRPr="006A2DE4" w:rsidRDefault="00287EDA" w:rsidP="006A2DE4">
      <w:pPr>
        <w:pStyle w:val="Paragraphedeliste"/>
        <w:numPr>
          <w:ilvl w:val="0"/>
          <w:numId w:val="65"/>
        </w:numPr>
        <w:jc w:val="both"/>
        <w:rPr>
          <w:bCs/>
          <w:kern w:val="32"/>
          <w:szCs w:val="24"/>
          <w:u w:color="808080"/>
        </w:rPr>
      </w:pPr>
      <w:r>
        <w:rPr>
          <w:bCs/>
          <w:kern w:val="32"/>
          <w:sz w:val="24"/>
          <w:szCs w:val="24"/>
          <w:u w:color="808080"/>
        </w:rPr>
        <w:t>A</w:t>
      </w:r>
      <w:r w:rsidR="00AA550E" w:rsidRPr="006A2DE4">
        <w:rPr>
          <w:bCs/>
          <w:kern w:val="32"/>
          <w:sz w:val="24"/>
          <w:szCs w:val="24"/>
          <w:u w:color="808080"/>
        </w:rPr>
        <w:t xml:space="preserve">utorisation de projets d’investissement (article 73 et </w:t>
      </w:r>
      <w:hyperlink r:id="rId19" w:history="1">
        <w:hyperlink r:id="rId20" w:history="1">
          <w:r w:rsidR="00AA550E" w:rsidRPr="006A2DE4">
            <w:rPr>
              <w:rStyle w:val="Lienhypertexte"/>
              <w:i/>
              <w:kern w:val="32"/>
              <w:sz w:val="24"/>
              <w:szCs w:val="24"/>
              <w:u w:color="808080"/>
              <w:lang w:val="fr-FR"/>
            </w:rPr>
            <w:t>Règlement sur les conditions</w:t>
          </w:r>
        </w:hyperlink>
      </w:hyperlink>
      <w:r w:rsidR="00AA550E" w:rsidRPr="006A2DE4">
        <w:rPr>
          <w:bCs/>
          <w:kern w:val="32"/>
          <w:sz w:val="24"/>
          <w:szCs w:val="24"/>
          <w:u w:color="808080"/>
          <w:vertAlign w:val="superscript"/>
        </w:rPr>
        <w:footnoteReference w:id="5"/>
      </w:r>
      <w:r w:rsidR="00256B2F" w:rsidRPr="006A2DE4">
        <w:rPr>
          <w:bCs/>
          <w:kern w:val="32"/>
          <w:sz w:val="24"/>
          <w:szCs w:val="24"/>
          <w:u w:color="808080"/>
        </w:rPr>
        <w:t>)</w:t>
      </w:r>
      <w:r w:rsidR="00AA550E" w:rsidRPr="006A2DE4">
        <w:rPr>
          <w:bCs/>
          <w:kern w:val="32"/>
          <w:sz w:val="24"/>
          <w:szCs w:val="24"/>
          <w:u w:color="808080"/>
        </w:rPr>
        <w:t>;</w:t>
      </w:r>
    </w:p>
    <w:p w14:paraId="2D3EA644" w14:textId="18E7B8BE" w:rsidR="006C4FB2" w:rsidRPr="006A2DE4" w:rsidRDefault="00287EDA" w:rsidP="006A2DE4">
      <w:pPr>
        <w:pStyle w:val="Paragraphedeliste"/>
        <w:numPr>
          <w:ilvl w:val="0"/>
          <w:numId w:val="65"/>
        </w:numPr>
        <w:jc w:val="both"/>
        <w:rPr>
          <w:bCs/>
          <w:kern w:val="32"/>
          <w:szCs w:val="24"/>
          <w:u w:color="808080"/>
        </w:rPr>
      </w:pPr>
      <w:r>
        <w:rPr>
          <w:sz w:val="24"/>
        </w:rPr>
        <w:t>F</w:t>
      </w:r>
      <w:r w:rsidR="00352626" w:rsidRPr="006A2DE4">
        <w:rPr>
          <w:bCs/>
          <w:kern w:val="32"/>
          <w:sz w:val="24"/>
          <w:szCs w:val="24"/>
          <w:u w:color="808080"/>
        </w:rPr>
        <w:t>ermeture règlementaire</w:t>
      </w:r>
      <w:r w:rsidR="00330F39" w:rsidRPr="006A2DE4">
        <w:rPr>
          <w:bCs/>
          <w:kern w:val="32"/>
          <w:sz w:val="24"/>
          <w:szCs w:val="24"/>
          <w:u w:color="808080"/>
        </w:rPr>
        <w:t xml:space="preserve"> des livres </w:t>
      </w:r>
      <w:r w:rsidR="00AA550E" w:rsidRPr="006A2DE4">
        <w:rPr>
          <w:bCs/>
          <w:kern w:val="32"/>
          <w:sz w:val="24"/>
          <w:szCs w:val="24"/>
          <w:u w:color="808080"/>
        </w:rPr>
        <w:t>(article 75 de la Loi);</w:t>
      </w:r>
    </w:p>
    <w:p w14:paraId="577D3AF2" w14:textId="7D19FD37" w:rsidR="006C4FB2" w:rsidRPr="006A2DE4" w:rsidRDefault="00AA550E" w:rsidP="006A2DE4">
      <w:pPr>
        <w:pStyle w:val="Paragraphedeliste"/>
        <w:numPr>
          <w:ilvl w:val="0"/>
          <w:numId w:val="65"/>
        </w:numPr>
        <w:jc w:val="both"/>
        <w:rPr>
          <w:bCs/>
          <w:kern w:val="32"/>
          <w:szCs w:val="24"/>
          <w:u w:color="808080"/>
        </w:rPr>
      </w:pPr>
      <w:r w:rsidRPr="006A2DE4">
        <w:rPr>
          <w:bCs/>
          <w:kern w:val="32"/>
          <w:sz w:val="24"/>
          <w:szCs w:val="24"/>
          <w:u w:color="808080"/>
        </w:rPr>
        <w:t>Ajustements subséquents aux tarifs.</w:t>
      </w:r>
    </w:p>
    <w:p w14:paraId="7A4B3140" w14:textId="211FB155" w:rsidR="006C4FB2" w:rsidRPr="006C4FB2" w:rsidRDefault="00AA550E" w:rsidP="00352626">
      <w:pPr>
        <w:autoSpaceDE w:val="0"/>
        <w:autoSpaceDN w:val="0"/>
        <w:adjustRightInd w:val="0"/>
        <w:spacing w:before="200" w:after="0"/>
      </w:pPr>
      <w:r w:rsidRPr="006C4FB2">
        <w:t xml:space="preserve">La section </w:t>
      </w:r>
      <w:r w:rsidR="00507F6B">
        <w:t>9</w:t>
      </w:r>
      <w:r w:rsidR="00507F6B" w:rsidRPr="006C4FB2">
        <w:t xml:space="preserve"> </w:t>
      </w:r>
      <w:r w:rsidRPr="006C4FB2">
        <w:t xml:space="preserve">du Guide porte, quant à elle, sur les plaintes des consommateurs en lien avec l’application d’un tarif ou d’une condition de fourniture, de transport, de livraison ou d’emmagasinage de gaz naturel par </w:t>
      </w:r>
      <w:r>
        <w:t>Gazifère</w:t>
      </w:r>
      <w:r w:rsidRPr="006C4FB2">
        <w:t>.</w:t>
      </w:r>
    </w:p>
    <w:p w14:paraId="7E9A70A6" w14:textId="77777777" w:rsidR="00ED060F" w:rsidRDefault="00AA550E" w:rsidP="00352626">
      <w:pPr>
        <w:autoSpaceDE w:val="0"/>
        <w:autoSpaceDN w:val="0"/>
        <w:adjustRightInd w:val="0"/>
        <w:spacing w:before="200" w:after="0"/>
      </w:pPr>
      <w:r w:rsidRPr="006C4FB2">
        <w:t>Il est à noter que les décisions à venir de la Régie pourraient modifier un ou plusieurs éléments du présent Guide, qui ne se veut en aucun cas une référence absolue</w:t>
      </w:r>
      <w:r w:rsidR="00287EDA">
        <w:t>. Le Guide</w:t>
      </w:r>
      <w:r w:rsidRPr="006C4FB2">
        <w:t xml:space="preserve"> devra être revu périodiquement en conséquence, puisque les dispositions légales et réglementaires applicables ainsi que les ordonnances et décisions pertinentes de la Régie ont préséance sur le contenu du présent Guide. </w:t>
      </w:r>
    </w:p>
    <w:p w14:paraId="31AD4E33" w14:textId="32D56419" w:rsidR="006C4FB2" w:rsidRPr="006C4FB2" w:rsidRDefault="00ED060F" w:rsidP="00352626">
      <w:pPr>
        <w:autoSpaceDE w:val="0"/>
        <w:autoSpaceDN w:val="0"/>
        <w:adjustRightInd w:val="0"/>
        <w:spacing w:before="200" w:after="0"/>
      </w:pPr>
      <w:r>
        <w:t>L</w:t>
      </w:r>
      <w:r w:rsidR="00AA550E" w:rsidRPr="006C4FB2">
        <w:t xml:space="preserve">e Guide vise à uniformiser le dépôt de la documentation déposée par </w:t>
      </w:r>
      <w:r w:rsidR="00AA550E">
        <w:t>Gazifère</w:t>
      </w:r>
      <w:r w:rsidR="00AA550E" w:rsidRPr="006C4FB2">
        <w:t xml:space="preserve"> au soutien de ses demandes et dans le cadre des dossiers de plainte, </w:t>
      </w:r>
      <w:r>
        <w:t>afin</w:t>
      </w:r>
      <w:r w:rsidR="00AA550E" w:rsidRPr="006C4FB2">
        <w:t xml:space="preserve"> que la Régie dispose de toute l’information dont elle a besoin dans l’exercice de ses compétences.</w:t>
      </w:r>
    </w:p>
    <w:p w14:paraId="609DCE5F" w14:textId="18117E61" w:rsidR="006C4FB2" w:rsidRPr="006C4FB2" w:rsidRDefault="00AA550E" w:rsidP="00352626">
      <w:pPr>
        <w:autoSpaceDE w:val="0"/>
        <w:autoSpaceDN w:val="0"/>
        <w:adjustRightInd w:val="0"/>
        <w:spacing w:before="200" w:after="0"/>
      </w:pPr>
      <w:r w:rsidRPr="006C4FB2">
        <w:lastRenderedPageBreak/>
        <w:t>Les modalités de dépôt suggérées par le Guide visent à permettre un traitement efficace des demandes d</w:t>
      </w:r>
      <w:r>
        <w:t>e Gazifère</w:t>
      </w:r>
      <w:r w:rsidRPr="006C4FB2">
        <w:t xml:space="preserve"> et de ses consommateurs. Afin de contribuer à l’atteinte de cet objectif, </w:t>
      </w:r>
      <w:r>
        <w:t>Gazifère</w:t>
      </w:r>
      <w:r w:rsidRPr="006C4FB2">
        <w:t xml:space="preserve"> peut également déposer tout autre document pertinent qui facilite la compréhension du dossier.</w:t>
      </w:r>
    </w:p>
    <w:p w14:paraId="2102F62B" w14:textId="77777777" w:rsidR="006C4FB2" w:rsidRPr="006C4FB2" w:rsidRDefault="00AA550E" w:rsidP="00352626">
      <w:pPr>
        <w:autoSpaceDE w:val="0"/>
        <w:autoSpaceDN w:val="0"/>
        <w:adjustRightInd w:val="0"/>
        <w:spacing w:before="200" w:after="0"/>
      </w:pPr>
      <w:r w:rsidRPr="006C4FB2">
        <w:t>Par ailleurs, outre la documentation soumise en lien avec le présent Guide, des demandes de renseignements pourraient être transmises au demandeur, le cas échéant, afin que ce dernier dépose des informations supplémentaires.</w:t>
      </w:r>
    </w:p>
    <w:p w14:paraId="7233938B" w14:textId="77777777" w:rsidR="00980CF9" w:rsidRPr="009C797D" w:rsidRDefault="00980CF9" w:rsidP="00352626"/>
    <w:p w14:paraId="7A38E8A5" w14:textId="101D6BC2" w:rsidR="00F4021E" w:rsidRDefault="00AA550E" w:rsidP="00352626">
      <w:r w:rsidRPr="009C797D">
        <w:t>Ce Guide s’inscrit également dans le contexte d</w:t>
      </w:r>
      <w:r>
        <w:t>es règlements</w:t>
      </w:r>
      <w:r w:rsidR="00C20691">
        <w:t>, décret</w:t>
      </w:r>
      <w:r>
        <w:t xml:space="preserve"> </w:t>
      </w:r>
      <w:r w:rsidR="00AB0E3E">
        <w:t>et plan</w:t>
      </w:r>
      <w:r>
        <w:t xml:space="preserve"> suivants :</w:t>
      </w:r>
    </w:p>
    <w:p w14:paraId="274CCD21" w14:textId="77777777" w:rsidR="00F4021E" w:rsidRDefault="00F4021E" w:rsidP="00352626"/>
    <w:p w14:paraId="3FB0206D" w14:textId="264181CE" w:rsidR="00980CF9" w:rsidRPr="006A2DE4" w:rsidRDefault="00383B41" w:rsidP="006A2DE4">
      <w:pPr>
        <w:pStyle w:val="Paragraphedeliste"/>
        <w:numPr>
          <w:ilvl w:val="0"/>
          <w:numId w:val="66"/>
        </w:numPr>
      </w:pPr>
      <w:hyperlink r:id="rId21" w:history="1">
        <w:r w:rsidR="00AA550E" w:rsidRPr="006A2DE4">
          <w:rPr>
            <w:rStyle w:val="Lienhypertexte"/>
            <w:rFonts w:cs="Calibri"/>
            <w:i/>
            <w:sz w:val="24"/>
            <w:szCs w:val="24"/>
          </w:rPr>
          <w:t>Règlement sur la procédure de la Régie de l’énergie</w:t>
        </w:r>
      </w:hyperlink>
      <w:r w:rsidR="007F143E" w:rsidRPr="006A2DE4">
        <w:rPr>
          <w:szCs w:val="24"/>
        </w:rPr>
        <w:t xml:space="preserve"> (Règlement sur la procédure)</w:t>
      </w:r>
      <w:r w:rsidR="00F4021E" w:rsidRPr="006A2DE4">
        <w:rPr>
          <w:szCs w:val="24"/>
        </w:rPr>
        <w:t>;</w:t>
      </w:r>
    </w:p>
    <w:p w14:paraId="622BFEC4" w14:textId="3B783260" w:rsidR="00F4021E" w:rsidRPr="006A2DE4" w:rsidRDefault="00383B41" w:rsidP="006A2DE4">
      <w:pPr>
        <w:pStyle w:val="Paragraphedeliste"/>
        <w:numPr>
          <w:ilvl w:val="0"/>
          <w:numId w:val="66"/>
        </w:numPr>
        <w:rPr>
          <w:sz w:val="24"/>
          <w:szCs w:val="24"/>
        </w:rPr>
      </w:pPr>
      <w:hyperlink r:id="rId22" w:history="1">
        <w:r w:rsidR="00AA550E" w:rsidRPr="006A2DE4">
          <w:rPr>
            <w:rStyle w:val="Lienhypertexte"/>
            <w:rFonts w:cs="Calibri"/>
            <w:i/>
            <w:sz w:val="24"/>
            <w:szCs w:val="24"/>
            <w:lang w:val="fr-FR" w:eastAsia="fr-CA"/>
          </w:rPr>
          <w:t>Règlement sur la teneur et la périodicité du plan d’approvisionnement</w:t>
        </w:r>
      </w:hyperlink>
      <w:r w:rsidR="00AA550E" w:rsidRPr="006A2DE4">
        <w:rPr>
          <w:sz w:val="24"/>
          <w:szCs w:val="24"/>
          <w:lang w:val="fr-FR" w:eastAsia="fr-CA"/>
        </w:rPr>
        <w:t xml:space="preserve"> (Règlement sur la teneur) ;</w:t>
      </w:r>
    </w:p>
    <w:p w14:paraId="0D31540F" w14:textId="3D880FB2" w:rsidR="00F4021E" w:rsidRPr="006A2DE4" w:rsidRDefault="00383B41" w:rsidP="006A2DE4">
      <w:pPr>
        <w:pStyle w:val="Paragraphedeliste"/>
        <w:numPr>
          <w:ilvl w:val="0"/>
          <w:numId w:val="66"/>
        </w:numPr>
        <w:rPr>
          <w:sz w:val="24"/>
          <w:szCs w:val="24"/>
        </w:rPr>
      </w:pPr>
      <w:hyperlink r:id="rId23" w:history="1">
        <w:r w:rsidR="00AA550E" w:rsidRPr="006A2DE4">
          <w:rPr>
            <w:rStyle w:val="Lienhypertexte"/>
            <w:rFonts w:cs="Calibri"/>
            <w:i/>
            <w:sz w:val="24"/>
            <w:szCs w:val="24"/>
            <w:lang w:val="fr-FR" w:eastAsia="fr-CA"/>
          </w:rPr>
          <w:t>Règlement sur les conditions et les cas requérant une autorisation</w:t>
        </w:r>
      </w:hyperlink>
      <w:r w:rsidR="00AA550E" w:rsidRPr="006A2DE4">
        <w:rPr>
          <w:sz w:val="24"/>
          <w:szCs w:val="24"/>
          <w:lang w:val="fr-FR" w:eastAsia="fr-CA"/>
        </w:rPr>
        <w:t xml:space="preserve"> (Règlement sur les conditions) ;</w:t>
      </w:r>
    </w:p>
    <w:p w14:paraId="54359AD5" w14:textId="52B1CAD8" w:rsidR="00AB0E3E" w:rsidRPr="006A2DE4" w:rsidRDefault="00383B41" w:rsidP="006A2DE4">
      <w:pPr>
        <w:pStyle w:val="Paragraphedeliste"/>
        <w:numPr>
          <w:ilvl w:val="0"/>
          <w:numId w:val="66"/>
        </w:numPr>
        <w:rPr>
          <w:sz w:val="24"/>
          <w:szCs w:val="24"/>
        </w:rPr>
      </w:pPr>
      <w:hyperlink r:id="rId24" w:history="1">
        <w:r w:rsidR="00AA550E" w:rsidRPr="006A2DE4">
          <w:rPr>
            <w:rStyle w:val="Lienhypertexte"/>
            <w:rFonts w:cs="Calibri"/>
            <w:i/>
            <w:sz w:val="24"/>
            <w:szCs w:val="24"/>
            <w:lang w:eastAsia="fr-CA"/>
          </w:rPr>
          <w:t>Règlement concernant la quantité de gaz naturel renouvelable devant être livrée par un distributeur</w:t>
        </w:r>
      </w:hyperlink>
      <w:r w:rsidR="00AA550E" w:rsidRPr="006A2DE4">
        <w:rPr>
          <w:rFonts w:cs="Calibri"/>
          <w:sz w:val="24"/>
          <w:szCs w:val="24"/>
          <w:lang w:eastAsia="fr-CA"/>
        </w:rPr>
        <w:t xml:space="preserve"> (Règlement GNR)</w:t>
      </w:r>
      <w:r w:rsidR="00352626" w:rsidRPr="006A2DE4">
        <w:rPr>
          <w:rFonts w:cs="Calibri"/>
          <w:sz w:val="24"/>
          <w:szCs w:val="24"/>
          <w:lang w:eastAsia="fr-CA"/>
        </w:rPr>
        <w:t xml:space="preserve"> et </w:t>
      </w:r>
      <w:hyperlink r:id="rId25" w:history="1">
        <w:r w:rsidR="00352626" w:rsidRPr="006A2DE4">
          <w:rPr>
            <w:rStyle w:val="Lienhypertexte"/>
            <w:i/>
            <w:iCs/>
            <w:sz w:val="24"/>
            <w:szCs w:val="24"/>
          </w:rPr>
          <w:t>Règlement modifiant le Règlement concernant la quantité de gaz naturel renouvelable devant être livrée par un distributeur</w:t>
        </w:r>
      </w:hyperlink>
      <w:r w:rsidR="00352626" w:rsidRPr="006A2DE4">
        <w:rPr>
          <w:iCs/>
          <w:sz w:val="24"/>
          <w:szCs w:val="24"/>
        </w:rPr>
        <w:t xml:space="preserve"> (Décret </w:t>
      </w:r>
      <w:r w:rsidR="00352626" w:rsidRPr="006A2DE4">
        <w:rPr>
          <w:color w:val="000000"/>
          <w:sz w:val="24"/>
          <w:szCs w:val="24"/>
        </w:rPr>
        <w:t>1587-2022) (collectivement le Règlement GSR)</w:t>
      </w:r>
      <w:r w:rsidR="00AA550E" w:rsidRPr="006A2DE4">
        <w:rPr>
          <w:rFonts w:cs="Calibri"/>
          <w:sz w:val="24"/>
          <w:szCs w:val="24"/>
          <w:lang w:eastAsia="fr-CA"/>
        </w:rPr>
        <w:t>;</w:t>
      </w:r>
    </w:p>
    <w:p w14:paraId="5F3F7388" w14:textId="72CA798D" w:rsidR="0043540E" w:rsidRPr="006A2DE4" w:rsidRDefault="00383B41" w:rsidP="006A2DE4">
      <w:pPr>
        <w:pStyle w:val="Paragraphedeliste"/>
        <w:numPr>
          <w:ilvl w:val="0"/>
          <w:numId w:val="66"/>
        </w:numPr>
        <w:rPr>
          <w:color w:val="000000"/>
          <w:sz w:val="24"/>
          <w:szCs w:val="24"/>
        </w:rPr>
      </w:pPr>
      <w:hyperlink r:id="rId26" w:history="1">
        <w:r w:rsidR="00AA550E" w:rsidRPr="006A2DE4">
          <w:rPr>
            <w:rStyle w:val="Lienhypertexte"/>
            <w:rFonts w:cs="Calibri"/>
            <w:i/>
            <w:iCs/>
            <w:sz w:val="24"/>
            <w:szCs w:val="24"/>
          </w:rPr>
          <w:t>Règlement concernant le système de plafonnement et d’échange de droits d’émission de gaz à effet de serre</w:t>
        </w:r>
      </w:hyperlink>
      <w:r w:rsidR="00AA550E" w:rsidRPr="006A2DE4">
        <w:rPr>
          <w:rFonts w:cs="Calibri"/>
          <w:color w:val="000000"/>
          <w:sz w:val="24"/>
          <w:szCs w:val="24"/>
        </w:rPr>
        <w:t xml:space="preserve"> (Règlement concernant le SPEDE);</w:t>
      </w:r>
    </w:p>
    <w:p w14:paraId="2DD6C6E0" w14:textId="0193DC39" w:rsidR="0043540E" w:rsidRPr="006A2DE4" w:rsidRDefault="00383B41" w:rsidP="006A2DE4">
      <w:pPr>
        <w:pStyle w:val="Paragraphedeliste"/>
        <w:numPr>
          <w:ilvl w:val="0"/>
          <w:numId w:val="66"/>
        </w:numPr>
        <w:rPr>
          <w:sz w:val="24"/>
          <w:szCs w:val="24"/>
        </w:rPr>
      </w:pPr>
      <w:hyperlink r:id="rId27" w:history="1">
        <w:r w:rsidR="00AA550E" w:rsidRPr="006A2DE4">
          <w:rPr>
            <w:rStyle w:val="Lienhypertexte"/>
            <w:rFonts w:cs="Calibri"/>
            <w:i/>
            <w:sz w:val="24"/>
            <w:szCs w:val="24"/>
          </w:rPr>
          <w:t>Règlement sur la déclaration obligatoire de certaines émissions de contaminants dans l’atmosphère</w:t>
        </w:r>
      </w:hyperlink>
      <w:r w:rsidR="00AA550E" w:rsidRPr="006A2DE4">
        <w:rPr>
          <w:color w:val="000000"/>
          <w:sz w:val="24"/>
          <w:szCs w:val="24"/>
        </w:rPr>
        <w:t xml:space="preserve"> (RDOCÉCA</w:t>
      </w:r>
      <w:r w:rsidR="00330F39" w:rsidRPr="006A2DE4">
        <w:rPr>
          <w:rFonts w:cs="Calibri"/>
          <w:sz w:val="24"/>
          <w:szCs w:val="24"/>
          <w:lang w:eastAsia="fr-CA"/>
        </w:rPr>
        <w:t>);</w:t>
      </w:r>
    </w:p>
    <w:p w14:paraId="5BB0A0C2" w14:textId="64810430" w:rsidR="00C20691" w:rsidRPr="006A2DE4" w:rsidRDefault="00383B41" w:rsidP="006A2DE4">
      <w:pPr>
        <w:pStyle w:val="Paragraphedeliste"/>
        <w:numPr>
          <w:ilvl w:val="0"/>
          <w:numId w:val="66"/>
        </w:numPr>
        <w:rPr>
          <w:sz w:val="24"/>
          <w:szCs w:val="24"/>
        </w:rPr>
      </w:pPr>
      <w:hyperlink r:id="rId28" w:history="1">
        <w:r w:rsidR="00AA550E" w:rsidRPr="006A2DE4">
          <w:rPr>
            <w:rStyle w:val="Lienhypertexte"/>
            <w:rFonts w:cs="Calibri"/>
            <w:bCs/>
            <w:i/>
            <w:sz w:val="24"/>
            <w:szCs w:val="24"/>
          </w:rPr>
          <w:t>Plan directeur en transition, innovation et efficacité énergétiques</w:t>
        </w:r>
      </w:hyperlink>
      <w:r w:rsidR="00AA550E" w:rsidRPr="006A2DE4">
        <w:rPr>
          <w:rStyle w:val="Lienhypertexte"/>
          <w:rFonts w:cs="Calibri"/>
          <w:bCs/>
          <w:i/>
          <w:sz w:val="24"/>
          <w:szCs w:val="24"/>
        </w:rPr>
        <w:t> </w:t>
      </w:r>
      <w:r w:rsidR="00AA550E" w:rsidRPr="006A2DE4">
        <w:rPr>
          <w:sz w:val="24"/>
          <w:szCs w:val="24"/>
          <w:lang w:val="fr-FR" w:eastAsia="fr-CA"/>
        </w:rPr>
        <w:t>(Plan directeur);</w:t>
      </w:r>
    </w:p>
    <w:p w14:paraId="62D8C2D9" w14:textId="77777777" w:rsidR="00980CF9" w:rsidRPr="009C797D" w:rsidRDefault="00980CF9" w:rsidP="00352626">
      <w:pPr>
        <w:rPr>
          <w:rFonts w:cs="Calibri"/>
        </w:rPr>
      </w:pPr>
    </w:p>
    <w:p w14:paraId="30B7E316" w14:textId="77777777" w:rsidR="0003732D" w:rsidRPr="009C797D" w:rsidRDefault="0003732D" w:rsidP="00352626">
      <w:pPr>
        <w:rPr>
          <w:rFonts w:cs="Calibri"/>
        </w:rPr>
      </w:pPr>
    </w:p>
    <w:p w14:paraId="198F9E2F" w14:textId="77777777" w:rsidR="009C7434" w:rsidRDefault="009C7434" w:rsidP="00352626">
      <w:pPr>
        <w:spacing w:before="0" w:after="0" w:line="240" w:lineRule="auto"/>
        <w:rPr>
          <w:rFonts w:cs="Calibri"/>
        </w:rPr>
        <w:sectPr w:rsidR="009C7434" w:rsidSect="00484132">
          <w:pgSz w:w="12242" w:h="15842" w:code="1"/>
          <w:pgMar w:top="1701" w:right="1418" w:bottom="1134" w:left="1418" w:header="709" w:footer="709" w:gutter="0"/>
          <w:cols w:space="720"/>
          <w:docGrid w:linePitch="65"/>
        </w:sectPr>
      </w:pPr>
    </w:p>
    <w:p w14:paraId="35B426B9" w14:textId="35AC3837" w:rsidR="00026D0A" w:rsidRPr="00457E0F" w:rsidRDefault="00AA550E" w:rsidP="006A2DE4">
      <w:pPr>
        <w:pStyle w:val="Titre1"/>
        <w:numPr>
          <w:ilvl w:val="0"/>
          <w:numId w:val="64"/>
        </w:numPr>
        <w:rPr>
          <w:rFonts w:cs="Calibri"/>
        </w:rPr>
      </w:pPr>
      <w:bookmarkStart w:id="14" w:name="_Toc124329914"/>
      <w:r w:rsidRPr="00457E0F">
        <w:rPr>
          <w:rFonts w:cs="Calibri"/>
        </w:rPr>
        <w:lastRenderedPageBreak/>
        <w:t>DIRECTIVES GÉNÉRALES</w:t>
      </w:r>
      <w:bookmarkEnd w:id="14"/>
      <w:r w:rsidRPr="00457E0F">
        <w:rPr>
          <w:rFonts w:cs="Calibri"/>
        </w:rPr>
        <w:t xml:space="preserve"> </w:t>
      </w:r>
      <w:bookmarkEnd w:id="1"/>
      <w:bookmarkEnd w:id="2"/>
      <w:bookmarkEnd w:id="3"/>
      <w:bookmarkEnd w:id="4"/>
      <w:bookmarkEnd w:id="5"/>
      <w:bookmarkEnd w:id="6"/>
      <w:bookmarkEnd w:id="7"/>
      <w:bookmarkEnd w:id="8"/>
      <w:bookmarkEnd w:id="9"/>
      <w:bookmarkEnd w:id="10"/>
      <w:bookmarkEnd w:id="11"/>
      <w:bookmarkEnd w:id="12"/>
      <w:bookmarkEnd w:id="13"/>
    </w:p>
    <w:p w14:paraId="5B3E6325" w14:textId="77777777" w:rsidR="009C7434" w:rsidRPr="009C797D" w:rsidRDefault="009C7434" w:rsidP="00352626"/>
    <w:p w14:paraId="73980933" w14:textId="77777777" w:rsidR="00352626" w:rsidRDefault="00AA550E" w:rsidP="00352626">
      <w:pPr>
        <w:pStyle w:val="Titre2"/>
        <w:tabs>
          <w:tab w:val="clear" w:pos="709"/>
          <w:tab w:val="num" w:pos="851"/>
        </w:tabs>
        <w:ind w:left="851" w:hanging="851"/>
        <w:rPr>
          <w:rFonts w:cs="Calibri"/>
        </w:rPr>
      </w:pPr>
      <w:bookmarkStart w:id="15" w:name="_Toc124329915"/>
      <w:r w:rsidRPr="00EA6ACC">
        <w:rPr>
          <w:rFonts w:cs="Calibri"/>
        </w:rPr>
        <w:t>Exigences générales</w:t>
      </w:r>
      <w:bookmarkEnd w:id="15"/>
    </w:p>
    <w:p w14:paraId="2AA5D7C0" w14:textId="77777777" w:rsidR="00352626" w:rsidRPr="00352626" w:rsidRDefault="00352626" w:rsidP="00352626"/>
    <w:p w14:paraId="37529BB8" w14:textId="3F6DE368" w:rsidR="00352626" w:rsidRPr="0091269F" w:rsidRDefault="00AA550E" w:rsidP="00352626">
      <w:pPr>
        <w:pStyle w:val="Paragraphedeliste"/>
        <w:numPr>
          <w:ilvl w:val="0"/>
          <w:numId w:val="6"/>
        </w:numPr>
        <w:autoSpaceDE w:val="0"/>
        <w:autoSpaceDN w:val="0"/>
        <w:adjustRightInd w:val="0"/>
        <w:spacing w:after="60" w:line="264" w:lineRule="auto"/>
        <w:ind w:left="425" w:hanging="425"/>
        <w:contextualSpacing w:val="0"/>
        <w:jc w:val="both"/>
        <w:rPr>
          <w:rFonts w:cs="Calibri"/>
          <w:sz w:val="24"/>
          <w:szCs w:val="24"/>
        </w:rPr>
      </w:pPr>
      <w:r w:rsidRPr="0091269F">
        <w:rPr>
          <w:rFonts w:cs="Calibri"/>
          <w:sz w:val="24"/>
          <w:szCs w:val="24"/>
        </w:rPr>
        <w:t>Présenter la preuve en français</w:t>
      </w:r>
      <w:r w:rsidR="00256B2F">
        <w:rPr>
          <w:rStyle w:val="Appelnotedebasdep"/>
          <w:rFonts w:cs="Calibri"/>
          <w:sz w:val="24"/>
          <w:szCs w:val="24"/>
        </w:rPr>
        <w:footnoteReference w:id="6"/>
      </w:r>
      <w:r w:rsidRPr="0091269F">
        <w:rPr>
          <w:rFonts w:cs="Calibri"/>
          <w:sz w:val="24"/>
          <w:szCs w:val="24"/>
        </w:rPr>
        <w:t>.</w:t>
      </w:r>
      <w:r w:rsidR="00256B2F">
        <w:rPr>
          <w:rFonts w:cs="Calibri"/>
          <w:sz w:val="24"/>
          <w:szCs w:val="24"/>
        </w:rPr>
        <w:t xml:space="preserve"> </w:t>
      </w:r>
    </w:p>
    <w:p w14:paraId="772CB9CE" w14:textId="77777777" w:rsidR="00352626" w:rsidRPr="0091269F" w:rsidRDefault="00AA550E" w:rsidP="00352626">
      <w:pPr>
        <w:pStyle w:val="Paragraphedeliste"/>
        <w:numPr>
          <w:ilvl w:val="0"/>
          <w:numId w:val="6"/>
        </w:numPr>
        <w:autoSpaceDE w:val="0"/>
        <w:autoSpaceDN w:val="0"/>
        <w:adjustRightInd w:val="0"/>
        <w:spacing w:after="60" w:line="264" w:lineRule="auto"/>
        <w:ind w:left="425" w:hanging="425"/>
        <w:contextualSpacing w:val="0"/>
        <w:jc w:val="both"/>
        <w:rPr>
          <w:rFonts w:cs="Calibri"/>
          <w:sz w:val="24"/>
          <w:szCs w:val="24"/>
        </w:rPr>
      </w:pPr>
      <w:r w:rsidRPr="0091269F">
        <w:rPr>
          <w:rFonts w:cs="Calibri"/>
          <w:sz w:val="24"/>
          <w:szCs w:val="24"/>
        </w:rPr>
        <w:t>Présenter la preuve en format PDF. Il est possible de déposer des documents en format Word ou PowerPoint</w:t>
      </w:r>
      <w:r>
        <w:rPr>
          <w:rStyle w:val="Appelnotedebasdep"/>
          <w:rFonts w:cs="Calibri"/>
          <w:sz w:val="24"/>
          <w:szCs w:val="24"/>
        </w:rPr>
        <w:footnoteReference w:id="7"/>
      </w:r>
      <w:r w:rsidRPr="0091269F">
        <w:rPr>
          <w:rFonts w:cs="Calibri"/>
          <w:sz w:val="24"/>
          <w:szCs w:val="24"/>
        </w:rPr>
        <w:t>. Seule la version en format PDF sera rendue publique sur le site Internet de la Régie.</w:t>
      </w:r>
    </w:p>
    <w:p w14:paraId="09E11D7C" w14:textId="5D8B5EEF" w:rsidR="00352626" w:rsidRPr="0091269F" w:rsidRDefault="00AA550E" w:rsidP="00352626">
      <w:pPr>
        <w:pStyle w:val="Paragraphedeliste"/>
        <w:numPr>
          <w:ilvl w:val="0"/>
          <w:numId w:val="6"/>
        </w:numPr>
        <w:autoSpaceDE w:val="0"/>
        <w:autoSpaceDN w:val="0"/>
        <w:adjustRightInd w:val="0"/>
        <w:spacing w:after="60" w:line="264" w:lineRule="auto"/>
        <w:ind w:left="425" w:hanging="425"/>
        <w:contextualSpacing w:val="0"/>
        <w:jc w:val="both"/>
        <w:rPr>
          <w:rFonts w:cs="Calibri"/>
          <w:sz w:val="24"/>
          <w:szCs w:val="24"/>
        </w:rPr>
      </w:pPr>
      <w:r w:rsidRPr="0091269F">
        <w:rPr>
          <w:rFonts w:cs="Calibri"/>
          <w:sz w:val="24"/>
          <w:szCs w:val="24"/>
        </w:rPr>
        <w:t>Fournir également une version en format Excel</w:t>
      </w:r>
      <w:r w:rsidR="005250C8">
        <w:rPr>
          <w:rStyle w:val="Appelnotedebasdep"/>
          <w:rFonts w:cs="Calibri"/>
          <w:sz w:val="24"/>
          <w:szCs w:val="24"/>
        </w:rPr>
        <w:t>5</w:t>
      </w:r>
      <w:r w:rsidR="005250C8" w:rsidRPr="0091269F">
        <w:rPr>
          <w:rFonts w:cs="Calibri"/>
          <w:sz w:val="24"/>
          <w:szCs w:val="24"/>
        </w:rPr>
        <w:t xml:space="preserve">, </w:t>
      </w:r>
      <w:r w:rsidRPr="0091269F">
        <w:rPr>
          <w:rFonts w:cs="Calibri"/>
          <w:sz w:val="24"/>
          <w:szCs w:val="24"/>
        </w:rPr>
        <w:t>incluant les formules, de tous les tableaux. Les fichiers Excel ne seront pas rendus publiques sur le site internet de la Régie. Ils le seront toutefois sur le SDÉ, sauf indication contraire de Gazifère.</w:t>
      </w:r>
    </w:p>
    <w:p w14:paraId="1C34C516" w14:textId="77777777" w:rsidR="00352626" w:rsidRDefault="00AA550E" w:rsidP="00352626">
      <w:pPr>
        <w:pStyle w:val="Paragraphedeliste"/>
        <w:numPr>
          <w:ilvl w:val="0"/>
          <w:numId w:val="6"/>
        </w:numPr>
        <w:autoSpaceDE w:val="0"/>
        <w:autoSpaceDN w:val="0"/>
        <w:adjustRightInd w:val="0"/>
        <w:spacing w:after="60" w:line="264" w:lineRule="auto"/>
        <w:ind w:left="425" w:hanging="425"/>
        <w:contextualSpacing w:val="0"/>
        <w:jc w:val="both"/>
        <w:rPr>
          <w:rFonts w:cs="Calibri"/>
          <w:sz w:val="24"/>
          <w:szCs w:val="24"/>
        </w:rPr>
      </w:pPr>
      <w:r w:rsidRPr="0091269F">
        <w:rPr>
          <w:rFonts w:cs="Calibri"/>
          <w:sz w:val="24"/>
          <w:szCs w:val="24"/>
        </w:rPr>
        <w:t>Le regroupement de la preuve par thème dans un même fichier (PDF ou Excel) est préférable afin de faciliter le dépôt et la consultation des pièces.</w:t>
      </w:r>
    </w:p>
    <w:p w14:paraId="2F79A8D2" w14:textId="77777777" w:rsidR="00352626" w:rsidRDefault="00352626" w:rsidP="00352626">
      <w:pPr>
        <w:autoSpaceDE w:val="0"/>
        <w:autoSpaceDN w:val="0"/>
        <w:adjustRightInd w:val="0"/>
        <w:rPr>
          <w:rFonts w:cs="Calibri"/>
          <w:szCs w:val="24"/>
        </w:rPr>
      </w:pPr>
    </w:p>
    <w:p w14:paraId="0F511C23" w14:textId="1C8CB1FD" w:rsidR="00B12376" w:rsidRPr="0024568D" w:rsidRDefault="00AA550E" w:rsidP="00352626">
      <w:pPr>
        <w:pStyle w:val="Titre2"/>
        <w:tabs>
          <w:tab w:val="clear" w:pos="709"/>
          <w:tab w:val="num" w:pos="851"/>
        </w:tabs>
        <w:ind w:left="851" w:hanging="851"/>
        <w:rPr>
          <w:rFonts w:cs="Calibri"/>
        </w:rPr>
      </w:pPr>
      <w:bookmarkStart w:id="16" w:name="_Toc124329916"/>
      <w:r w:rsidRPr="009C797D">
        <w:rPr>
          <w:rFonts w:cs="Calibri"/>
        </w:rPr>
        <w:t>Dépôt de la demande</w:t>
      </w:r>
      <w:bookmarkEnd w:id="16"/>
    </w:p>
    <w:p w14:paraId="35B12E9A" w14:textId="77777777" w:rsidR="00105080" w:rsidRPr="009C797D" w:rsidRDefault="00105080" w:rsidP="00352626">
      <w:pPr>
        <w:pStyle w:val="Paragraphedeliste"/>
        <w:spacing w:after="60" w:line="264" w:lineRule="auto"/>
        <w:ind w:left="0"/>
        <w:contextualSpacing w:val="0"/>
        <w:jc w:val="both"/>
        <w:rPr>
          <w:rFonts w:cs="Calibri"/>
          <w:sz w:val="26"/>
          <w:szCs w:val="26"/>
        </w:rPr>
      </w:pPr>
    </w:p>
    <w:p w14:paraId="69559326" w14:textId="71D070FB" w:rsidR="00B12376" w:rsidRPr="009C797D" w:rsidRDefault="00AA550E" w:rsidP="00352626">
      <w:pPr>
        <w:rPr>
          <w:rFonts w:cs="Calibri"/>
        </w:rPr>
      </w:pPr>
      <w:r w:rsidRPr="009C797D">
        <w:rPr>
          <w:rFonts w:cs="Calibri"/>
        </w:rPr>
        <w:t xml:space="preserve">Conformément à l’article 10 du </w:t>
      </w:r>
      <w:r w:rsidR="007F143E" w:rsidRPr="005A1244">
        <w:rPr>
          <w:rFonts w:cs="Calibri"/>
          <w:i/>
          <w:iCs/>
        </w:rPr>
        <w:t>Règlement sur la procédure</w:t>
      </w:r>
      <w:r w:rsidRPr="009C797D">
        <w:rPr>
          <w:rFonts w:cs="Calibri"/>
        </w:rPr>
        <w:t>, toute demande doit être formulée par écrit. Cette demande doit contenir les informations suivantes et respecter les indications ci-après :</w:t>
      </w:r>
    </w:p>
    <w:p w14:paraId="12FB0468" w14:textId="77777777" w:rsidR="00B12376" w:rsidRPr="009C797D" w:rsidRDefault="00AA550E" w:rsidP="00352626">
      <w:pPr>
        <w:numPr>
          <w:ilvl w:val="0"/>
          <w:numId w:val="4"/>
        </w:numPr>
        <w:ind w:left="426" w:hanging="426"/>
        <w:rPr>
          <w:rFonts w:cs="Calibri"/>
        </w:rPr>
      </w:pPr>
      <w:r w:rsidRPr="009C797D">
        <w:rPr>
          <w:rFonts w:cs="Calibri"/>
        </w:rPr>
        <w:t>Le nom, l’adresse, le numéro de téléphone et l’adresse électronique du demandeur et, s’il y a lieu, les coordonnées de son représentant;</w:t>
      </w:r>
    </w:p>
    <w:p w14:paraId="42E4B6F7" w14:textId="77777777" w:rsidR="00B12376" w:rsidRPr="009C797D" w:rsidRDefault="00AA550E" w:rsidP="00352626">
      <w:pPr>
        <w:numPr>
          <w:ilvl w:val="0"/>
          <w:numId w:val="4"/>
        </w:numPr>
        <w:ind w:left="426" w:hanging="426"/>
        <w:rPr>
          <w:rFonts w:cs="Calibri"/>
        </w:rPr>
      </w:pPr>
      <w:r w:rsidRPr="009C797D">
        <w:rPr>
          <w:rFonts w:cs="Calibri"/>
        </w:rPr>
        <w:t>Un exposé clair et succinct des faits, de l’objet et des motifs de la demande ainsi que des conclusions recherchées;</w:t>
      </w:r>
    </w:p>
    <w:p w14:paraId="5B4BE983" w14:textId="77777777" w:rsidR="00B12376" w:rsidRPr="009C797D" w:rsidRDefault="00AA550E" w:rsidP="00352626">
      <w:pPr>
        <w:numPr>
          <w:ilvl w:val="0"/>
          <w:numId w:val="4"/>
        </w:numPr>
        <w:ind w:left="426" w:hanging="426"/>
        <w:rPr>
          <w:rFonts w:cs="Calibri"/>
        </w:rPr>
      </w:pPr>
      <w:r w:rsidRPr="009C797D">
        <w:rPr>
          <w:rFonts w:cs="Calibri"/>
        </w:rPr>
        <w:t>Être signée par le demandeur ou son représentant;</w:t>
      </w:r>
    </w:p>
    <w:p w14:paraId="0A4A20E2" w14:textId="77777777" w:rsidR="00B12376" w:rsidRPr="009C797D" w:rsidRDefault="00AA550E" w:rsidP="00352626">
      <w:pPr>
        <w:numPr>
          <w:ilvl w:val="0"/>
          <w:numId w:val="4"/>
        </w:numPr>
        <w:ind w:left="426" w:hanging="426"/>
        <w:rPr>
          <w:rFonts w:cs="Calibri"/>
        </w:rPr>
      </w:pPr>
      <w:r w:rsidRPr="009C797D">
        <w:rPr>
          <w:rFonts w:cs="Calibri"/>
        </w:rPr>
        <w:t>Inclure tous les documents au soutien de la demande et en fournir la liste;</w:t>
      </w:r>
    </w:p>
    <w:p w14:paraId="3F577578" w14:textId="77777777" w:rsidR="00330F39" w:rsidRPr="00754D21" w:rsidRDefault="00AA550E" w:rsidP="00352626">
      <w:pPr>
        <w:pStyle w:val="Paragraphedeliste"/>
        <w:numPr>
          <w:ilvl w:val="0"/>
          <w:numId w:val="4"/>
        </w:numPr>
        <w:autoSpaceDE w:val="0"/>
        <w:autoSpaceDN w:val="0"/>
        <w:adjustRightInd w:val="0"/>
        <w:spacing w:before="200" w:after="0" w:line="264" w:lineRule="auto"/>
        <w:jc w:val="both"/>
        <w:rPr>
          <w:rFonts w:cs="Calibri"/>
          <w:sz w:val="24"/>
          <w:szCs w:val="24"/>
        </w:rPr>
      </w:pPr>
      <w:r>
        <w:rPr>
          <w:rFonts w:cs="Calibri"/>
          <w:sz w:val="24"/>
          <w:szCs w:val="24"/>
        </w:rPr>
        <w:t>S’assurer que tous les documents déposés sont paginés selon une numérotation unique et numérique qui correspond aux numéros de page de chacun des documents PDF;</w:t>
      </w:r>
    </w:p>
    <w:p w14:paraId="58DC2CDB" w14:textId="77777777" w:rsidR="00B12376" w:rsidRPr="009C797D" w:rsidRDefault="00AA550E" w:rsidP="00352626">
      <w:pPr>
        <w:numPr>
          <w:ilvl w:val="0"/>
          <w:numId w:val="4"/>
        </w:numPr>
        <w:ind w:left="426" w:hanging="426"/>
        <w:rPr>
          <w:rFonts w:cs="Calibri"/>
        </w:rPr>
      </w:pPr>
      <w:r w:rsidRPr="009C797D">
        <w:rPr>
          <w:rFonts w:cs="Calibri"/>
        </w:rPr>
        <w:t>Être appuyée d’une ou de plusieurs déclarations sous serment établissant tous les faits nécessaires au soutien de la demande;</w:t>
      </w:r>
    </w:p>
    <w:p w14:paraId="11B1B497" w14:textId="1CA71661" w:rsidR="00B12376" w:rsidRPr="009C797D" w:rsidRDefault="00AA550E" w:rsidP="00352626">
      <w:pPr>
        <w:numPr>
          <w:ilvl w:val="0"/>
          <w:numId w:val="4"/>
        </w:numPr>
        <w:ind w:left="426" w:hanging="426"/>
        <w:rPr>
          <w:rFonts w:cs="Calibri"/>
        </w:rPr>
      </w:pPr>
      <w:r w:rsidRPr="009C797D">
        <w:rPr>
          <w:rFonts w:cs="Calibri"/>
        </w:rPr>
        <w:t>Être accompagnée des droits afférents applicables, s’il y a lieu;</w:t>
      </w:r>
    </w:p>
    <w:p w14:paraId="6969AEF7" w14:textId="77777777" w:rsidR="00B12376" w:rsidRPr="009C797D" w:rsidRDefault="00AA550E" w:rsidP="00352626">
      <w:pPr>
        <w:numPr>
          <w:ilvl w:val="0"/>
          <w:numId w:val="4"/>
        </w:numPr>
        <w:ind w:left="426" w:hanging="426"/>
        <w:rPr>
          <w:rFonts w:cs="Calibri"/>
        </w:rPr>
      </w:pPr>
      <w:r w:rsidRPr="009C797D">
        <w:rPr>
          <w:rFonts w:cs="Calibri"/>
        </w:rPr>
        <w:lastRenderedPageBreak/>
        <w:t>Inclure tous les autres renseigneme</w:t>
      </w:r>
      <w:r w:rsidR="00A758C8">
        <w:rPr>
          <w:rFonts w:cs="Calibri"/>
        </w:rPr>
        <w:t>nts que peut requérir la Régie.</w:t>
      </w:r>
    </w:p>
    <w:p w14:paraId="166A16B8" w14:textId="77777777" w:rsidR="005C4C48" w:rsidRPr="009C797D" w:rsidRDefault="005C4C48" w:rsidP="00352626">
      <w:pPr>
        <w:rPr>
          <w:rFonts w:cs="Calibri"/>
        </w:rPr>
      </w:pPr>
    </w:p>
    <w:p w14:paraId="7EF65447" w14:textId="75E6A722" w:rsidR="00B12376" w:rsidRPr="009C797D" w:rsidRDefault="00AA550E" w:rsidP="00352626">
      <w:pPr>
        <w:rPr>
          <w:rFonts w:cs="Calibri"/>
        </w:rPr>
      </w:pPr>
      <w:r>
        <w:t xml:space="preserve">Les lettres, demandes et pièces doivent être déposées au Système de dépôt électronique (SDÉ) de la Régie, conformément aux instructions contenues dans le </w:t>
      </w:r>
      <w:hyperlink r:id="rId29" w:anchor="search=guide%20de%20l%27utilisateur" w:tooltip="Guide de l'utilisateut externe" w:history="1">
        <w:r>
          <w:rPr>
            <w:rStyle w:val="Lienhypertexte"/>
          </w:rPr>
          <w:t>Guide de l'utilisateur externe</w:t>
        </w:r>
      </w:hyperlink>
      <w:r>
        <w:rPr>
          <w:color w:val="000000"/>
        </w:rPr>
        <w:t xml:space="preserve">.  </w:t>
      </w:r>
      <w:r>
        <w:t xml:space="preserve">Lors d’une première demande, de l’information sur le SDÉ et son fonctionnement peuvent être obtenues au </w:t>
      </w:r>
      <w:hyperlink r:id="rId30" w:history="1">
        <w:r w:rsidRPr="009C797D">
          <w:rPr>
            <w:rStyle w:val="Lienhypertexte"/>
            <w:rFonts w:cs="Calibri"/>
          </w:rPr>
          <w:t>Greffe@regie-energie.qc.ca</w:t>
        </w:r>
      </w:hyperlink>
      <w:r w:rsidRPr="009C797D">
        <w:rPr>
          <w:rFonts w:cs="Calibri"/>
        </w:rPr>
        <w:t>.</w:t>
      </w:r>
    </w:p>
    <w:p w14:paraId="4B0C13EA" w14:textId="77777777" w:rsidR="005C4C48" w:rsidRPr="009C797D" w:rsidRDefault="005C4C48" w:rsidP="00352626">
      <w:pPr>
        <w:rPr>
          <w:rFonts w:cs="Calibri"/>
        </w:rPr>
      </w:pPr>
    </w:p>
    <w:p w14:paraId="43A36832" w14:textId="121823FE" w:rsidR="00B12376" w:rsidRPr="00ED060F" w:rsidRDefault="00AA550E" w:rsidP="00ED060F">
      <w:pPr>
        <w:rPr>
          <w:rFonts w:cs="Calibri"/>
        </w:rPr>
      </w:pPr>
      <w:r>
        <w:t xml:space="preserve">Si Gazifère entend requérir le traitement confidentiel d’un document particulier, la version confidentielle du document doit être déposée au SDÉ dans le répertoire R-9999-9999 et la version caviardée déposée selon les prescriptions du </w:t>
      </w:r>
      <w:hyperlink r:id="rId31" w:anchor="search=guide%20de%20l%27utilisateur" w:tooltip="Guide de l'utilisateut externe" w:history="1">
        <w:r>
          <w:rPr>
            <w:rStyle w:val="Lienhypertexte"/>
          </w:rPr>
          <w:t>Guide de l'utilisateur externe</w:t>
        </w:r>
      </w:hyperlink>
      <w:r>
        <w:t>. Ces dépôts doivent être accompagnés du dépôt d’une demande d’ordonnance de traitement confidentiel et d’une déclaration assermentée au SDÉ en vertu de l’article 30 de la Loi et des articles 33 à 35 du Règlement en indiquant clairement les motifs au soutien de sa demande, y compris le préjudice qu’entraînerait la publication du document. La durée du traitement confidentiel demandé doit également être précisée.</w:t>
      </w:r>
    </w:p>
    <w:p w14:paraId="6EE10C85" w14:textId="77777777" w:rsidR="00B12376" w:rsidRPr="009C797D" w:rsidRDefault="00B12376" w:rsidP="00352626">
      <w:pPr>
        <w:pStyle w:val="Paragraphedeliste"/>
        <w:spacing w:after="60" w:line="264" w:lineRule="auto"/>
        <w:ind w:left="0"/>
        <w:contextualSpacing w:val="0"/>
        <w:jc w:val="both"/>
        <w:rPr>
          <w:rFonts w:cs="Calibri"/>
          <w:sz w:val="26"/>
          <w:szCs w:val="26"/>
        </w:rPr>
      </w:pPr>
    </w:p>
    <w:p w14:paraId="4AAA39A9" w14:textId="76D8CC22" w:rsidR="007B195E" w:rsidRPr="009C797D" w:rsidRDefault="00AA550E" w:rsidP="00352626">
      <w:pPr>
        <w:rPr>
          <w:rFonts w:cs="Calibri"/>
        </w:rPr>
      </w:pPr>
      <w:r w:rsidRPr="009C797D">
        <w:rPr>
          <w:rFonts w:cs="Calibri"/>
        </w:rPr>
        <w:t>À des fins de planification, Gazifère doit tenir compte des délais réglementaires en vue d’obtenir une décision de la Régie à une date donnée. Ces délais permettront au demandeur de calculer à rebours la date la plus tardive pour le dépôt de sa demande.</w:t>
      </w:r>
      <w:r w:rsidR="001A20CC" w:rsidRPr="009C797D">
        <w:rPr>
          <w:rFonts w:cs="Calibri"/>
        </w:rPr>
        <w:t xml:space="preserve"> Les délais e</w:t>
      </w:r>
      <w:r w:rsidR="00A6508F" w:rsidRPr="009C797D">
        <w:rPr>
          <w:rFonts w:cs="Calibri"/>
        </w:rPr>
        <w:t xml:space="preserve">xigés </w:t>
      </w:r>
      <w:r w:rsidR="00F058A5">
        <w:rPr>
          <w:rFonts w:cs="Calibri"/>
        </w:rPr>
        <w:t>par type de</w:t>
      </w:r>
      <w:r w:rsidR="001A20CC" w:rsidRPr="009C797D">
        <w:rPr>
          <w:rFonts w:cs="Calibri"/>
        </w:rPr>
        <w:t xml:space="preserve"> dossier réglementaire sont indiqués à la section </w:t>
      </w:r>
      <w:r w:rsidR="00A82B79">
        <w:rPr>
          <w:rFonts w:cs="Calibri"/>
        </w:rPr>
        <w:t>2.5</w:t>
      </w:r>
      <w:r w:rsidR="00981EAC">
        <w:rPr>
          <w:rFonts w:cs="Calibri"/>
        </w:rPr>
        <w:t>.</w:t>
      </w:r>
      <w:r w:rsidR="001A20CC" w:rsidRPr="009C797D">
        <w:rPr>
          <w:rFonts w:cs="Calibri"/>
        </w:rPr>
        <w:t xml:space="preserve"> </w:t>
      </w:r>
    </w:p>
    <w:p w14:paraId="7F72DF3C" w14:textId="77777777" w:rsidR="001E2D82" w:rsidRDefault="001E2D82" w:rsidP="00352626">
      <w:pPr>
        <w:rPr>
          <w:rFonts w:cs="Calibri"/>
          <w:b/>
          <w:bCs/>
          <w:smallCaps/>
        </w:rPr>
      </w:pPr>
    </w:p>
    <w:p w14:paraId="1F491FD4" w14:textId="77777777" w:rsidR="00352626" w:rsidRPr="00352626" w:rsidRDefault="00AA550E" w:rsidP="00352626">
      <w:pPr>
        <w:pStyle w:val="Titre2"/>
        <w:tabs>
          <w:tab w:val="clear" w:pos="709"/>
          <w:tab w:val="num" w:pos="851"/>
        </w:tabs>
        <w:ind w:left="851" w:hanging="851"/>
        <w:rPr>
          <w:rFonts w:cs="Calibri"/>
        </w:rPr>
      </w:pPr>
      <w:bookmarkStart w:id="17" w:name="_Toc124329917"/>
      <w:r w:rsidRPr="00352626">
        <w:rPr>
          <w:rFonts w:cs="Calibri"/>
        </w:rPr>
        <w:t>Dépôt de pièces amendées</w:t>
      </w:r>
      <w:bookmarkEnd w:id="17"/>
    </w:p>
    <w:p w14:paraId="5356C77B" w14:textId="11CC7311" w:rsidR="00352626" w:rsidRPr="009B281A" w:rsidRDefault="00AA550E" w:rsidP="00352626">
      <w:pPr>
        <w:autoSpaceDE w:val="0"/>
        <w:autoSpaceDN w:val="0"/>
        <w:adjustRightInd w:val="0"/>
        <w:spacing w:before="200" w:after="0"/>
        <w:rPr>
          <w:rFonts w:cs="Calibri"/>
          <w:szCs w:val="24"/>
        </w:rPr>
      </w:pPr>
      <w:r w:rsidRPr="007928D3">
        <w:rPr>
          <w:rFonts w:cs="Calibri"/>
          <w:szCs w:val="24"/>
        </w:rPr>
        <w:t xml:space="preserve">Dans ce cas, </w:t>
      </w:r>
      <w:r>
        <w:rPr>
          <w:rFonts w:cs="Calibri"/>
          <w:szCs w:val="24"/>
        </w:rPr>
        <w:t>Gazifè</w:t>
      </w:r>
      <w:r w:rsidRPr="007928D3">
        <w:rPr>
          <w:rFonts w:cs="Calibri"/>
          <w:szCs w:val="24"/>
        </w:rPr>
        <w:t>r</w:t>
      </w:r>
      <w:r>
        <w:rPr>
          <w:rFonts w:cs="Calibri"/>
          <w:szCs w:val="24"/>
        </w:rPr>
        <w:t>e</w:t>
      </w:r>
      <w:r w:rsidRPr="007928D3">
        <w:rPr>
          <w:rFonts w:cs="Calibri"/>
          <w:szCs w:val="24"/>
        </w:rPr>
        <w:t xml:space="preserve"> doit clairement identifier les modifications apportées à la preuve originale et dater cette modification, au bas du document amendé.</w:t>
      </w:r>
      <w:r w:rsidR="008B7121">
        <w:rPr>
          <w:rFonts w:cs="Calibri"/>
          <w:szCs w:val="24"/>
        </w:rPr>
        <w:t xml:space="preserve"> </w:t>
      </w:r>
      <w:r>
        <w:rPr>
          <w:rFonts w:cs="Calibri"/>
          <w:szCs w:val="24"/>
        </w:rPr>
        <w:t>De même, i</w:t>
      </w:r>
      <w:r w:rsidRPr="007928D3">
        <w:rPr>
          <w:rFonts w:cs="Calibri"/>
          <w:szCs w:val="24"/>
        </w:rPr>
        <w:t xml:space="preserve">l est suggéré que les ajouts aux </w:t>
      </w:r>
      <w:r w:rsidRPr="00CA5F8C">
        <w:rPr>
          <w:rFonts w:cs="Calibri"/>
          <w:iCs/>
          <w:szCs w:val="24"/>
        </w:rPr>
        <w:t>CST</w:t>
      </w:r>
      <w:r w:rsidRPr="00D90032">
        <w:rPr>
          <w:rFonts w:cs="Calibri"/>
          <w:szCs w:val="24"/>
        </w:rPr>
        <w:t xml:space="preserve"> soient </w:t>
      </w:r>
      <w:r w:rsidRPr="000E380F">
        <w:rPr>
          <w:rFonts w:cs="Calibri"/>
          <w:szCs w:val="24"/>
        </w:rPr>
        <w:t>soulignés</w:t>
      </w:r>
      <w:r w:rsidRPr="00D90032">
        <w:rPr>
          <w:rFonts w:cs="Calibri"/>
          <w:szCs w:val="24"/>
        </w:rPr>
        <w:t xml:space="preserve"> en bleu et que les retraits soient </w:t>
      </w:r>
      <w:r w:rsidRPr="000E380F">
        <w:rPr>
          <w:rFonts w:cs="Calibri"/>
          <w:szCs w:val="24"/>
        </w:rPr>
        <w:t>barrés</w:t>
      </w:r>
      <w:r w:rsidRPr="00D90032">
        <w:rPr>
          <w:rFonts w:cs="Calibri"/>
          <w:szCs w:val="24"/>
        </w:rPr>
        <w:t xml:space="preserve"> en rouge, pour des fins de lisibilité. </w:t>
      </w:r>
    </w:p>
    <w:p w14:paraId="432F8DC1" w14:textId="77777777" w:rsidR="00352626" w:rsidRPr="007928D3" w:rsidRDefault="00AA550E" w:rsidP="00352626">
      <w:pPr>
        <w:autoSpaceDE w:val="0"/>
        <w:autoSpaceDN w:val="0"/>
        <w:adjustRightInd w:val="0"/>
        <w:spacing w:before="200" w:after="0"/>
        <w:rPr>
          <w:rFonts w:cs="Calibri"/>
          <w:szCs w:val="24"/>
        </w:rPr>
      </w:pPr>
      <w:r w:rsidRPr="00CB598C">
        <w:rPr>
          <w:rFonts w:cs="Calibri"/>
          <w:szCs w:val="24"/>
        </w:rPr>
        <w:t xml:space="preserve">En cas </w:t>
      </w:r>
      <w:r w:rsidRPr="002976DD">
        <w:rPr>
          <w:rFonts w:cs="Calibri"/>
          <w:szCs w:val="24"/>
        </w:rPr>
        <w:t xml:space="preserve">de modifications multiples à un même document, </w:t>
      </w:r>
      <w:r>
        <w:rPr>
          <w:rFonts w:cs="Calibri"/>
          <w:szCs w:val="24"/>
        </w:rPr>
        <w:t>Gazifère</w:t>
      </w:r>
      <w:r w:rsidRPr="002976DD">
        <w:rPr>
          <w:rFonts w:cs="Calibri"/>
          <w:szCs w:val="24"/>
        </w:rPr>
        <w:t xml:space="preserve"> joindra à la </w:t>
      </w:r>
      <w:r w:rsidRPr="000E380F">
        <w:rPr>
          <w:rFonts w:cs="Calibri"/>
          <w:szCs w:val="24"/>
        </w:rPr>
        <w:t xml:space="preserve">lettre de dépôt au document faisant l’objet des modifications </w:t>
      </w:r>
      <w:r w:rsidRPr="00D90032">
        <w:rPr>
          <w:rFonts w:cs="Calibri"/>
          <w:szCs w:val="24"/>
        </w:rPr>
        <w:t xml:space="preserve">une liste des </w:t>
      </w:r>
      <w:r w:rsidRPr="000E380F">
        <w:rPr>
          <w:rFonts w:cs="Calibri"/>
          <w:szCs w:val="24"/>
        </w:rPr>
        <w:t>pages amendées de ce document</w:t>
      </w:r>
      <w:r w:rsidRPr="00D90032">
        <w:rPr>
          <w:rFonts w:cs="Calibri"/>
          <w:szCs w:val="24"/>
        </w:rPr>
        <w:t>.</w:t>
      </w:r>
      <w:r w:rsidRPr="007928D3">
        <w:rPr>
          <w:rFonts w:cs="Calibri"/>
          <w:szCs w:val="24"/>
        </w:rPr>
        <w:t xml:space="preserve"> </w:t>
      </w:r>
    </w:p>
    <w:p w14:paraId="125DF750" w14:textId="77777777" w:rsidR="00352626" w:rsidRDefault="00352626" w:rsidP="00352626">
      <w:pPr>
        <w:jc w:val="left"/>
        <w:rPr>
          <w:rFonts w:cs="Calibri"/>
          <w:b/>
          <w:bCs/>
          <w:smallCaps/>
        </w:rPr>
      </w:pPr>
    </w:p>
    <w:p w14:paraId="74EAEEA4" w14:textId="42E92193" w:rsidR="00E8701C" w:rsidRDefault="00E8701C" w:rsidP="00352626">
      <w:pPr>
        <w:pStyle w:val="Titre3"/>
        <w:numPr>
          <w:ilvl w:val="0"/>
          <w:numId w:val="0"/>
        </w:numPr>
        <w:ind w:left="992" w:hanging="992"/>
        <w:rPr>
          <w:rFonts w:cs="Calibri"/>
          <w:smallCaps/>
          <w:sz w:val="24"/>
        </w:rPr>
      </w:pPr>
    </w:p>
    <w:p w14:paraId="73D1EE81" w14:textId="77777777" w:rsidR="00E30F94" w:rsidRPr="009C797D" w:rsidRDefault="00AA550E" w:rsidP="00352626">
      <w:pPr>
        <w:pStyle w:val="Titre2"/>
        <w:tabs>
          <w:tab w:val="clear" w:pos="709"/>
          <w:tab w:val="num" w:pos="851"/>
        </w:tabs>
        <w:ind w:left="851" w:hanging="851"/>
        <w:rPr>
          <w:rFonts w:cs="Calibri"/>
        </w:rPr>
      </w:pPr>
      <w:bookmarkStart w:id="18" w:name="_Toc124329918"/>
      <w:r w:rsidRPr="009C797D">
        <w:rPr>
          <w:rFonts w:cs="Calibri"/>
        </w:rPr>
        <w:t>Demandes de renseignements et réponses</w:t>
      </w:r>
      <w:bookmarkEnd w:id="18"/>
    </w:p>
    <w:p w14:paraId="57B7BE7A" w14:textId="77777777" w:rsidR="00D855AD" w:rsidRPr="009C797D" w:rsidRDefault="00D855AD" w:rsidP="00352626">
      <w:pPr>
        <w:rPr>
          <w:rFonts w:cs="Calibri"/>
        </w:rPr>
      </w:pPr>
    </w:p>
    <w:p w14:paraId="3F1332A6" w14:textId="77777777" w:rsidR="00D855AD" w:rsidRPr="009C797D" w:rsidRDefault="00AA550E" w:rsidP="00352626">
      <w:pPr>
        <w:rPr>
          <w:rFonts w:cs="Calibri"/>
        </w:rPr>
      </w:pPr>
      <w:r w:rsidRPr="009C797D">
        <w:rPr>
          <w:rFonts w:cs="Calibri"/>
        </w:rPr>
        <w:t xml:space="preserve">À moins d’indication contraire, toute demande de renseignements ainsi que les réponses à celles-ci doivent être rédigées suivant le modèle prévu à </w:t>
      </w:r>
      <w:r w:rsidRPr="00E937CA">
        <w:rPr>
          <w:rFonts w:cs="Calibri"/>
          <w:iCs/>
        </w:rPr>
        <w:t>l’Annexe</w:t>
      </w:r>
      <w:r w:rsidR="00A758C8" w:rsidRPr="00E937CA">
        <w:rPr>
          <w:rFonts w:cs="Calibri"/>
          <w:iCs/>
        </w:rPr>
        <w:t xml:space="preserve"> </w:t>
      </w:r>
      <w:r w:rsidRPr="00E937CA">
        <w:rPr>
          <w:rFonts w:cs="Calibri"/>
          <w:iCs/>
        </w:rPr>
        <w:t>A</w:t>
      </w:r>
      <w:r w:rsidRPr="009C797D">
        <w:rPr>
          <w:rFonts w:cs="Calibri"/>
        </w:rPr>
        <w:t xml:space="preserve"> du Guide.</w:t>
      </w:r>
    </w:p>
    <w:p w14:paraId="5E8AEC76" w14:textId="77777777" w:rsidR="00D855AD" w:rsidRPr="009C797D" w:rsidRDefault="00D855AD" w:rsidP="00352626">
      <w:pPr>
        <w:rPr>
          <w:rFonts w:cs="Calibri"/>
        </w:rPr>
      </w:pPr>
    </w:p>
    <w:p w14:paraId="65B65ED4" w14:textId="1D8CB03F" w:rsidR="00D855AD" w:rsidRPr="009C797D" w:rsidRDefault="00AA550E" w:rsidP="00352626">
      <w:pPr>
        <w:rPr>
          <w:rFonts w:cs="Calibri"/>
        </w:rPr>
      </w:pPr>
      <w:r w:rsidRPr="009C797D">
        <w:rPr>
          <w:rFonts w:cs="Calibri"/>
        </w:rPr>
        <w:lastRenderedPageBreak/>
        <w:t>La pertinence des renseignements demandés est une question d’administration de la preuve qui relève du pouvoir décisionnel de la Régie. Les demandes de renseignements et les réponses données visent à assurer un traitement efficace du dossier et à éviter des débats à cet égard.</w:t>
      </w:r>
      <w:r w:rsidR="00ED060F">
        <w:rPr>
          <w:rFonts w:cs="Calibri"/>
        </w:rPr>
        <w:t xml:space="preserve"> </w:t>
      </w:r>
      <w:r w:rsidRPr="009C797D">
        <w:rPr>
          <w:rFonts w:cs="Calibri"/>
        </w:rPr>
        <w:t>Ainsi</w:t>
      </w:r>
      <w:r w:rsidR="00B246F1">
        <w:rPr>
          <w:rFonts w:cs="Calibri"/>
        </w:rPr>
        <w:t> </w:t>
      </w:r>
      <w:r w:rsidRPr="009C797D">
        <w:rPr>
          <w:rFonts w:cs="Calibri"/>
        </w:rPr>
        <w:t>:</w:t>
      </w:r>
    </w:p>
    <w:p w14:paraId="2060D5DE" w14:textId="77777777" w:rsidR="00D855AD" w:rsidRPr="009C797D" w:rsidRDefault="00AA550E" w:rsidP="00352626">
      <w:pPr>
        <w:numPr>
          <w:ilvl w:val="0"/>
          <w:numId w:val="5"/>
        </w:numPr>
        <w:tabs>
          <w:tab w:val="clear" w:pos="720"/>
          <w:tab w:val="num" w:pos="426"/>
        </w:tabs>
        <w:ind w:left="426" w:hanging="426"/>
        <w:rPr>
          <w:rFonts w:cs="Calibri"/>
        </w:rPr>
      </w:pPr>
      <w:r w:rsidRPr="009C797D">
        <w:rPr>
          <w:rFonts w:cs="Calibri"/>
        </w:rPr>
        <w:t>Les renseignements demandés doivent être directement reliés à la preuve ou à la documentation déposée et ne doivent pas déborder du cadre fixé par la Régie;</w:t>
      </w:r>
    </w:p>
    <w:p w14:paraId="3DF959E0" w14:textId="77777777" w:rsidR="00D855AD" w:rsidRPr="009C797D" w:rsidRDefault="00AA550E" w:rsidP="00352626">
      <w:pPr>
        <w:numPr>
          <w:ilvl w:val="0"/>
          <w:numId w:val="5"/>
        </w:numPr>
        <w:tabs>
          <w:tab w:val="clear" w:pos="720"/>
          <w:tab w:val="num" w:pos="426"/>
        </w:tabs>
        <w:ind w:left="426" w:hanging="426"/>
        <w:rPr>
          <w:rFonts w:cs="Calibri"/>
        </w:rPr>
      </w:pPr>
      <w:r w:rsidRPr="009C797D">
        <w:rPr>
          <w:rFonts w:cs="Calibri"/>
        </w:rPr>
        <w:t>Les renseignements demandés doivent être nécessaires pour clarifier certains aspects vagues ou ambigus de la preuve ou documentation; et</w:t>
      </w:r>
    </w:p>
    <w:p w14:paraId="21F9B101" w14:textId="77777777" w:rsidR="00D855AD" w:rsidRPr="009C797D" w:rsidRDefault="00AA550E" w:rsidP="00352626">
      <w:pPr>
        <w:numPr>
          <w:ilvl w:val="0"/>
          <w:numId w:val="5"/>
        </w:numPr>
        <w:tabs>
          <w:tab w:val="clear" w:pos="720"/>
          <w:tab w:val="num" w:pos="426"/>
        </w:tabs>
        <w:ind w:left="426" w:hanging="426"/>
        <w:rPr>
          <w:rFonts w:cs="Calibri"/>
        </w:rPr>
      </w:pPr>
      <w:r w:rsidRPr="009C797D">
        <w:rPr>
          <w:rFonts w:cs="Calibri"/>
        </w:rPr>
        <w:t>Les questions doivent être regroupées par thèmes en limitant, dans la mesure d</w:t>
      </w:r>
      <w:r w:rsidR="00B246F1">
        <w:rPr>
          <w:rFonts w:cs="Calibri"/>
        </w:rPr>
        <w:t>u possible, les sous</w:t>
      </w:r>
      <w:r w:rsidR="00B246F1">
        <w:rPr>
          <w:rFonts w:cs="Calibri"/>
        </w:rPr>
        <w:noBreakHyphen/>
        <w:t>questions.</w:t>
      </w:r>
    </w:p>
    <w:p w14:paraId="030849E9" w14:textId="77777777" w:rsidR="00D855AD" w:rsidRPr="009C797D" w:rsidRDefault="00D855AD" w:rsidP="00352626">
      <w:pPr>
        <w:rPr>
          <w:rFonts w:cs="Calibri"/>
        </w:rPr>
      </w:pPr>
    </w:p>
    <w:p w14:paraId="70081B40" w14:textId="77777777" w:rsidR="00D855AD" w:rsidRPr="009C797D" w:rsidRDefault="00AA550E" w:rsidP="00352626">
      <w:pPr>
        <w:rPr>
          <w:rFonts w:cs="Calibri"/>
        </w:rPr>
      </w:pPr>
      <w:r w:rsidRPr="009C797D">
        <w:rPr>
          <w:rFonts w:cs="Calibri"/>
        </w:rPr>
        <w:t>Les réponses doivent être rédigées en utilisant le même modèle que la demande de renseignements. Le cas échéant, tout document additionnel non disponible sur le SDÉ, auquel réfère la demande de renseignements ou la réponse doit être déposé au dossier.</w:t>
      </w:r>
    </w:p>
    <w:p w14:paraId="020A5B85" w14:textId="77777777" w:rsidR="00A44729" w:rsidRPr="009C797D" w:rsidRDefault="00A44729" w:rsidP="00352626">
      <w:pPr>
        <w:rPr>
          <w:rFonts w:cs="Calibri"/>
        </w:rPr>
      </w:pPr>
    </w:p>
    <w:p w14:paraId="6265ABB2" w14:textId="77777777" w:rsidR="009F7976" w:rsidRPr="009C797D" w:rsidRDefault="009F7976" w:rsidP="00352626">
      <w:pPr>
        <w:rPr>
          <w:rFonts w:cs="Calibri"/>
        </w:rPr>
      </w:pPr>
    </w:p>
    <w:p w14:paraId="7FF10170" w14:textId="20664CA5" w:rsidR="00050F3A" w:rsidRPr="0024568D" w:rsidRDefault="00AA550E" w:rsidP="00352626">
      <w:pPr>
        <w:pStyle w:val="Titre2"/>
        <w:keepNext/>
        <w:tabs>
          <w:tab w:val="clear" w:pos="709"/>
          <w:tab w:val="num" w:pos="851"/>
        </w:tabs>
        <w:ind w:left="851" w:hanging="851"/>
        <w:rPr>
          <w:rFonts w:cs="Calibri"/>
        </w:rPr>
      </w:pPr>
      <w:bookmarkStart w:id="19" w:name="_Toc124329919"/>
      <w:r>
        <w:rPr>
          <w:rFonts w:cs="Calibri"/>
        </w:rPr>
        <w:t>Planification de la date de dépôt</w:t>
      </w:r>
      <w:bookmarkEnd w:id="19"/>
    </w:p>
    <w:p w14:paraId="57474611" w14:textId="250A5551" w:rsidR="00352626" w:rsidRDefault="00352626" w:rsidP="00352626">
      <w:pPr>
        <w:pStyle w:val="Default"/>
        <w:spacing w:before="60" w:after="60" w:line="264" w:lineRule="auto"/>
        <w:jc w:val="both"/>
        <w:rPr>
          <w:rFonts w:ascii="Calibri" w:hAnsi="Calibri" w:cs="Calibri"/>
          <w:color w:val="auto"/>
        </w:rPr>
      </w:pPr>
    </w:p>
    <w:p w14:paraId="636F5D66" w14:textId="77777777" w:rsidR="002A040A" w:rsidRPr="00CF5028" w:rsidRDefault="00AA550E" w:rsidP="002A040A">
      <w:pPr>
        <w:keepNext/>
        <w:rPr>
          <w:rFonts w:cs="Calibri"/>
          <w:szCs w:val="24"/>
        </w:rPr>
      </w:pPr>
      <w:r>
        <w:rPr>
          <w:rFonts w:cs="Calibri"/>
          <w:szCs w:val="24"/>
        </w:rPr>
        <w:t>L’examen d’u</w:t>
      </w:r>
      <w:r w:rsidRPr="00CF5028">
        <w:rPr>
          <w:rFonts w:cs="Calibri"/>
          <w:szCs w:val="24"/>
        </w:rPr>
        <w:t xml:space="preserve">ne demande </w:t>
      </w:r>
      <w:r>
        <w:rPr>
          <w:rFonts w:cs="Calibri"/>
          <w:szCs w:val="24"/>
        </w:rPr>
        <w:t xml:space="preserve">en </w:t>
      </w:r>
      <w:r w:rsidRPr="00CF5028">
        <w:rPr>
          <w:rFonts w:cs="Calibri"/>
          <w:szCs w:val="24"/>
        </w:rPr>
        <w:t>audience publique</w:t>
      </w:r>
      <w:r>
        <w:rPr>
          <w:rFonts w:cs="Calibri"/>
          <w:szCs w:val="24"/>
        </w:rPr>
        <w:t xml:space="preserve"> ou par consultation</w:t>
      </w:r>
      <w:r w:rsidRPr="00CF5028">
        <w:rPr>
          <w:rFonts w:cs="Calibri"/>
          <w:szCs w:val="24"/>
        </w:rPr>
        <w:t xml:space="preserve"> comporte certaines exigences et contraintes. A</w:t>
      </w:r>
      <w:r>
        <w:rPr>
          <w:rFonts w:cs="Calibri"/>
          <w:szCs w:val="24"/>
        </w:rPr>
        <w:t xml:space="preserve">fin de définir </w:t>
      </w:r>
      <w:r w:rsidRPr="00CF5028">
        <w:rPr>
          <w:rFonts w:cs="Calibri"/>
          <w:szCs w:val="24"/>
        </w:rPr>
        <w:t xml:space="preserve">un calendrier </w:t>
      </w:r>
      <w:r>
        <w:rPr>
          <w:rFonts w:cs="Calibri"/>
          <w:szCs w:val="24"/>
        </w:rPr>
        <w:t xml:space="preserve">de traitement </w:t>
      </w:r>
      <w:r w:rsidRPr="00CF5028">
        <w:rPr>
          <w:rFonts w:cs="Calibri"/>
          <w:szCs w:val="24"/>
        </w:rPr>
        <w:t>efficace</w:t>
      </w:r>
      <w:r>
        <w:rPr>
          <w:rFonts w:cs="Calibri"/>
          <w:szCs w:val="24"/>
        </w:rPr>
        <w:t xml:space="preserve"> pour chaque demande</w:t>
      </w:r>
      <w:r w:rsidRPr="00CF5028">
        <w:rPr>
          <w:rFonts w:cs="Calibri"/>
          <w:szCs w:val="24"/>
        </w:rPr>
        <w:t xml:space="preserve">, la Régie requiert le dépôt d’une </w:t>
      </w:r>
      <w:r>
        <w:rPr>
          <w:rFonts w:cs="Calibri"/>
          <w:szCs w:val="24"/>
        </w:rPr>
        <w:t>preuv</w:t>
      </w:r>
      <w:r w:rsidRPr="00CF5028">
        <w:rPr>
          <w:rFonts w:cs="Calibri"/>
          <w:szCs w:val="24"/>
        </w:rPr>
        <w:t xml:space="preserve">e complète respectant les délais </w:t>
      </w:r>
      <w:r>
        <w:rPr>
          <w:rFonts w:cs="Calibri"/>
          <w:szCs w:val="24"/>
        </w:rPr>
        <w:t>règlementaires présentés au Tableau 1</w:t>
      </w:r>
      <w:r w:rsidRPr="00CF5028">
        <w:rPr>
          <w:rFonts w:cs="Calibri"/>
          <w:szCs w:val="24"/>
        </w:rPr>
        <w:t>. La Régie considère toutefois que, lorsque les travaux de rencontres techniques demandés dans la décision portant sur un dossier précédent n’ont pu être terminés à temps, les résultats peuvent être soumis après le dépôt initial.</w:t>
      </w:r>
    </w:p>
    <w:p w14:paraId="425EF5C9" w14:textId="77777777" w:rsidR="002A040A" w:rsidRDefault="002A040A" w:rsidP="002A040A">
      <w:pPr>
        <w:pStyle w:val="Default"/>
        <w:spacing w:before="60" w:after="60" w:line="264" w:lineRule="auto"/>
        <w:jc w:val="both"/>
        <w:rPr>
          <w:rFonts w:ascii="Calibri" w:eastAsia="Calibri" w:hAnsi="Calibri" w:cs="Calibri"/>
          <w:color w:val="auto"/>
        </w:rPr>
      </w:pPr>
    </w:p>
    <w:p w14:paraId="5007F0CB" w14:textId="77777777" w:rsidR="002A040A" w:rsidRPr="004E6445" w:rsidRDefault="00AA550E" w:rsidP="002A040A">
      <w:pPr>
        <w:pStyle w:val="Default"/>
        <w:spacing w:before="60" w:after="60" w:line="264" w:lineRule="auto"/>
        <w:jc w:val="both"/>
        <w:rPr>
          <w:rFonts w:ascii="Calibri" w:eastAsia="Calibri" w:hAnsi="Calibri" w:cs="Calibri"/>
          <w:color w:val="auto"/>
        </w:rPr>
      </w:pPr>
      <w:r w:rsidRPr="004E6445">
        <w:rPr>
          <w:rFonts w:ascii="Calibri" w:eastAsia="Calibri" w:hAnsi="Calibri" w:cs="Calibri"/>
          <w:color w:val="auto"/>
        </w:rPr>
        <w:t xml:space="preserve">Pour le dossier tarifaire et la fermeture règlementaire des livres, dans l’éventualité où </w:t>
      </w:r>
      <w:r>
        <w:rPr>
          <w:rFonts w:ascii="Calibri" w:eastAsia="Calibri" w:hAnsi="Calibri" w:cs="Calibri"/>
          <w:color w:val="auto"/>
        </w:rPr>
        <w:t>elle</w:t>
      </w:r>
      <w:r w:rsidRPr="004E6445">
        <w:rPr>
          <w:rFonts w:ascii="Calibri" w:eastAsia="Calibri" w:hAnsi="Calibri" w:cs="Calibri"/>
          <w:color w:val="auto"/>
        </w:rPr>
        <w:t xml:space="preserve"> ne serait pas en mesure de </w:t>
      </w:r>
      <w:r>
        <w:rPr>
          <w:rFonts w:ascii="Calibri" w:eastAsia="Calibri" w:hAnsi="Calibri" w:cs="Calibri"/>
          <w:color w:val="auto"/>
        </w:rPr>
        <w:t>le faire</w:t>
      </w:r>
      <w:r w:rsidRPr="004E6445">
        <w:rPr>
          <w:rFonts w:ascii="Calibri" w:eastAsia="Calibri" w:hAnsi="Calibri" w:cs="Calibri"/>
          <w:color w:val="auto"/>
        </w:rPr>
        <w:t xml:space="preserve"> à l’intérieur du délai prescrit, </w:t>
      </w:r>
      <w:r>
        <w:rPr>
          <w:rFonts w:ascii="Calibri" w:eastAsia="Calibri" w:hAnsi="Calibri" w:cs="Calibri"/>
          <w:color w:val="auto"/>
        </w:rPr>
        <w:t>Gazifère</w:t>
      </w:r>
      <w:r w:rsidRPr="004E6445">
        <w:rPr>
          <w:rFonts w:ascii="Calibri" w:eastAsia="Calibri" w:hAnsi="Calibri" w:cs="Calibri"/>
          <w:color w:val="auto"/>
        </w:rPr>
        <w:t xml:space="preserve"> devra minimalement déposer une lettre afin de donner un aperçu de la date à laquelle elle prévoit déposer sa preuve, ainsi qu’une liste des sujets prévus dans le cadre de sa demande.</w:t>
      </w:r>
    </w:p>
    <w:p w14:paraId="5BAD6E3E" w14:textId="77777777" w:rsidR="002A040A" w:rsidRPr="004E6445" w:rsidRDefault="002A040A" w:rsidP="002A040A">
      <w:pPr>
        <w:pStyle w:val="Default"/>
        <w:spacing w:before="60" w:after="60" w:line="264" w:lineRule="auto"/>
        <w:jc w:val="both"/>
        <w:rPr>
          <w:rFonts w:ascii="Calibri" w:eastAsia="Calibri" w:hAnsi="Calibri" w:cs="Calibri"/>
          <w:color w:val="auto"/>
        </w:rPr>
      </w:pPr>
    </w:p>
    <w:p w14:paraId="1877B8CE" w14:textId="77777777" w:rsidR="002A040A" w:rsidRPr="00CF5028" w:rsidRDefault="002A040A" w:rsidP="00352626">
      <w:pPr>
        <w:pStyle w:val="Default"/>
        <w:spacing w:before="60" w:after="60" w:line="264" w:lineRule="auto"/>
        <w:jc w:val="both"/>
        <w:rPr>
          <w:rFonts w:ascii="Calibri" w:hAnsi="Calibri" w:cs="Calibri"/>
          <w:color w:val="auto"/>
        </w:rPr>
      </w:pPr>
    </w:p>
    <w:p w14:paraId="05DD57C8" w14:textId="77777777" w:rsidR="008E2109" w:rsidRDefault="008E2109"/>
    <w:tbl>
      <w:tblPr>
        <w:tblStyle w:val="Grilledutableau"/>
        <w:tblW w:w="5000" w:type="pct"/>
        <w:jc w:val="center"/>
        <w:tblLook w:val="04A0" w:firstRow="1" w:lastRow="0" w:firstColumn="1" w:lastColumn="0" w:noHBand="0" w:noVBand="1"/>
      </w:tblPr>
      <w:tblGrid>
        <w:gridCol w:w="4698"/>
        <w:gridCol w:w="4698"/>
      </w:tblGrid>
      <w:tr w:rsidR="00DC782D" w14:paraId="7D91E573" w14:textId="77777777" w:rsidTr="00352626">
        <w:trPr>
          <w:cantSplit/>
          <w:jc w:val="center"/>
        </w:trPr>
        <w:tc>
          <w:tcPr>
            <w:tcW w:w="5000" w:type="pct"/>
            <w:gridSpan w:val="2"/>
          </w:tcPr>
          <w:p w14:paraId="42F64A6C" w14:textId="77777777" w:rsidR="00330F39" w:rsidRPr="00E1604A" w:rsidRDefault="00AA550E" w:rsidP="00352626">
            <w:pPr>
              <w:pStyle w:val="Default"/>
              <w:spacing w:before="60" w:after="60" w:line="264" w:lineRule="auto"/>
              <w:jc w:val="center"/>
              <w:rPr>
                <w:rFonts w:asciiTheme="minorHAnsi" w:hAnsiTheme="minorHAnsi" w:cstheme="minorHAnsi"/>
                <w:b/>
                <w:color w:val="auto"/>
              </w:rPr>
            </w:pPr>
            <w:r w:rsidRPr="00E1604A">
              <w:rPr>
                <w:rFonts w:asciiTheme="minorHAnsi" w:hAnsiTheme="minorHAnsi" w:cstheme="minorHAnsi"/>
                <w:b/>
              </w:rPr>
              <w:lastRenderedPageBreak/>
              <w:t>Tableau 1</w:t>
            </w:r>
            <w:r w:rsidRPr="00E1604A">
              <w:rPr>
                <w:rFonts w:asciiTheme="minorHAnsi" w:hAnsiTheme="minorHAnsi" w:cstheme="minorHAnsi"/>
                <w:b/>
              </w:rPr>
              <w:br/>
              <w:t>Délais règlementaires</w:t>
            </w:r>
            <w:r>
              <w:rPr>
                <w:rStyle w:val="Appelnotedebasdep"/>
                <w:rFonts w:asciiTheme="minorHAnsi" w:hAnsiTheme="minorHAnsi" w:cstheme="minorHAnsi"/>
              </w:rPr>
              <w:footnoteReference w:id="8"/>
            </w:r>
          </w:p>
        </w:tc>
      </w:tr>
      <w:tr w:rsidR="00DC782D" w14:paraId="6C51EFB5" w14:textId="77777777" w:rsidTr="00352626">
        <w:trPr>
          <w:cantSplit/>
          <w:jc w:val="center"/>
        </w:trPr>
        <w:tc>
          <w:tcPr>
            <w:tcW w:w="2500" w:type="pct"/>
          </w:tcPr>
          <w:p w14:paraId="6DD572D1" w14:textId="09EA7C17" w:rsidR="00710A2E" w:rsidRPr="00CF5028" w:rsidRDefault="00AA550E" w:rsidP="00352626">
            <w:pPr>
              <w:pStyle w:val="Default"/>
              <w:spacing w:before="60" w:after="60" w:line="264" w:lineRule="auto"/>
              <w:rPr>
                <w:rFonts w:ascii="Calibri" w:hAnsi="Calibri" w:cs="Calibri"/>
                <w:b/>
              </w:rPr>
            </w:pPr>
            <w:r>
              <w:rPr>
                <w:rFonts w:ascii="Calibri" w:hAnsi="Calibri" w:cs="Calibri"/>
                <w:b/>
              </w:rPr>
              <w:t>Type de d</w:t>
            </w:r>
            <w:r w:rsidRPr="00CF5028">
              <w:rPr>
                <w:rFonts w:ascii="Calibri" w:hAnsi="Calibri" w:cs="Calibri"/>
                <w:b/>
              </w:rPr>
              <w:t>emande</w:t>
            </w:r>
          </w:p>
        </w:tc>
        <w:tc>
          <w:tcPr>
            <w:tcW w:w="2500" w:type="pct"/>
          </w:tcPr>
          <w:p w14:paraId="30A2B04B" w14:textId="032E7F55" w:rsidR="00710A2E" w:rsidRPr="00CF5028" w:rsidRDefault="00AA550E" w:rsidP="00352626">
            <w:pPr>
              <w:pStyle w:val="Default"/>
              <w:spacing w:before="60" w:after="60" w:line="264" w:lineRule="auto"/>
              <w:rPr>
                <w:rFonts w:ascii="Calibri" w:hAnsi="Calibri" w:cs="Calibri"/>
                <w:b/>
              </w:rPr>
            </w:pPr>
            <w:r w:rsidRPr="00CF5028">
              <w:rPr>
                <w:rFonts w:ascii="Calibri" w:hAnsi="Calibri" w:cs="Calibri"/>
                <w:b/>
              </w:rPr>
              <w:t>Date de dépôt demandée</w:t>
            </w:r>
          </w:p>
        </w:tc>
      </w:tr>
      <w:tr w:rsidR="00DC782D" w14:paraId="63768F82" w14:textId="77777777" w:rsidTr="00352626">
        <w:trPr>
          <w:cantSplit/>
          <w:jc w:val="center"/>
        </w:trPr>
        <w:tc>
          <w:tcPr>
            <w:tcW w:w="2500" w:type="pct"/>
            <w:vAlign w:val="center"/>
          </w:tcPr>
          <w:p w14:paraId="1E65D104" w14:textId="3847CA83" w:rsidR="00710A2E" w:rsidRPr="00CF5028" w:rsidRDefault="00AA550E" w:rsidP="00352626">
            <w:pPr>
              <w:rPr>
                <w:rFonts w:cs="Calibri"/>
                <w:szCs w:val="24"/>
              </w:rPr>
            </w:pPr>
            <w:r w:rsidRPr="003D395A">
              <w:rPr>
                <w:rFonts w:cs="Calibri"/>
                <w:szCs w:val="24"/>
              </w:rPr>
              <w:t>Fermeture règlementaire des livres</w:t>
            </w:r>
          </w:p>
        </w:tc>
        <w:tc>
          <w:tcPr>
            <w:tcW w:w="2500" w:type="pct"/>
            <w:vAlign w:val="center"/>
          </w:tcPr>
          <w:p w14:paraId="43104D69" w14:textId="77777777" w:rsidR="00710A2E" w:rsidRPr="00330F39" w:rsidRDefault="00AA550E" w:rsidP="00352626">
            <w:pPr>
              <w:pStyle w:val="Paragraphedeliste"/>
              <w:numPr>
                <w:ilvl w:val="0"/>
                <w:numId w:val="22"/>
              </w:numPr>
              <w:autoSpaceDE w:val="0"/>
              <w:autoSpaceDN w:val="0"/>
              <w:adjustRightInd w:val="0"/>
              <w:spacing w:before="0" w:after="0" w:line="264" w:lineRule="auto"/>
              <w:ind w:left="317"/>
              <w:jc w:val="both"/>
              <w:rPr>
                <w:rFonts w:cs="Calibri"/>
                <w:bCs/>
                <w:sz w:val="24"/>
                <w:szCs w:val="24"/>
              </w:rPr>
            </w:pPr>
            <w:r w:rsidRPr="00330F39">
              <w:rPr>
                <w:rFonts w:cs="Calibri"/>
                <w:bCs/>
                <w:sz w:val="24"/>
                <w:szCs w:val="24"/>
              </w:rPr>
              <w:t>16 semaines après la fin de l’année financière</w:t>
            </w:r>
          </w:p>
        </w:tc>
      </w:tr>
      <w:tr w:rsidR="00DC782D" w14:paraId="27FD17F1" w14:textId="77777777" w:rsidTr="00352626">
        <w:trPr>
          <w:cantSplit/>
          <w:jc w:val="center"/>
        </w:trPr>
        <w:tc>
          <w:tcPr>
            <w:tcW w:w="2500" w:type="pct"/>
            <w:vAlign w:val="center"/>
          </w:tcPr>
          <w:p w14:paraId="566C4A50" w14:textId="77777777" w:rsidR="00710A2E" w:rsidRPr="00CF5028" w:rsidRDefault="00AA550E" w:rsidP="00352626">
            <w:pPr>
              <w:pStyle w:val="Default"/>
              <w:spacing w:before="60" w:after="60" w:line="264" w:lineRule="auto"/>
              <w:rPr>
                <w:rFonts w:ascii="Calibri" w:hAnsi="Calibri" w:cs="Calibri"/>
                <w:color w:val="auto"/>
              </w:rPr>
            </w:pPr>
            <w:r w:rsidRPr="00CF5028">
              <w:rPr>
                <w:rFonts w:ascii="Calibri" w:hAnsi="Calibri" w:cs="Calibri"/>
              </w:rPr>
              <w:t>Plan d’approvisionnement</w:t>
            </w:r>
            <w:r>
              <w:rPr>
                <w:rStyle w:val="Appelnotedebasdep"/>
                <w:rFonts w:ascii="Calibri" w:hAnsi="Calibri" w:cs="Calibri"/>
              </w:rPr>
              <w:footnoteReference w:id="9"/>
            </w:r>
          </w:p>
        </w:tc>
        <w:tc>
          <w:tcPr>
            <w:tcW w:w="2500" w:type="pct"/>
            <w:vAlign w:val="center"/>
          </w:tcPr>
          <w:p w14:paraId="136BC1F9" w14:textId="77777777" w:rsidR="00710A2E" w:rsidRPr="00330F39" w:rsidRDefault="00AA550E" w:rsidP="00352626">
            <w:pPr>
              <w:pStyle w:val="Paragraphedeliste"/>
              <w:numPr>
                <w:ilvl w:val="0"/>
                <w:numId w:val="22"/>
              </w:numPr>
              <w:autoSpaceDE w:val="0"/>
              <w:autoSpaceDN w:val="0"/>
              <w:adjustRightInd w:val="0"/>
              <w:spacing w:before="0" w:after="0" w:line="264" w:lineRule="auto"/>
              <w:ind w:left="317"/>
              <w:jc w:val="both"/>
              <w:rPr>
                <w:rFonts w:cs="Calibri"/>
                <w:bCs/>
                <w:sz w:val="24"/>
                <w:szCs w:val="24"/>
              </w:rPr>
            </w:pPr>
            <w:r w:rsidRPr="00330F39">
              <w:rPr>
                <w:rFonts w:cs="Calibri"/>
                <w:bCs/>
                <w:sz w:val="24"/>
                <w:szCs w:val="24"/>
              </w:rPr>
              <w:t>Avant le 1</w:t>
            </w:r>
            <w:r w:rsidRPr="00330F39">
              <w:rPr>
                <w:rFonts w:cs="Calibri"/>
                <w:bCs/>
                <w:sz w:val="24"/>
                <w:szCs w:val="24"/>
                <w:vertAlign w:val="superscript"/>
              </w:rPr>
              <w:t>er</w:t>
            </w:r>
            <w:r w:rsidRPr="00330F39">
              <w:rPr>
                <w:rFonts w:cs="Calibri"/>
                <w:bCs/>
                <w:sz w:val="24"/>
                <w:szCs w:val="24"/>
              </w:rPr>
              <w:t xml:space="preserve"> août de chaque année</w:t>
            </w:r>
          </w:p>
        </w:tc>
      </w:tr>
      <w:tr w:rsidR="00DC782D" w14:paraId="2D10FFF0" w14:textId="77777777" w:rsidTr="00352626">
        <w:trPr>
          <w:cantSplit/>
          <w:jc w:val="center"/>
        </w:trPr>
        <w:tc>
          <w:tcPr>
            <w:tcW w:w="2500" w:type="pct"/>
            <w:vAlign w:val="center"/>
          </w:tcPr>
          <w:p w14:paraId="338C5204" w14:textId="77777777" w:rsidR="00710A2E" w:rsidRPr="00CF5028" w:rsidRDefault="00AA550E" w:rsidP="00352626">
            <w:pPr>
              <w:pStyle w:val="Default"/>
              <w:spacing w:before="60" w:after="60" w:line="264" w:lineRule="auto"/>
              <w:rPr>
                <w:rFonts w:ascii="Calibri" w:hAnsi="Calibri" w:cs="Calibri"/>
                <w:color w:val="auto"/>
              </w:rPr>
            </w:pPr>
            <w:r w:rsidRPr="00CF5028">
              <w:rPr>
                <w:rFonts w:ascii="Calibri" w:hAnsi="Calibri" w:cs="Calibri"/>
              </w:rPr>
              <w:t>Modification des tarifs de distribution</w:t>
            </w:r>
            <w:r w:rsidR="00E373F3" w:rsidRPr="00CF5028">
              <w:rPr>
                <w:rFonts w:ascii="Calibri" w:hAnsi="Calibri" w:cs="Calibri"/>
              </w:rPr>
              <w:t xml:space="preserve"> et</w:t>
            </w:r>
            <w:r w:rsidR="00911673" w:rsidRPr="00CF5028">
              <w:rPr>
                <w:rFonts w:ascii="Calibri" w:hAnsi="Calibri" w:cs="Calibri"/>
              </w:rPr>
              <w:t>, le cas échéant,</w:t>
            </w:r>
            <w:r w:rsidR="00E373F3" w:rsidRPr="00CF5028">
              <w:rPr>
                <w:rFonts w:ascii="Calibri" w:hAnsi="Calibri" w:cs="Calibri"/>
              </w:rPr>
              <w:t xml:space="preserve"> </w:t>
            </w:r>
            <w:r w:rsidR="000003D9" w:rsidRPr="00CF5028">
              <w:rPr>
                <w:rFonts w:ascii="Calibri" w:hAnsi="Calibri" w:cs="Calibri"/>
              </w:rPr>
              <w:t>budget annuel pour la réalisation des programmes et mesures en efficacité énergétique</w:t>
            </w:r>
            <w:r>
              <w:rPr>
                <w:rStyle w:val="Appelnotedebasdep"/>
                <w:rFonts w:ascii="Calibri" w:hAnsi="Calibri" w:cs="Calibri"/>
              </w:rPr>
              <w:footnoteReference w:id="10"/>
            </w:r>
          </w:p>
        </w:tc>
        <w:tc>
          <w:tcPr>
            <w:tcW w:w="2500" w:type="pct"/>
            <w:vAlign w:val="center"/>
          </w:tcPr>
          <w:p w14:paraId="293338A6" w14:textId="77777777" w:rsidR="00710A2E" w:rsidRPr="00330F39" w:rsidRDefault="00AA550E" w:rsidP="00352626">
            <w:pPr>
              <w:pStyle w:val="Paragraphedeliste"/>
              <w:numPr>
                <w:ilvl w:val="0"/>
                <w:numId w:val="22"/>
              </w:numPr>
              <w:autoSpaceDE w:val="0"/>
              <w:autoSpaceDN w:val="0"/>
              <w:adjustRightInd w:val="0"/>
              <w:spacing w:before="0" w:after="0" w:line="264" w:lineRule="auto"/>
              <w:ind w:left="317"/>
              <w:jc w:val="both"/>
              <w:rPr>
                <w:rFonts w:cs="Calibri"/>
                <w:sz w:val="24"/>
                <w:szCs w:val="24"/>
              </w:rPr>
            </w:pPr>
            <w:r w:rsidRPr="00330F39">
              <w:rPr>
                <w:rFonts w:cs="Calibri"/>
                <w:bCs/>
                <w:sz w:val="24"/>
                <w:szCs w:val="24"/>
              </w:rPr>
              <w:t>Avant le 1</w:t>
            </w:r>
            <w:r w:rsidRPr="00330F39">
              <w:rPr>
                <w:rFonts w:cs="Calibri"/>
                <w:bCs/>
                <w:sz w:val="24"/>
                <w:szCs w:val="24"/>
                <w:vertAlign w:val="superscript"/>
              </w:rPr>
              <w:t>er</w:t>
            </w:r>
            <w:r w:rsidRPr="00330F39">
              <w:rPr>
                <w:rFonts w:cs="Calibri"/>
                <w:bCs/>
                <w:sz w:val="24"/>
                <w:szCs w:val="24"/>
              </w:rPr>
              <w:t xml:space="preserve"> septembre de chaque année</w:t>
            </w:r>
          </w:p>
        </w:tc>
      </w:tr>
      <w:tr w:rsidR="00DC782D" w14:paraId="31D71319" w14:textId="77777777" w:rsidTr="00352626">
        <w:tblPrEx>
          <w:jc w:val="left"/>
        </w:tblPrEx>
        <w:trPr>
          <w:cantSplit/>
        </w:trPr>
        <w:tc>
          <w:tcPr>
            <w:tcW w:w="2500" w:type="pct"/>
            <w:vAlign w:val="center"/>
          </w:tcPr>
          <w:p w14:paraId="7E7236DC" w14:textId="77777777" w:rsidR="00CD1245" w:rsidRPr="000E380F" w:rsidRDefault="00AA550E" w:rsidP="00352626">
            <w:pPr>
              <w:pStyle w:val="Paragraphedeliste"/>
              <w:numPr>
                <w:ilvl w:val="0"/>
                <w:numId w:val="22"/>
              </w:numPr>
              <w:autoSpaceDE w:val="0"/>
              <w:autoSpaceDN w:val="0"/>
              <w:adjustRightInd w:val="0"/>
              <w:spacing w:before="0" w:after="0" w:line="264" w:lineRule="auto"/>
              <w:ind w:left="319" w:hanging="242"/>
              <w:jc w:val="both"/>
              <w:rPr>
                <w:rFonts w:cs="Calibri"/>
                <w:color w:val="000000"/>
                <w:sz w:val="24"/>
                <w:szCs w:val="24"/>
              </w:rPr>
            </w:pPr>
            <w:r w:rsidRPr="000E380F">
              <w:rPr>
                <w:rFonts w:cs="Calibri"/>
                <w:color w:val="000000"/>
                <w:sz w:val="24"/>
                <w:szCs w:val="24"/>
              </w:rPr>
              <w:t>Programmes commerciaux</w:t>
            </w:r>
          </w:p>
        </w:tc>
        <w:tc>
          <w:tcPr>
            <w:tcW w:w="2500" w:type="pct"/>
            <w:vAlign w:val="center"/>
          </w:tcPr>
          <w:p w14:paraId="7EAF9AEB" w14:textId="77777777" w:rsidR="00CD1245" w:rsidRPr="00D90032" w:rsidRDefault="00AA550E" w:rsidP="00352626">
            <w:pPr>
              <w:pStyle w:val="Paragraphedeliste"/>
              <w:numPr>
                <w:ilvl w:val="0"/>
                <w:numId w:val="22"/>
              </w:numPr>
              <w:autoSpaceDE w:val="0"/>
              <w:autoSpaceDN w:val="0"/>
              <w:adjustRightInd w:val="0"/>
              <w:spacing w:before="0" w:after="0" w:line="264" w:lineRule="auto"/>
              <w:ind w:left="317"/>
              <w:jc w:val="both"/>
              <w:rPr>
                <w:rFonts w:cs="Calibri"/>
                <w:color w:val="000000"/>
                <w:sz w:val="24"/>
                <w:szCs w:val="24"/>
              </w:rPr>
            </w:pPr>
            <w:r w:rsidRPr="000E380F">
              <w:rPr>
                <w:rFonts w:cs="Calibri"/>
                <w:color w:val="000000"/>
                <w:sz w:val="24"/>
                <w:szCs w:val="24"/>
              </w:rPr>
              <w:t>3 à 6 mois avant la date souhaitée de l’approbation</w:t>
            </w:r>
          </w:p>
        </w:tc>
      </w:tr>
      <w:tr w:rsidR="00DC782D" w14:paraId="20DD5089" w14:textId="77777777" w:rsidTr="00352626">
        <w:tblPrEx>
          <w:jc w:val="left"/>
        </w:tblPrEx>
        <w:trPr>
          <w:cantSplit/>
        </w:trPr>
        <w:tc>
          <w:tcPr>
            <w:tcW w:w="2500" w:type="pct"/>
            <w:vAlign w:val="center"/>
          </w:tcPr>
          <w:p w14:paraId="230464F3" w14:textId="77777777" w:rsidR="00CD1245" w:rsidRPr="000E380F" w:rsidRDefault="00AA550E" w:rsidP="00352626">
            <w:pPr>
              <w:pStyle w:val="Paragraphedeliste"/>
              <w:numPr>
                <w:ilvl w:val="0"/>
                <w:numId w:val="22"/>
              </w:numPr>
              <w:autoSpaceDE w:val="0"/>
              <w:autoSpaceDN w:val="0"/>
              <w:adjustRightInd w:val="0"/>
              <w:spacing w:before="0" w:after="0" w:line="264" w:lineRule="auto"/>
              <w:ind w:left="319" w:hanging="242"/>
              <w:jc w:val="both"/>
              <w:rPr>
                <w:rFonts w:cs="Calibri"/>
                <w:color w:val="000000"/>
                <w:sz w:val="24"/>
                <w:szCs w:val="24"/>
              </w:rPr>
            </w:pPr>
            <w:r w:rsidRPr="000E380F">
              <w:rPr>
                <w:rFonts w:cs="Calibri"/>
                <w:color w:val="000000"/>
                <w:sz w:val="24"/>
                <w:szCs w:val="24"/>
              </w:rPr>
              <w:t>Projets d’investissement</w:t>
            </w:r>
          </w:p>
        </w:tc>
        <w:tc>
          <w:tcPr>
            <w:tcW w:w="2500" w:type="pct"/>
            <w:vAlign w:val="center"/>
          </w:tcPr>
          <w:p w14:paraId="7AA180F6" w14:textId="4AF968CE" w:rsidR="00CD1245" w:rsidRPr="000E380F" w:rsidRDefault="00AA550E" w:rsidP="00352626">
            <w:pPr>
              <w:pStyle w:val="Paragraphedeliste"/>
              <w:numPr>
                <w:ilvl w:val="0"/>
                <w:numId w:val="22"/>
              </w:numPr>
              <w:autoSpaceDE w:val="0"/>
              <w:autoSpaceDN w:val="0"/>
              <w:adjustRightInd w:val="0"/>
              <w:spacing w:before="0" w:after="0" w:line="264" w:lineRule="auto"/>
              <w:ind w:left="317"/>
              <w:jc w:val="both"/>
              <w:rPr>
                <w:rFonts w:cs="Calibri"/>
                <w:color w:val="000000"/>
                <w:sz w:val="24"/>
                <w:szCs w:val="24"/>
              </w:rPr>
            </w:pPr>
            <w:r w:rsidRPr="000E380F">
              <w:rPr>
                <w:rFonts w:cs="Calibri"/>
                <w:color w:val="000000"/>
                <w:sz w:val="24"/>
                <w:szCs w:val="24"/>
              </w:rPr>
              <w:t>3 à 6 mois avant la date souhaitée de l’a</w:t>
            </w:r>
            <w:r w:rsidR="00B31429">
              <w:rPr>
                <w:rFonts w:cs="Calibri"/>
                <w:color w:val="000000"/>
                <w:sz w:val="24"/>
                <w:szCs w:val="24"/>
              </w:rPr>
              <w:t>pprobation</w:t>
            </w:r>
          </w:p>
        </w:tc>
      </w:tr>
    </w:tbl>
    <w:p w14:paraId="6865997E" w14:textId="2D5CA3F5" w:rsidR="00E8701C" w:rsidRDefault="00E8701C" w:rsidP="00352626">
      <w:pPr>
        <w:pStyle w:val="Default"/>
        <w:spacing w:before="60" w:after="60" w:line="264" w:lineRule="auto"/>
        <w:jc w:val="both"/>
        <w:rPr>
          <w:rFonts w:ascii="Calibri" w:hAnsi="Calibri" w:cs="Calibri"/>
        </w:rPr>
      </w:pPr>
    </w:p>
    <w:p w14:paraId="26202AAF" w14:textId="77777777" w:rsidR="00677119" w:rsidRPr="00677119" w:rsidRDefault="00677119" w:rsidP="00352626">
      <w:pPr>
        <w:autoSpaceDE w:val="0"/>
        <w:autoSpaceDN w:val="0"/>
        <w:adjustRightInd w:val="0"/>
        <w:rPr>
          <w:rFonts w:cs="Calibri"/>
          <w:color w:val="000000"/>
          <w:szCs w:val="24"/>
        </w:rPr>
      </w:pPr>
    </w:p>
    <w:p w14:paraId="465418FD" w14:textId="77777777" w:rsidR="009C44D3" w:rsidRDefault="009C44D3" w:rsidP="00352626">
      <w:pPr>
        <w:pStyle w:val="Titre1"/>
        <w:rPr>
          <w:rFonts w:cs="Calibri"/>
        </w:rPr>
        <w:sectPr w:rsidR="009C44D3" w:rsidSect="00B3244F">
          <w:pgSz w:w="12240" w:h="15840" w:code="119"/>
          <w:pgMar w:top="1417" w:right="1417" w:bottom="1417" w:left="1417" w:header="708" w:footer="708" w:gutter="0"/>
          <w:cols w:space="708"/>
          <w:titlePg/>
          <w:docGrid w:linePitch="360"/>
        </w:sectPr>
      </w:pPr>
    </w:p>
    <w:p w14:paraId="6E91FBCA" w14:textId="6C8190F9" w:rsidR="00DE3724" w:rsidRPr="009C797D" w:rsidRDefault="00AA550E" w:rsidP="00352626">
      <w:pPr>
        <w:pStyle w:val="Titre1"/>
        <w:rPr>
          <w:rFonts w:cs="Calibri"/>
        </w:rPr>
      </w:pPr>
      <w:bookmarkStart w:id="20" w:name="_Toc124329920"/>
      <w:r>
        <w:rPr>
          <w:rFonts w:cs="Calibri"/>
        </w:rPr>
        <w:lastRenderedPageBreak/>
        <w:t xml:space="preserve">Informations spécifiques en lien avec le </w:t>
      </w:r>
      <w:r w:rsidRPr="009C797D">
        <w:rPr>
          <w:rFonts w:cs="Calibri"/>
        </w:rPr>
        <w:t>Plan d’approvisionnement</w:t>
      </w:r>
      <w:r w:rsidR="00C33303">
        <w:rPr>
          <w:rFonts w:cs="Calibri"/>
        </w:rPr>
        <w:t xml:space="preserve"> </w:t>
      </w:r>
      <w:r w:rsidR="0092143D">
        <w:rPr>
          <w:rFonts w:cs="Calibri"/>
        </w:rPr>
        <w:t xml:space="preserve">en gaz naturel </w:t>
      </w:r>
      <w:r w:rsidR="00C33303">
        <w:rPr>
          <w:rFonts w:cs="Calibri"/>
        </w:rPr>
        <w:t>e</w:t>
      </w:r>
      <w:r w:rsidR="00DE6BB7">
        <w:rPr>
          <w:rFonts w:cs="Calibri"/>
        </w:rPr>
        <w:t>t l’</w:t>
      </w:r>
      <w:r w:rsidR="003C5C4A">
        <w:rPr>
          <w:rFonts w:cs="Calibri"/>
        </w:rPr>
        <w:t>approvisionnement</w:t>
      </w:r>
      <w:r w:rsidR="00DE6BB7">
        <w:rPr>
          <w:rFonts w:cs="Calibri"/>
        </w:rPr>
        <w:t xml:space="preserve"> e</w:t>
      </w:r>
      <w:r w:rsidR="00C33303">
        <w:rPr>
          <w:rFonts w:cs="Calibri"/>
        </w:rPr>
        <w:t>n GSR</w:t>
      </w:r>
      <w:r w:rsidR="00971F85">
        <w:rPr>
          <w:rStyle w:val="Appelnotedebasdep"/>
          <w:rFonts w:cs="Calibri"/>
        </w:rPr>
        <w:footnoteReference w:id="11"/>
      </w:r>
      <w:bookmarkEnd w:id="20"/>
    </w:p>
    <w:p w14:paraId="71757781" w14:textId="77777777" w:rsidR="00BC24BC" w:rsidRDefault="00BC24BC" w:rsidP="00352626">
      <w:pPr>
        <w:rPr>
          <w:rFonts w:cs="Calibri"/>
          <w:b/>
          <w:lang w:val="fr-FR"/>
        </w:rPr>
      </w:pPr>
    </w:p>
    <w:p w14:paraId="42768B45" w14:textId="5CA61A18" w:rsidR="00DE3724" w:rsidRPr="009C797D" w:rsidRDefault="00AA550E" w:rsidP="00352626">
      <w:pPr>
        <w:shd w:val="clear" w:color="auto" w:fill="BDD6EE" w:themeFill="accent1" w:themeFillTint="66"/>
        <w:rPr>
          <w:rFonts w:cs="Calibri"/>
          <w:color w:val="0070C0"/>
          <w:lang w:val="fr-FR"/>
        </w:rPr>
      </w:pPr>
      <w:r w:rsidRPr="009C797D">
        <w:rPr>
          <w:rFonts w:cs="Calibri"/>
          <w:b/>
          <w:color w:val="0070C0"/>
          <w:lang w:val="fr-FR"/>
        </w:rPr>
        <w:t xml:space="preserve">Article </w:t>
      </w:r>
      <w:hyperlink r:id="rId32" w:history="1">
        <w:r w:rsidRPr="009C797D">
          <w:rPr>
            <w:rStyle w:val="label-section1"/>
            <w:rFonts w:ascii="Calibri" w:hAnsi="Calibri" w:cs="Calibri"/>
            <w:color w:val="0070C0"/>
            <w:sz w:val="26"/>
            <w:szCs w:val="26"/>
            <w:lang w:val="fr-FR"/>
          </w:rPr>
          <w:t>72</w:t>
        </w:r>
      </w:hyperlink>
    </w:p>
    <w:p w14:paraId="1B378F4F" w14:textId="77777777" w:rsidR="005A1244" w:rsidRDefault="005A1244" w:rsidP="00352626">
      <w:pPr>
        <w:rPr>
          <w:rFonts w:cs="Calibri"/>
          <w:color w:val="0070C0"/>
          <w:lang w:val="fr-FR"/>
        </w:rPr>
      </w:pPr>
    </w:p>
    <w:p w14:paraId="58C9B633" w14:textId="2428DACC" w:rsidR="00190235" w:rsidRPr="009C797D" w:rsidRDefault="00AA550E" w:rsidP="00352626">
      <w:pPr>
        <w:rPr>
          <w:rFonts w:cs="Calibri"/>
          <w:lang w:eastAsia="fr-CA"/>
        </w:rPr>
      </w:pPr>
      <w:r w:rsidRPr="009C797D">
        <w:rPr>
          <w:rFonts w:cs="Calibri"/>
          <w:lang w:val="fr-FR"/>
        </w:rPr>
        <w:t xml:space="preserve">Gazifère doit </w:t>
      </w:r>
      <w:r w:rsidRPr="009C797D">
        <w:rPr>
          <w:rStyle w:val="Lienhypertexte"/>
          <w:rFonts w:cs="Calibri"/>
          <w:color w:val="auto"/>
          <w:u w:val="none"/>
          <w:lang w:val="fr-FR" w:eastAsia="fr-CA"/>
        </w:rPr>
        <w:t>soumettre à l’approbation de</w:t>
      </w:r>
      <w:r w:rsidRPr="009C797D">
        <w:rPr>
          <w:rStyle w:val="Lienhypertexte"/>
          <w:rFonts w:cs="Calibri"/>
          <w:i/>
          <w:color w:val="auto"/>
          <w:u w:val="none"/>
          <w:lang w:val="fr-FR" w:eastAsia="fr-CA"/>
        </w:rPr>
        <w:t xml:space="preserve"> </w:t>
      </w:r>
      <w:r w:rsidRPr="009C797D">
        <w:rPr>
          <w:rStyle w:val="Lienhypertexte"/>
          <w:rFonts w:cs="Calibri"/>
          <w:color w:val="auto"/>
          <w:u w:val="none"/>
          <w:lang w:val="fr-FR" w:eastAsia="fr-CA"/>
        </w:rPr>
        <w:t xml:space="preserve">la Régie suivant la forme, la teneur et la périodicité fixées par </w:t>
      </w:r>
      <w:r w:rsidRPr="005A1244">
        <w:rPr>
          <w:i/>
        </w:rPr>
        <w:t>Règlement sur la teneur</w:t>
      </w:r>
      <w:r w:rsidRPr="004277D4">
        <w:rPr>
          <w:rFonts w:cs="Calibri"/>
          <w:vertAlign w:val="superscript"/>
        </w:rPr>
        <w:footnoteReference w:id="12"/>
      </w:r>
      <w:r w:rsidRPr="009C797D">
        <w:rPr>
          <w:rStyle w:val="Lienhypertexte"/>
          <w:rFonts w:cs="Calibri"/>
          <w:i/>
          <w:color w:val="auto"/>
          <w:u w:val="none"/>
          <w:lang w:val="fr-FR" w:eastAsia="fr-CA"/>
        </w:rPr>
        <w:t xml:space="preserve">, </w:t>
      </w:r>
      <w:r w:rsidRPr="009C797D">
        <w:rPr>
          <w:rFonts w:cs="Calibri"/>
          <w:lang w:eastAsia="fr-CA"/>
        </w:rPr>
        <w:t>un plan d’approvisionnement sur un horizon d’au moins</w:t>
      </w:r>
      <w:r w:rsidR="00971F85">
        <w:rPr>
          <w:rFonts w:cs="Calibri"/>
          <w:lang w:eastAsia="fr-CA"/>
        </w:rPr>
        <w:t xml:space="preserve"> trois</w:t>
      </w:r>
      <w:r w:rsidRPr="009C797D">
        <w:rPr>
          <w:rFonts w:cs="Calibri"/>
          <w:lang w:eastAsia="fr-CA"/>
        </w:rPr>
        <w:t xml:space="preserve"> ans, décrivant les caractéristiques des contrats qu’il entend conclure pour satisfaire les besoins des marchés québécois après application des mesures d’efficacité énergétique et tenant compte </w:t>
      </w:r>
      <w:r w:rsidRPr="009C797D">
        <w:rPr>
          <w:rFonts w:cs="Calibri"/>
          <w:lang w:val="fr-FR" w:eastAsia="fr-CA"/>
        </w:rPr>
        <w:t>de la quantité de</w:t>
      </w:r>
      <w:r w:rsidR="00971F85">
        <w:rPr>
          <w:rFonts w:cs="Calibri"/>
          <w:lang w:val="fr-FR" w:eastAsia="fr-CA"/>
        </w:rPr>
        <w:t xml:space="preserve"> </w:t>
      </w:r>
      <w:r w:rsidR="00971F85" w:rsidRPr="00971F85">
        <w:rPr>
          <w:rFonts w:cs="Calibri"/>
          <w:lang w:val="fr-FR" w:eastAsia="fr-CA"/>
        </w:rPr>
        <w:t>gaz de source renouvelable</w:t>
      </w:r>
      <w:r w:rsidRPr="009C797D">
        <w:rPr>
          <w:rFonts w:cs="Calibri"/>
          <w:lang w:val="fr-FR" w:eastAsia="fr-CA"/>
        </w:rPr>
        <w:t xml:space="preserve"> </w:t>
      </w:r>
      <w:r w:rsidR="00971F85">
        <w:rPr>
          <w:rFonts w:cs="Calibri"/>
          <w:lang w:val="fr-FR" w:eastAsia="fr-CA"/>
        </w:rPr>
        <w:t>(</w:t>
      </w:r>
      <w:r w:rsidRPr="009C797D">
        <w:rPr>
          <w:rFonts w:cs="Calibri"/>
          <w:lang w:val="fr-FR" w:eastAsia="fr-CA"/>
        </w:rPr>
        <w:t>G</w:t>
      </w:r>
      <w:r>
        <w:rPr>
          <w:rFonts w:cs="Calibri"/>
          <w:lang w:val="fr-FR" w:eastAsia="fr-CA"/>
        </w:rPr>
        <w:t>S</w:t>
      </w:r>
      <w:r w:rsidRPr="009C797D">
        <w:rPr>
          <w:rFonts w:cs="Calibri"/>
          <w:lang w:val="fr-FR" w:eastAsia="fr-CA"/>
        </w:rPr>
        <w:t>R</w:t>
      </w:r>
      <w:r w:rsidR="00971F85">
        <w:rPr>
          <w:rFonts w:cs="Calibri"/>
          <w:lang w:val="fr-FR" w:eastAsia="fr-CA"/>
        </w:rPr>
        <w:t>)</w:t>
      </w:r>
      <w:r w:rsidRPr="009C797D">
        <w:rPr>
          <w:rFonts w:cs="Calibri"/>
          <w:lang w:val="fr-FR" w:eastAsia="fr-CA"/>
        </w:rPr>
        <w:t xml:space="preserve"> déterminée par le</w:t>
      </w:r>
      <w:r>
        <w:rPr>
          <w:rFonts w:cs="Calibri"/>
          <w:lang w:val="fr-FR" w:eastAsia="fr-CA"/>
        </w:rPr>
        <w:t xml:space="preserve"> </w:t>
      </w:r>
      <w:r w:rsidRPr="005A1244">
        <w:rPr>
          <w:rFonts w:cs="Calibri"/>
          <w:i/>
          <w:lang w:val="fr-FR" w:eastAsia="fr-CA"/>
        </w:rPr>
        <w:t>Règlement GSR</w:t>
      </w:r>
      <w:r w:rsidR="00BC24BC">
        <w:rPr>
          <w:rFonts w:cs="Calibri"/>
          <w:lang w:eastAsia="fr-CA"/>
        </w:rPr>
        <w:t>.</w:t>
      </w:r>
    </w:p>
    <w:p w14:paraId="4D5F9E17" w14:textId="77777777" w:rsidR="00190235" w:rsidRPr="009C797D" w:rsidRDefault="00190235" w:rsidP="00352626">
      <w:pPr>
        <w:rPr>
          <w:rFonts w:cs="Calibri"/>
          <w:lang w:eastAsia="fr-CA"/>
        </w:rPr>
      </w:pPr>
    </w:p>
    <w:p w14:paraId="6840B0D8" w14:textId="77777777" w:rsidR="00190235" w:rsidRPr="009C797D" w:rsidRDefault="00AA550E" w:rsidP="00352626">
      <w:pPr>
        <w:rPr>
          <w:rFonts w:eastAsia="Calibri" w:cs="Calibri"/>
        </w:rPr>
      </w:pPr>
      <w:r w:rsidRPr="009C797D">
        <w:rPr>
          <w:rFonts w:eastAsia="Calibri" w:cs="Calibri"/>
        </w:rPr>
        <w:t>L’approbation du Plan d’approvisionnement par la Régie fait généralement l’objet d’un examen annuel dans le cadre d’un dossier tarifaire.</w:t>
      </w:r>
    </w:p>
    <w:p w14:paraId="14CD3C2B" w14:textId="77777777" w:rsidR="00190235" w:rsidRPr="009C797D" w:rsidRDefault="00190235" w:rsidP="00352626">
      <w:pPr>
        <w:rPr>
          <w:rFonts w:cs="Calibri"/>
          <w:bCs/>
        </w:rPr>
      </w:pPr>
    </w:p>
    <w:p w14:paraId="2089EE1A" w14:textId="77777777" w:rsidR="004721A8" w:rsidRPr="00194FB4" w:rsidRDefault="00AA550E" w:rsidP="00352626">
      <w:pPr>
        <w:pStyle w:val="Titre2"/>
        <w:keepNext/>
        <w:tabs>
          <w:tab w:val="clear" w:pos="709"/>
          <w:tab w:val="num" w:pos="851"/>
        </w:tabs>
        <w:ind w:left="851" w:hanging="851"/>
        <w:rPr>
          <w:rFonts w:cs="Calibri"/>
        </w:rPr>
      </w:pPr>
      <w:bookmarkStart w:id="21" w:name="_Toc124329921"/>
      <w:r w:rsidRPr="00194FB4">
        <w:rPr>
          <w:rFonts w:cs="Calibri"/>
        </w:rPr>
        <w:t>Informations requises</w:t>
      </w:r>
      <w:bookmarkEnd w:id="21"/>
    </w:p>
    <w:p w14:paraId="668022ED" w14:textId="32427C24" w:rsidR="00E14DBC" w:rsidRDefault="00AA550E" w:rsidP="00352626">
      <w:pPr>
        <w:rPr>
          <w:rFonts w:cs="Calibri"/>
        </w:rPr>
      </w:pPr>
      <w:r w:rsidRPr="009C797D">
        <w:rPr>
          <w:rFonts w:cs="Calibri"/>
        </w:rPr>
        <w:t xml:space="preserve">Fournir les </w:t>
      </w:r>
      <w:r w:rsidR="0049611A">
        <w:rPr>
          <w:rFonts w:cs="Calibri"/>
        </w:rPr>
        <w:t>information</w:t>
      </w:r>
      <w:r w:rsidRPr="009C797D">
        <w:rPr>
          <w:rFonts w:cs="Calibri"/>
        </w:rPr>
        <w:t xml:space="preserve">s </w:t>
      </w:r>
      <w:r w:rsidR="00AA42C3">
        <w:rPr>
          <w:rFonts w:cs="Calibri"/>
        </w:rPr>
        <w:t>suivantes</w:t>
      </w:r>
      <w:r w:rsidRPr="009C797D">
        <w:rPr>
          <w:rFonts w:cs="Calibri"/>
        </w:rPr>
        <w:t xml:space="preserve"> pour le plan d’approvisionnement </w:t>
      </w:r>
      <w:r w:rsidR="0092143D">
        <w:rPr>
          <w:rFonts w:cs="Calibri"/>
        </w:rPr>
        <w:t xml:space="preserve">en gaz naturel et en GSR </w:t>
      </w:r>
      <w:r w:rsidRPr="009C797D">
        <w:rPr>
          <w:rFonts w:cs="Calibri"/>
        </w:rPr>
        <w:t>débutant la première ou la seconde année témoin projetée, selon le cas.</w:t>
      </w:r>
    </w:p>
    <w:p w14:paraId="55D852CB" w14:textId="77777777" w:rsidR="007E2E7B" w:rsidRPr="009C797D" w:rsidRDefault="007E2E7B" w:rsidP="00352626">
      <w:pPr>
        <w:rPr>
          <w:rFonts w:cs="Calibri"/>
        </w:rPr>
      </w:pPr>
    </w:p>
    <w:tbl>
      <w:tblPr>
        <w:tblW w:w="5040" w:type="pct"/>
        <w:tblBorders>
          <w:bottom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10349"/>
        <w:gridCol w:w="1274"/>
        <w:gridCol w:w="1487"/>
      </w:tblGrid>
      <w:tr w:rsidR="00DC782D" w14:paraId="5FEEDD82" w14:textId="77777777" w:rsidTr="00B03AD1">
        <w:trPr>
          <w:trHeight w:val="255"/>
          <w:tblHeader/>
        </w:trPr>
        <w:tc>
          <w:tcPr>
            <w:tcW w:w="3947" w:type="pct"/>
            <w:tcBorders>
              <w:bottom w:val="dotted" w:sz="4" w:space="0" w:color="auto"/>
            </w:tcBorders>
            <w:shd w:val="clear" w:color="auto" w:fill="auto"/>
            <w:noWrap/>
            <w:hideMark/>
          </w:tcPr>
          <w:p w14:paraId="1CE8F0FB" w14:textId="6BCF6A9B" w:rsidR="00D11CAA" w:rsidRPr="007F2ADA" w:rsidRDefault="00AA550E" w:rsidP="00352626">
            <w:pPr>
              <w:spacing w:line="240" w:lineRule="auto"/>
              <w:rPr>
                <w:rFonts w:cs="Calibri"/>
                <w:szCs w:val="24"/>
              </w:rPr>
            </w:pPr>
            <w:r>
              <w:rPr>
                <w:rFonts w:cs="Calibri"/>
                <w:bCs/>
              </w:rPr>
              <w:lastRenderedPageBreak/>
              <w:br w:type="page"/>
            </w:r>
          </w:p>
        </w:tc>
        <w:tc>
          <w:tcPr>
            <w:tcW w:w="486" w:type="pct"/>
            <w:tcBorders>
              <w:bottom w:val="dotted" w:sz="4" w:space="0" w:color="auto"/>
            </w:tcBorders>
            <w:shd w:val="clear" w:color="auto" w:fill="auto"/>
            <w:noWrap/>
            <w:vAlign w:val="center"/>
            <w:hideMark/>
          </w:tcPr>
          <w:p w14:paraId="2F718C59" w14:textId="29A0972D" w:rsidR="00D11CAA" w:rsidRPr="00D11CAA" w:rsidRDefault="00C33303" w:rsidP="005F787B">
            <w:pPr>
              <w:spacing w:line="240" w:lineRule="auto"/>
              <w:jc w:val="center"/>
              <w:rPr>
                <w:rFonts w:cs="Calibri"/>
                <w:b/>
                <w:bCs/>
                <w:sz w:val="20"/>
                <w:szCs w:val="20"/>
                <w:lang w:eastAsia="fr-CA"/>
              </w:rPr>
            </w:pPr>
            <w:r>
              <w:rPr>
                <w:rFonts w:cs="Calibri"/>
                <w:b/>
                <w:bCs/>
                <w:color w:val="000000"/>
                <w:sz w:val="20"/>
                <w:szCs w:val="20"/>
                <w:lang w:eastAsia="fr-CA"/>
              </w:rPr>
              <w:t>Phas</w:t>
            </w:r>
            <w:r w:rsidRPr="00D11CAA">
              <w:rPr>
                <w:rFonts w:cs="Calibri"/>
                <w:b/>
                <w:bCs/>
                <w:color w:val="000000"/>
                <w:sz w:val="20"/>
                <w:szCs w:val="20"/>
                <w:lang w:eastAsia="fr-CA"/>
              </w:rPr>
              <w:t xml:space="preserve">e </w:t>
            </w:r>
            <w:r w:rsidR="00AA550E" w:rsidRPr="00D11CAA">
              <w:rPr>
                <w:rFonts w:cs="Calibri"/>
                <w:b/>
                <w:bCs/>
                <w:color w:val="000000"/>
                <w:sz w:val="20"/>
                <w:szCs w:val="20"/>
                <w:lang w:eastAsia="fr-CA"/>
              </w:rPr>
              <w:t>tarifaire</w:t>
            </w:r>
            <w:r w:rsidR="00AA550E">
              <w:rPr>
                <w:rStyle w:val="Appelnotedebasdep"/>
                <w:rFonts w:cs="Calibri"/>
                <w:bCs/>
                <w:color w:val="000000"/>
                <w:sz w:val="20"/>
                <w:szCs w:val="20"/>
                <w:lang w:eastAsia="fr-CA"/>
              </w:rPr>
              <w:footnoteReference w:id="13"/>
            </w:r>
          </w:p>
        </w:tc>
        <w:tc>
          <w:tcPr>
            <w:tcW w:w="567" w:type="pct"/>
            <w:tcBorders>
              <w:bottom w:val="dotted" w:sz="4" w:space="0" w:color="auto"/>
            </w:tcBorders>
            <w:shd w:val="clear" w:color="auto" w:fill="auto"/>
            <w:noWrap/>
            <w:vAlign w:val="center"/>
            <w:hideMark/>
          </w:tcPr>
          <w:p w14:paraId="322210E5" w14:textId="7EE868C9" w:rsidR="00D11CAA" w:rsidRPr="00D11CAA" w:rsidRDefault="00C33303" w:rsidP="005F787B">
            <w:pPr>
              <w:spacing w:line="240" w:lineRule="auto"/>
              <w:jc w:val="center"/>
              <w:rPr>
                <w:rFonts w:cs="Calibri"/>
                <w:b/>
                <w:bCs/>
                <w:sz w:val="20"/>
                <w:szCs w:val="20"/>
                <w:lang w:eastAsia="fr-CA"/>
              </w:rPr>
            </w:pPr>
            <w:r>
              <w:rPr>
                <w:rFonts w:cs="Calibri"/>
                <w:b/>
                <w:bCs/>
                <w:color w:val="000000"/>
                <w:sz w:val="20"/>
                <w:szCs w:val="20"/>
                <w:lang w:eastAsia="fr-CA"/>
              </w:rPr>
              <w:t>Phase d’a</w:t>
            </w:r>
            <w:r w:rsidR="00AA550E" w:rsidRPr="00D11CAA">
              <w:rPr>
                <w:rFonts w:cs="Calibri"/>
                <w:b/>
                <w:bCs/>
                <w:color w:val="000000"/>
                <w:sz w:val="20"/>
                <w:szCs w:val="20"/>
                <w:lang w:eastAsia="fr-CA"/>
              </w:rPr>
              <w:t>justement</w:t>
            </w:r>
            <w:r w:rsidR="00AA550E">
              <w:rPr>
                <w:rStyle w:val="Appelnotedebasdep"/>
                <w:rFonts w:cs="Calibri"/>
                <w:bCs/>
                <w:color w:val="000000"/>
                <w:sz w:val="20"/>
                <w:szCs w:val="20"/>
                <w:lang w:eastAsia="fr-CA"/>
              </w:rPr>
              <w:footnoteReference w:id="14"/>
            </w:r>
          </w:p>
        </w:tc>
      </w:tr>
      <w:tr w:rsidR="00DC782D" w14:paraId="0AE400D9" w14:textId="77777777" w:rsidTr="00B03AD1">
        <w:trPr>
          <w:trHeight w:val="270"/>
        </w:trPr>
        <w:tc>
          <w:tcPr>
            <w:tcW w:w="3947" w:type="pct"/>
            <w:tcBorders>
              <w:top w:val="dotted" w:sz="4" w:space="0" w:color="auto"/>
            </w:tcBorders>
            <w:shd w:val="clear" w:color="auto" w:fill="auto"/>
          </w:tcPr>
          <w:p w14:paraId="69B4A688" w14:textId="295263E4" w:rsidR="00D11CAA" w:rsidRPr="00257237" w:rsidRDefault="00AA550E" w:rsidP="005F787B">
            <w:pPr>
              <w:pStyle w:val="TitreS2"/>
              <w:numPr>
                <w:ilvl w:val="3"/>
                <w:numId w:val="8"/>
              </w:numPr>
              <w:spacing w:before="200" w:after="0"/>
              <w:ind w:left="567" w:hanging="567"/>
              <w:rPr>
                <w:rFonts w:eastAsia="Times New Roman" w:cs="Calibri"/>
                <w:b w:val="0"/>
                <w:sz w:val="24"/>
                <w:szCs w:val="24"/>
                <w:lang w:eastAsia="fr-CA"/>
              </w:rPr>
            </w:pPr>
            <w:r w:rsidRPr="00257237">
              <w:rPr>
                <w:rFonts w:cs="Calibri"/>
                <w:b w:val="0"/>
                <w:sz w:val="24"/>
                <w:szCs w:val="24"/>
                <w:lang w:eastAsia="fr-CA"/>
              </w:rPr>
              <w:t>Le contexte particulier dans lequel Gazifère évolue et comment elle rencontre les besoins en gaz naturel et en G</w:t>
            </w:r>
            <w:r w:rsidR="002A040A">
              <w:rPr>
                <w:rFonts w:cs="Calibri"/>
                <w:b w:val="0"/>
                <w:sz w:val="24"/>
                <w:szCs w:val="24"/>
                <w:lang w:eastAsia="fr-CA"/>
              </w:rPr>
              <w:t>S</w:t>
            </w:r>
            <w:r w:rsidRPr="00257237">
              <w:rPr>
                <w:rFonts w:cs="Calibri"/>
                <w:b w:val="0"/>
                <w:sz w:val="24"/>
                <w:szCs w:val="24"/>
                <w:lang w:eastAsia="fr-CA"/>
              </w:rPr>
              <w:t>R.</w:t>
            </w:r>
          </w:p>
        </w:tc>
        <w:tc>
          <w:tcPr>
            <w:tcW w:w="486" w:type="pct"/>
            <w:tcBorders>
              <w:top w:val="dotted" w:sz="4" w:space="0" w:color="auto"/>
            </w:tcBorders>
            <w:shd w:val="clear" w:color="auto" w:fill="auto"/>
            <w:vAlign w:val="center"/>
          </w:tcPr>
          <w:p w14:paraId="5265953C" w14:textId="1242CBA1"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c>
          <w:tcPr>
            <w:tcW w:w="567" w:type="pct"/>
            <w:tcBorders>
              <w:top w:val="dotted" w:sz="4" w:space="0" w:color="auto"/>
            </w:tcBorders>
            <w:shd w:val="clear" w:color="auto" w:fill="auto"/>
            <w:vAlign w:val="center"/>
          </w:tcPr>
          <w:p w14:paraId="1E1AF2DE" w14:textId="0C2BE8C6"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r>
      <w:tr w:rsidR="00DC782D" w14:paraId="25F3B81D" w14:textId="77777777" w:rsidTr="00B03AD1">
        <w:trPr>
          <w:trHeight w:val="270"/>
        </w:trPr>
        <w:tc>
          <w:tcPr>
            <w:tcW w:w="3947" w:type="pct"/>
            <w:shd w:val="clear" w:color="auto" w:fill="auto"/>
          </w:tcPr>
          <w:p w14:paraId="68014245" w14:textId="451B8940" w:rsidR="00D11CAA" w:rsidRPr="00257237" w:rsidRDefault="00AA550E" w:rsidP="00352626">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Les prévisions de demande de gaz naturel et de réduction de volumes provenant du Plan global en efficacité énergétique</w:t>
            </w:r>
            <w:r w:rsidR="00AA42C3">
              <w:rPr>
                <w:rFonts w:cs="Calibri"/>
                <w:b w:val="0"/>
                <w:sz w:val="24"/>
                <w:szCs w:val="24"/>
                <w:lang w:eastAsia="fr-CA"/>
              </w:rPr>
              <w:t xml:space="preserve"> (PGEÉ)</w:t>
            </w:r>
            <w:r w:rsidRPr="00257237">
              <w:rPr>
                <w:rFonts w:cs="Calibri"/>
                <w:b w:val="0"/>
                <w:sz w:val="24"/>
                <w:szCs w:val="24"/>
                <w:lang w:eastAsia="fr-CA"/>
              </w:rPr>
              <w:t>, sur un horizon d’au moins trois ans et ventilées par secteur de consommation.</w:t>
            </w:r>
          </w:p>
        </w:tc>
        <w:tc>
          <w:tcPr>
            <w:tcW w:w="486" w:type="pct"/>
            <w:shd w:val="clear" w:color="auto" w:fill="auto"/>
            <w:vAlign w:val="center"/>
          </w:tcPr>
          <w:p w14:paraId="13584F2C" w14:textId="5572E5E8"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c>
          <w:tcPr>
            <w:tcW w:w="567" w:type="pct"/>
            <w:shd w:val="clear" w:color="auto" w:fill="auto"/>
            <w:vAlign w:val="center"/>
          </w:tcPr>
          <w:p w14:paraId="3DE2195C" w14:textId="555D244C"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r>
      <w:tr w:rsidR="00DC782D" w14:paraId="100F03D0" w14:textId="77777777" w:rsidTr="00B03AD1">
        <w:trPr>
          <w:trHeight w:val="270"/>
        </w:trPr>
        <w:tc>
          <w:tcPr>
            <w:tcW w:w="3947" w:type="pct"/>
            <w:shd w:val="clear" w:color="auto" w:fill="auto"/>
          </w:tcPr>
          <w:p w14:paraId="11EAF446" w14:textId="77777777" w:rsidR="00D11CAA" w:rsidRPr="00257237"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cs="Calibri"/>
                <w:b w:val="0"/>
                <w:sz w:val="24"/>
                <w:szCs w:val="24"/>
                <w:lang w:eastAsia="fr-CA"/>
              </w:rPr>
              <w:t>Les fournisseurs des contrats d’approvisionnement gazier.</w:t>
            </w:r>
          </w:p>
        </w:tc>
        <w:tc>
          <w:tcPr>
            <w:tcW w:w="486" w:type="pct"/>
            <w:shd w:val="clear" w:color="auto" w:fill="auto"/>
            <w:vAlign w:val="center"/>
          </w:tcPr>
          <w:p w14:paraId="7DA9DCB2" w14:textId="35DFAA36"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c>
          <w:tcPr>
            <w:tcW w:w="567" w:type="pct"/>
            <w:shd w:val="clear" w:color="auto" w:fill="auto"/>
            <w:vAlign w:val="center"/>
          </w:tcPr>
          <w:p w14:paraId="78848C80" w14:textId="502B6659"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r>
      <w:tr w:rsidR="00DC782D" w14:paraId="7BE961FA" w14:textId="77777777" w:rsidTr="00B03AD1">
        <w:trPr>
          <w:trHeight w:val="270"/>
        </w:trPr>
        <w:tc>
          <w:tcPr>
            <w:tcW w:w="3947" w:type="pct"/>
            <w:shd w:val="clear" w:color="auto" w:fill="auto"/>
          </w:tcPr>
          <w:p w14:paraId="2B11F909" w14:textId="77777777" w:rsidR="00D11CAA" w:rsidRPr="00257237"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cs="Calibri"/>
                <w:b w:val="0"/>
                <w:sz w:val="24"/>
                <w:szCs w:val="24"/>
                <w:lang w:eastAsia="fr-CA"/>
              </w:rPr>
              <w:t>Les volumes livrés par Gazifère en service de transport.</w:t>
            </w:r>
          </w:p>
        </w:tc>
        <w:tc>
          <w:tcPr>
            <w:tcW w:w="486" w:type="pct"/>
            <w:shd w:val="clear" w:color="auto" w:fill="auto"/>
            <w:vAlign w:val="center"/>
          </w:tcPr>
          <w:p w14:paraId="6B8BAA21" w14:textId="6EBB9CC6"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c>
          <w:tcPr>
            <w:tcW w:w="567" w:type="pct"/>
            <w:shd w:val="clear" w:color="auto" w:fill="auto"/>
            <w:vAlign w:val="center"/>
          </w:tcPr>
          <w:p w14:paraId="680AA85A" w14:textId="22949024"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r>
      <w:tr w:rsidR="00DC782D" w14:paraId="4D6A4EAB" w14:textId="77777777" w:rsidTr="00B03AD1">
        <w:trPr>
          <w:trHeight w:val="270"/>
        </w:trPr>
        <w:tc>
          <w:tcPr>
            <w:tcW w:w="3947" w:type="pct"/>
            <w:shd w:val="clear" w:color="auto" w:fill="auto"/>
          </w:tcPr>
          <w:p w14:paraId="4360B97E" w14:textId="77777777" w:rsidR="00D11CAA" w:rsidRPr="00257237"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cs="Calibri"/>
                <w:b w:val="0"/>
                <w:sz w:val="24"/>
                <w:szCs w:val="24"/>
                <w:lang w:eastAsia="fr-CA"/>
              </w:rPr>
              <w:t>L’évolution du contexte gazier et du marché en amont des approvisionnements gaziers, conformément à la décision D</w:t>
            </w:r>
            <w:r w:rsidRPr="00257237">
              <w:rPr>
                <w:rFonts w:cs="Calibri"/>
                <w:b w:val="0"/>
                <w:sz w:val="24"/>
                <w:szCs w:val="24"/>
                <w:lang w:eastAsia="fr-CA"/>
              </w:rPr>
              <w:noBreakHyphen/>
              <w:t>2017</w:t>
            </w:r>
            <w:r w:rsidRPr="00257237">
              <w:rPr>
                <w:rFonts w:cs="Calibri"/>
                <w:b w:val="0"/>
                <w:sz w:val="24"/>
                <w:szCs w:val="24"/>
                <w:lang w:eastAsia="fr-CA"/>
              </w:rPr>
              <w:noBreakHyphen/>
              <w:t>028</w:t>
            </w:r>
            <w:r>
              <w:rPr>
                <w:rStyle w:val="Appelnotedebasdep"/>
                <w:rFonts w:cs="Calibri"/>
                <w:b w:val="0"/>
                <w:sz w:val="24"/>
                <w:szCs w:val="24"/>
                <w:lang w:eastAsia="fr-CA"/>
              </w:rPr>
              <w:footnoteReference w:id="15"/>
            </w:r>
            <w:r w:rsidRPr="00257237">
              <w:rPr>
                <w:rFonts w:cs="Calibri"/>
                <w:b w:val="0"/>
                <w:sz w:val="24"/>
                <w:szCs w:val="24"/>
                <w:lang w:eastAsia="fr-CA"/>
              </w:rPr>
              <w:t>.</w:t>
            </w:r>
          </w:p>
        </w:tc>
        <w:tc>
          <w:tcPr>
            <w:tcW w:w="486" w:type="pct"/>
            <w:shd w:val="clear" w:color="auto" w:fill="auto"/>
            <w:vAlign w:val="center"/>
          </w:tcPr>
          <w:p w14:paraId="70B8F268" w14:textId="679865F8"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c>
          <w:tcPr>
            <w:tcW w:w="567" w:type="pct"/>
            <w:shd w:val="clear" w:color="auto" w:fill="auto"/>
            <w:vAlign w:val="center"/>
          </w:tcPr>
          <w:p w14:paraId="0238859B" w14:textId="1EE05129" w:rsidR="00D11CAA" w:rsidRPr="00257237" w:rsidRDefault="00B03AD1" w:rsidP="005F787B">
            <w:pPr>
              <w:jc w:val="center"/>
              <w:rPr>
                <w:rFonts w:cs="Calibri"/>
                <w:color w:val="000000"/>
                <w:szCs w:val="24"/>
                <w:lang w:eastAsia="fr-CA"/>
              </w:rPr>
            </w:pPr>
            <w:r w:rsidRPr="00257237">
              <w:rPr>
                <w:rFonts w:cs="Calibri"/>
                <w:color w:val="000000"/>
                <w:szCs w:val="24"/>
                <w:lang w:eastAsia="fr-CA"/>
              </w:rPr>
              <w:t>X</w:t>
            </w:r>
          </w:p>
        </w:tc>
      </w:tr>
      <w:tr w:rsidR="00DC782D" w14:paraId="6497DD75" w14:textId="77777777" w:rsidTr="00B03AD1">
        <w:trPr>
          <w:trHeight w:val="270"/>
        </w:trPr>
        <w:tc>
          <w:tcPr>
            <w:tcW w:w="3947" w:type="pct"/>
            <w:shd w:val="clear" w:color="auto" w:fill="auto"/>
          </w:tcPr>
          <w:p w14:paraId="0258DB48" w14:textId="2B99B960" w:rsidR="00D11CAA" w:rsidRPr="00257237" w:rsidRDefault="00AA550E" w:rsidP="00165D7F">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La quantité de G</w:t>
            </w:r>
            <w:r w:rsidR="002A040A">
              <w:rPr>
                <w:rFonts w:cs="Calibri"/>
                <w:b w:val="0"/>
                <w:sz w:val="24"/>
                <w:szCs w:val="24"/>
                <w:lang w:eastAsia="fr-CA"/>
              </w:rPr>
              <w:t>S</w:t>
            </w:r>
            <w:r w:rsidRPr="00257237">
              <w:rPr>
                <w:rFonts w:cs="Calibri"/>
                <w:b w:val="0"/>
                <w:sz w:val="24"/>
                <w:szCs w:val="24"/>
                <w:lang w:eastAsia="fr-CA"/>
              </w:rPr>
              <w:t xml:space="preserve">R devant être livrée par Gazifère </w:t>
            </w:r>
            <w:r w:rsidRPr="00AB0E3E">
              <w:rPr>
                <w:rFonts w:cs="Calibri"/>
                <w:b w:val="0"/>
                <w:sz w:val="24"/>
                <w:szCs w:val="24"/>
                <w:lang w:eastAsia="fr-CA"/>
              </w:rPr>
              <w:t xml:space="preserve">selon </w:t>
            </w:r>
            <w:r w:rsidRPr="004E6445">
              <w:rPr>
                <w:rFonts w:cs="Calibri"/>
                <w:b w:val="0"/>
                <w:sz w:val="24"/>
                <w:szCs w:val="24"/>
                <w:lang w:eastAsia="fr-CA"/>
              </w:rPr>
              <w:t xml:space="preserve">le </w:t>
            </w:r>
            <w:r w:rsidR="004E6445" w:rsidRPr="005A1244">
              <w:rPr>
                <w:rFonts w:cs="Calibri"/>
                <w:b w:val="0"/>
                <w:i/>
                <w:sz w:val="24"/>
                <w:szCs w:val="24"/>
                <w:lang w:eastAsia="fr-CA"/>
              </w:rPr>
              <w:t>Règlement GSR</w:t>
            </w:r>
            <w:r w:rsidRPr="00257237">
              <w:rPr>
                <w:rFonts w:cs="Calibri"/>
                <w:b w:val="0"/>
                <w:sz w:val="24"/>
                <w:szCs w:val="24"/>
                <w:lang w:eastAsia="fr-CA"/>
              </w:rPr>
              <w:t>.</w:t>
            </w:r>
            <w:r w:rsidR="00971F85">
              <w:rPr>
                <w:rFonts w:cs="Calibri"/>
                <w:b w:val="0"/>
                <w:sz w:val="24"/>
                <w:szCs w:val="24"/>
                <w:lang w:eastAsia="fr-CA"/>
              </w:rPr>
              <w:t xml:space="preserve"> Le cas échéant, fournir</w:t>
            </w:r>
            <w:r w:rsidR="00971F85" w:rsidRPr="00971F85">
              <w:rPr>
                <w:rFonts w:cs="Calibri"/>
                <w:b w:val="0"/>
                <w:sz w:val="24"/>
                <w:szCs w:val="24"/>
                <w:lang w:eastAsia="fr-CA"/>
              </w:rPr>
              <w:t xml:space="preserve"> </w:t>
            </w:r>
            <w:r w:rsidR="00971F85">
              <w:rPr>
                <w:rFonts w:cs="Calibri"/>
                <w:b w:val="0"/>
                <w:sz w:val="24"/>
                <w:szCs w:val="24"/>
                <w:lang w:eastAsia="fr-CA"/>
              </w:rPr>
              <w:t xml:space="preserve">une </w:t>
            </w:r>
            <w:r w:rsidR="00971F85" w:rsidRPr="00971F85">
              <w:rPr>
                <w:rFonts w:cs="Calibri"/>
                <w:b w:val="0"/>
                <w:sz w:val="24"/>
                <w:szCs w:val="24"/>
                <w:lang w:eastAsia="fr-CA"/>
              </w:rPr>
              <w:t xml:space="preserve">prévision </w:t>
            </w:r>
            <w:r w:rsidR="00971F85">
              <w:rPr>
                <w:rFonts w:cs="Calibri"/>
                <w:b w:val="0"/>
                <w:sz w:val="24"/>
                <w:szCs w:val="24"/>
                <w:lang w:eastAsia="fr-CA"/>
              </w:rPr>
              <w:t xml:space="preserve">à plus </w:t>
            </w:r>
            <w:r w:rsidR="00971F85" w:rsidRPr="00971F85">
              <w:rPr>
                <w:rFonts w:cs="Calibri"/>
                <w:b w:val="0"/>
                <w:sz w:val="24"/>
                <w:szCs w:val="24"/>
                <w:lang w:eastAsia="fr-CA"/>
              </w:rPr>
              <w:t xml:space="preserve">haut niveau pour les années </w:t>
            </w:r>
            <w:r w:rsidR="00971F85">
              <w:rPr>
                <w:rFonts w:cs="Calibri"/>
                <w:b w:val="0"/>
                <w:sz w:val="24"/>
                <w:szCs w:val="24"/>
                <w:lang w:eastAsia="fr-CA"/>
              </w:rPr>
              <w:t>2 et 3 et une mise à jour annuellement par la suite</w:t>
            </w:r>
            <w:r w:rsidR="00971F85" w:rsidRPr="00971F85">
              <w:rPr>
                <w:rFonts w:cs="Calibri"/>
                <w:b w:val="0"/>
                <w:sz w:val="24"/>
                <w:szCs w:val="24"/>
                <w:lang w:eastAsia="fr-CA"/>
              </w:rPr>
              <w:t>.</w:t>
            </w:r>
          </w:p>
        </w:tc>
        <w:tc>
          <w:tcPr>
            <w:tcW w:w="486" w:type="pct"/>
            <w:shd w:val="clear" w:color="auto" w:fill="auto"/>
            <w:vAlign w:val="center"/>
          </w:tcPr>
          <w:p w14:paraId="25E10584" w14:textId="07742DBA" w:rsidR="00D11CAA" w:rsidRPr="00257237" w:rsidRDefault="00B03AD1" w:rsidP="005F787B">
            <w:pPr>
              <w:jc w:val="center"/>
              <w:rPr>
                <w:rFonts w:cs="Calibri"/>
                <w:szCs w:val="24"/>
                <w:lang w:eastAsia="fr-CA"/>
              </w:rPr>
            </w:pPr>
            <w:r>
              <w:rPr>
                <w:rFonts w:cs="Calibri"/>
                <w:szCs w:val="24"/>
                <w:lang w:eastAsia="fr-CA"/>
              </w:rPr>
              <w:t>X</w:t>
            </w:r>
          </w:p>
        </w:tc>
        <w:tc>
          <w:tcPr>
            <w:tcW w:w="567" w:type="pct"/>
            <w:shd w:val="clear" w:color="auto" w:fill="auto"/>
            <w:vAlign w:val="center"/>
          </w:tcPr>
          <w:p w14:paraId="449D60D0" w14:textId="33DA19D5" w:rsidR="00D11CAA" w:rsidRPr="00257237" w:rsidRDefault="00B03AD1" w:rsidP="005F787B">
            <w:pPr>
              <w:jc w:val="center"/>
              <w:rPr>
                <w:rFonts w:cs="Calibri"/>
                <w:szCs w:val="24"/>
                <w:lang w:eastAsia="fr-CA"/>
              </w:rPr>
            </w:pPr>
            <w:r>
              <w:rPr>
                <w:rFonts w:cs="Calibri"/>
                <w:szCs w:val="24"/>
                <w:lang w:eastAsia="fr-CA"/>
              </w:rPr>
              <w:t>X</w:t>
            </w:r>
          </w:p>
        </w:tc>
      </w:tr>
      <w:tr w:rsidR="00DC782D" w14:paraId="51A21305" w14:textId="77777777" w:rsidTr="00B03AD1">
        <w:trPr>
          <w:trHeight w:val="270"/>
        </w:trPr>
        <w:tc>
          <w:tcPr>
            <w:tcW w:w="3947" w:type="pct"/>
            <w:shd w:val="clear" w:color="auto" w:fill="auto"/>
          </w:tcPr>
          <w:p w14:paraId="3117BFCD" w14:textId="10E30A1D" w:rsidR="00D11CAA" w:rsidRPr="00257237" w:rsidRDefault="00AA550E" w:rsidP="00352626">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Les caractéristiques des contrats d’approvisionnement en G</w:t>
            </w:r>
            <w:r w:rsidR="004E6445">
              <w:rPr>
                <w:rFonts w:cs="Calibri"/>
                <w:b w:val="0"/>
                <w:sz w:val="24"/>
                <w:szCs w:val="24"/>
                <w:lang w:eastAsia="fr-CA"/>
              </w:rPr>
              <w:t>S</w:t>
            </w:r>
            <w:r w:rsidRPr="00257237">
              <w:rPr>
                <w:rFonts w:cs="Calibri"/>
                <w:b w:val="0"/>
                <w:sz w:val="24"/>
                <w:szCs w:val="24"/>
                <w:lang w:eastAsia="fr-CA"/>
              </w:rPr>
              <w:t>R par fournisseur et transporteur prévus à l’horizon du plan d’approvisionnement :</w:t>
            </w:r>
          </w:p>
          <w:p w14:paraId="7725DD55"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t>Volumes annuels;</w:t>
            </w:r>
          </w:p>
          <w:p w14:paraId="02A8F91F"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t>Débits quotidiens;</w:t>
            </w:r>
          </w:p>
          <w:p w14:paraId="2769DBD3"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t>Répartition en pourcentage sur le volume d’achat annuel en fourniture de gaz naturel, prix et services inclus;</w:t>
            </w:r>
          </w:p>
          <w:p w14:paraId="23230506"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lastRenderedPageBreak/>
              <w:t>Détails des composantes du prix;</w:t>
            </w:r>
          </w:p>
          <w:p w14:paraId="118479B8"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t>Période de début et de fin des contrats d’achat;</w:t>
            </w:r>
          </w:p>
          <w:p w14:paraId="223E46B6" w14:textId="77777777" w:rsidR="00D11CAA" w:rsidRPr="00257237" w:rsidRDefault="00AA550E" w:rsidP="00352626">
            <w:pPr>
              <w:pStyle w:val="Paragraphedeliste"/>
              <w:numPr>
                <w:ilvl w:val="0"/>
                <w:numId w:val="14"/>
              </w:numPr>
              <w:spacing w:after="60"/>
              <w:ind w:left="815" w:right="113" w:hanging="284"/>
              <w:jc w:val="both"/>
              <w:rPr>
                <w:rFonts w:cs="Calibri"/>
                <w:sz w:val="24"/>
                <w:szCs w:val="24"/>
                <w:lang w:eastAsia="fr-CA"/>
              </w:rPr>
            </w:pPr>
            <w:r w:rsidRPr="00257237">
              <w:rPr>
                <w:rFonts w:cs="Calibri"/>
                <w:sz w:val="24"/>
                <w:szCs w:val="24"/>
                <w:lang w:eastAsia="fr-CA"/>
              </w:rPr>
              <w:t>Point de livraison.</w:t>
            </w:r>
          </w:p>
        </w:tc>
        <w:tc>
          <w:tcPr>
            <w:tcW w:w="486" w:type="pct"/>
            <w:shd w:val="clear" w:color="auto" w:fill="auto"/>
            <w:vAlign w:val="center"/>
          </w:tcPr>
          <w:p w14:paraId="4A2B76CE" w14:textId="0E63BD05" w:rsidR="00D11CAA" w:rsidRPr="0092143D" w:rsidRDefault="005250C8" w:rsidP="005250C8">
            <w:pPr>
              <w:jc w:val="center"/>
              <w:rPr>
                <w:rFonts w:cs="Calibri"/>
                <w:szCs w:val="24"/>
                <w:vertAlign w:val="superscript"/>
                <w:lang w:eastAsia="fr-CA"/>
              </w:rPr>
            </w:pPr>
            <w:r>
              <w:rPr>
                <w:rFonts w:cs="Calibri"/>
                <w:szCs w:val="24"/>
                <w:lang w:eastAsia="fr-CA"/>
              </w:rPr>
              <w:lastRenderedPageBreak/>
              <w:t>X</w:t>
            </w:r>
            <w:r w:rsidR="008E2109">
              <w:rPr>
                <w:rFonts w:cs="Calibri"/>
                <w:szCs w:val="24"/>
                <w:vertAlign w:val="superscript"/>
                <w:lang w:eastAsia="fr-CA"/>
              </w:rPr>
              <w:t>10</w:t>
            </w:r>
          </w:p>
        </w:tc>
        <w:tc>
          <w:tcPr>
            <w:tcW w:w="567" w:type="pct"/>
            <w:shd w:val="clear" w:color="auto" w:fill="auto"/>
            <w:vAlign w:val="center"/>
          </w:tcPr>
          <w:p w14:paraId="007989A4" w14:textId="5C59A3E7" w:rsidR="00D11CAA" w:rsidRPr="0092143D" w:rsidRDefault="005250C8" w:rsidP="005250C8">
            <w:pPr>
              <w:jc w:val="center"/>
              <w:rPr>
                <w:rFonts w:cs="Calibri"/>
                <w:szCs w:val="24"/>
                <w:vertAlign w:val="superscript"/>
                <w:lang w:eastAsia="fr-CA"/>
              </w:rPr>
            </w:pPr>
            <w:r>
              <w:rPr>
                <w:rFonts w:cs="Calibri"/>
                <w:szCs w:val="24"/>
                <w:lang w:eastAsia="fr-CA"/>
              </w:rPr>
              <w:t>X</w:t>
            </w:r>
            <w:r w:rsidR="008E2109">
              <w:rPr>
                <w:rFonts w:cs="Calibri"/>
                <w:szCs w:val="24"/>
                <w:vertAlign w:val="superscript"/>
                <w:lang w:eastAsia="fr-CA"/>
              </w:rPr>
              <w:t>10</w:t>
            </w:r>
          </w:p>
        </w:tc>
      </w:tr>
      <w:tr w:rsidR="00DC782D" w14:paraId="21BD4EB8" w14:textId="77777777" w:rsidTr="00B03AD1">
        <w:trPr>
          <w:trHeight w:val="270"/>
        </w:trPr>
        <w:tc>
          <w:tcPr>
            <w:tcW w:w="3947" w:type="pct"/>
            <w:shd w:val="clear" w:color="auto" w:fill="auto"/>
          </w:tcPr>
          <w:p w14:paraId="51C09ABB" w14:textId="27BC1414" w:rsidR="00D11CAA" w:rsidRPr="00257237" w:rsidRDefault="00AA550E" w:rsidP="002A040A">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 xml:space="preserve">Les </w:t>
            </w:r>
            <w:r w:rsidRPr="00257237">
              <w:rPr>
                <w:rFonts w:cs="Calibri"/>
                <w:b w:val="0"/>
                <w:bCs w:val="0"/>
                <w:sz w:val="24"/>
                <w:szCs w:val="24"/>
                <w:lang w:eastAsia="fr-CA"/>
              </w:rPr>
              <w:t>démarches effectuées pour déterminer la stratégie d’approvisionnement en G</w:t>
            </w:r>
            <w:r w:rsidR="002A040A">
              <w:rPr>
                <w:rFonts w:cs="Calibri"/>
                <w:b w:val="0"/>
                <w:bCs w:val="0"/>
                <w:sz w:val="24"/>
                <w:szCs w:val="24"/>
                <w:lang w:eastAsia="fr-CA"/>
              </w:rPr>
              <w:t>S</w:t>
            </w:r>
            <w:r w:rsidRPr="00257237">
              <w:rPr>
                <w:rFonts w:cs="Calibri"/>
                <w:b w:val="0"/>
                <w:bCs w:val="0"/>
                <w:sz w:val="24"/>
                <w:szCs w:val="24"/>
                <w:lang w:eastAsia="fr-CA"/>
              </w:rPr>
              <w:t>R.</w:t>
            </w:r>
          </w:p>
        </w:tc>
        <w:tc>
          <w:tcPr>
            <w:tcW w:w="486" w:type="pct"/>
            <w:shd w:val="clear" w:color="auto" w:fill="auto"/>
            <w:vAlign w:val="center"/>
          </w:tcPr>
          <w:p w14:paraId="64FCDD29" w14:textId="3545B939" w:rsidR="00D11CAA" w:rsidRPr="00257237" w:rsidRDefault="00B03AD1" w:rsidP="005F787B">
            <w:pPr>
              <w:jc w:val="center"/>
              <w:rPr>
                <w:rFonts w:cs="Calibri"/>
                <w:szCs w:val="24"/>
                <w:lang w:eastAsia="fr-CA"/>
              </w:rPr>
            </w:pPr>
            <w:r>
              <w:rPr>
                <w:rFonts w:cs="Calibri"/>
                <w:szCs w:val="24"/>
                <w:lang w:eastAsia="fr-CA"/>
              </w:rPr>
              <w:t>X</w:t>
            </w:r>
          </w:p>
        </w:tc>
        <w:tc>
          <w:tcPr>
            <w:tcW w:w="567" w:type="pct"/>
            <w:shd w:val="clear" w:color="auto" w:fill="auto"/>
            <w:vAlign w:val="center"/>
          </w:tcPr>
          <w:p w14:paraId="53BD56F1" w14:textId="6F9A297E" w:rsidR="00D11CAA" w:rsidRPr="00257237" w:rsidRDefault="00B03AD1" w:rsidP="005F787B">
            <w:pPr>
              <w:jc w:val="center"/>
              <w:rPr>
                <w:rFonts w:cs="Calibri"/>
                <w:szCs w:val="24"/>
                <w:lang w:eastAsia="fr-CA"/>
              </w:rPr>
            </w:pPr>
            <w:r>
              <w:rPr>
                <w:rFonts w:cs="Calibri"/>
                <w:szCs w:val="24"/>
                <w:lang w:eastAsia="fr-CA"/>
              </w:rPr>
              <w:t>X</w:t>
            </w:r>
          </w:p>
        </w:tc>
      </w:tr>
      <w:tr w:rsidR="00DC782D" w14:paraId="4B275BEE" w14:textId="77777777" w:rsidTr="00B03AD1">
        <w:trPr>
          <w:trHeight w:val="270"/>
        </w:trPr>
        <w:tc>
          <w:tcPr>
            <w:tcW w:w="3947" w:type="pct"/>
            <w:shd w:val="clear" w:color="auto" w:fill="auto"/>
          </w:tcPr>
          <w:p w14:paraId="7681A349" w14:textId="0D48BC19" w:rsidR="00D11CAA" w:rsidRPr="00257237" w:rsidRDefault="00AA550E" w:rsidP="00352626">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L’impact tarifaire, globalement et par palier tarifaire, découlant de chaque contrat d’approvisionnement en G</w:t>
            </w:r>
            <w:r w:rsidR="004E6445">
              <w:rPr>
                <w:rFonts w:cs="Calibri"/>
                <w:b w:val="0"/>
                <w:sz w:val="24"/>
                <w:szCs w:val="24"/>
                <w:lang w:eastAsia="fr-CA"/>
              </w:rPr>
              <w:t>S</w:t>
            </w:r>
            <w:r w:rsidRPr="00257237">
              <w:rPr>
                <w:rFonts w:cs="Calibri"/>
                <w:b w:val="0"/>
                <w:sz w:val="24"/>
                <w:szCs w:val="24"/>
                <w:lang w:eastAsia="fr-CA"/>
              </w:rPr>
              <w:t>R, en intégrant les coûts évités.</w:t>
            </w:r>
          </w:p>
        </w:tc>
        <w:tc>
          <w:tcPr>
            <w:tcW w:w="486" w:type="pct"/>
            <w:shd w:val="clear" w:color="auto" w:fill="auto"/>
            <w:vAlign w:val="center"/>
          </w:tcPr>
          <w:p w14:paraId="66621B6E" w14:textId="08F0D111" w:rsidR="00D11CAA" w:rsidRPr="00257237" w:rsidRDefault="00B03AD1" w:rsidP="000513FE">
            <w:pPr>
              <w:jc w:val="center"/>
              <w:rPr>
                <w:rFonts w:cs="Calibri"/>
                <w:szCs w:val="24"/>
                <w:lang w:eastAsia="fr-CA"/>
              </w:rPr>
            </w:pPr>
            <w:r>
              <w:rPr>
                <w:rFonts w:cs="Calibri"/>
                <w:szCs w:val="24"/>
                <w:lang w:eastAsia="fr-CA"/>
              </w:rPr>
              <w:t>X</w:t>
            </w:r>
            <w:r>
              <w:rPr>
                <w:rStyle w:val="Appelnotedebasdep"/>
                <w:rFonts w:cs="Calibri"/>
                <w:szCs w:val="24"/>
                <w:lang w:eastAsia="fr-CA"/>
              </w:rPr>
              <w:footnoteReference w:id="16"/>
            </w:r>
          </w:p>
        </w:tc>
        <w:tc>
          <w:tcPr>
            <w:tcW w:w="567" w:type="pct"/>
            <w:shd w:val="clear" w:color="auto" w:fill="auto"/>
            <w:vAlign w:val="center"/>
          </w:tcPr>
          <w:p w14:paraId="5CC34B29" w14:textId="6D9E0051" w:rsidR="00D11CAA" w:rsidRPr="006A2DE4" w:rsidRDefault="00B03AD1" w:rsidP="005250C8">
            <w:pPr>
              <w:jc w:val="center"/>
              <w:rPr>
                <w:rFonts w:cs="Calibri"/>
                <w:szCs w:val="24"/>
                <w:vertAlign w:val="superscript"/>
                <w:lang w:eastAsia="fr-CA"/>
              </w:rPr>
            </w:pPr>
            <w:r>
              <w:rPr>
                <w:rFonts w:cs="Calibri"/>
                <w:szCs w:val="24"/>
                <w:lang w:eastAsia="fr-CA"/>
              </w:rPr>
              <w:t>X</w:t>
            </w:r>
            <w:r w:rsidR="008E2109">
              <w:rPr>
                <w:rFonts w:cs="Calibri"/>
                <w:szCs w:val="24"/>
                <w:vertAlign w:val="superscript"/>
                <w:lang w:eastAsia="fr-CA"/>
              </w:rPr>
              <w:t>15</w:t>
            </w:r>
          </w:p>
        </w:tc>
      </w:tr>
      <w:tr w:rsidR="00DC782D" w14:paraId="69E762E3" w14:textId="77777777" w:rsidTr="00B03AD1">
        <w:trPr>
          <w:trHeight w:val="270"/>
        </w:trPr>
        <w:tc>
          <w:tcPr>
            <w:tcW w:w="3947" w:type="pct"/>
            <w:shd w:val="clear" w:color="auto" w:fill="auto"/>
          </w:tcPr>
          <w:p w14:paraId="3FFE92DA" w14:textId="1AE3E197" w:rsidR="00D11CAA" w:rsidRPr="00257237" w:rsidRDefault="00AA550E" w:rsidP="00352626">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Les cavaliers tarifaires en lien avec le G</w:t>
            </w:r>
            <w:r w:rsidR="004E6445">
              <w:rPr>
                <w:rFonts w:cs="Calibri"/>
                <w:b w:val="0"/>
                <w:sz w:val="24"/>
                <w:szCs w:val="24"/>
                <w:lang w:eastAsia="fr-CA"/>
              </w:rPr>
              <w:t>S</w:t>
            </w:r>
            <w:r w:rsidRPr="00257237">
              <w:rPr>
                <w:rFonts w:cs="Calibri"/>
                <w:b w:val="0"/>
                <w:sz w:val="24"/>
                <w:szCs w:val="24"/>
                <w:lang w:eastAsia="fr-CA"/>
              </w:rPr>
              <w:t>R.</w:t>
            </w:r>
          </w:p>
        </w:tc>
        <w:tc>
          <w:tcPr>
            <w:tcW w:w="486" w:type="pct"/>
            <w:shd w:val="clear" w:color="auto" w:fill="auto"/>
            <w:vAlign w:val="center"/>
          </w:tcPr>
          <w:p w14:paraId="2454836C" w14:textId="76731AFB" w:rsidR="00D11CAA" w:rsidRPr="0092143D" w:rsidRDefault="005250C8" w:rsidP="005250C8">
            <w:pPr>
              <w:jc w:val="center"/>
              <w:rPr>
                <w:rFonts w:cs="Calibri"/>
                <w:szCs w:val="24"/>
                <w:vertAlign w:val="superscript"/>
                <w:lang w:eastAsia="fr-CA"/>
              </w:rPr>
            </w:pPr>
            <w:r>
              <w:rPr>
                <w:rFonts w:cs="Calibri"/>
                <w:szCs w:val="24"/>
                <w:lang w:eastAsia="fr-CA"/>
              </w:rPr>
              <w:t>X</w:t>
            </w:r>
            <w:r w:rsidR="008E2109">
              <w:rPr>
                <w:rFonts w:cs="Calibri"/>
                <w:szCs w:val="24"/>
                <w:vertAlign w:val="superscript"/>
                <w:lang w:eastAsia="fr-CA"/>
              </w:rPr>
              <w:t>10</w:t>
            </w:r>
          </w:p>
        </w:tc>
        <w:tc>
          <w:tcPr>
            <w:tcW w:w="567" w:type="pct"/>
            <w:shd w:val="clear" w:color="auto" w:fill="auto"/>
            <w:vAlign w:val="center"/>
          </w:tcPr>
          <w:p w14:paraId="594291FC" w14:textId="62894BBE" w:rsidR="00D11CAA" w:rsidRPr="0092143D" w:rsidRDefault="005250C8" w:rsidP="005250C8">
            <w:pPr>
              <w:jc w:val="center"/>
              <w:rPr>
                <w:rFonts w:cs="Calibri"/>
                <w:szCs w:val="24"/>
                <w:vertAlign w:val="superscript"/>
                <w:lang w:eastAsia="fr-CA"/>
              </w:rPr>
            </w:pPr>
            <w:r>
              <w:rPr>
                <w:rFonts w:cs="Calibri"/>
                <w:szCs w:val="24"/>
                <w:lang w:eastAsia="fr-CA"/>
              </w:rPr>
              <w:t>X</w:t>
            </w:r>
            <w:r w:rsidR="008E2109">
              <w:rPr>
                <w:rFonts w:cs="Calibri"/>
                <w:szCs w:val="24"/>
                <w:vertAlign w:val="superscript"/>
                <w:lang w:eastAsia="fr-CA"/>
              </w:rPr>
              <w:t>10</w:t>
            </w:r>
          </w:p>
        </w:tc>
      </w:tr>
    </w:tbl>
    <w:p w14:paraId="6CC97F58" w14:textId="498D6B02" w:rsidR="006A4F12" w:rsidRDefault="006A4F12" w:rsidP="00352626">
      <w:pPr>
        <w:spacing w:line="240" w:lineRule="auto"/>
        <w:rPr>
          <w:rFonts w:cs="Calibri"/>
          <w:bCs/>
          <w:smallCaps/>
          <w:szCs w:val="28"/>
        </w:rPr>
      </w:pPr>
    </w:p>
    <w:p w14:paraId="514EF53B" w14:textId="77777777" w:rsidR="00677119" w:rsidRPr="00257237" w:rsidRDefault="00677119" w:rsidP="00352626">
      <w:pPr>
        <w:spacing w:line="240" w:lineRule="auto"/>
        <w:rPr>
          <w:rFonts w:cs="Calibri"/>
          <w:bCs/>
          <w:smallCaps/>
          <w:szCs w:val="28"/>
        </w:rPr>
      </w:pPr>
    </w:p>
    <w:p w14:paraId="43E279D7" w14:textId="03123C3D" w:rsidR="00DE3724" w:rsidRPr="009C797D" w:rsidRDefault="00AA550E" w:rsidP="00352626">
      <w:pPr>
        <w:pStyle w:val="Titre1"/>
        <w:rPr>
          <w:rFonts w:cs="Calibri"/>
        </w:rPr>
      </w:pPr>
      <w:bookmarkStart w:id="22" w:name="_Toc124329922"/>
      <w:r>
        <w:rPr>
          <w:rFonts w:cs="Calibri"/>
        </w:rPr>
        <w:t>Informations spécifiques en lien avec la f</w:t>
      </w:r>
      <w:r w:rsidRPr="009C797D">
        <w:rPr>
          <w:rFonts w:cs="Calibri"/>
        </w:rPr>
        <w:t xml:space="preserve">ixation ou modification </w:t>
      </w:r>
      <w:r>
        <w:rPr>
          <w:rFonts w:cs="Calibri"/>
        </w:rPr>
        <w:t xml:space="preserve">des </w:t>
      </w:r>
      <w:r w:rsidRPr="009C797D">
        <w:rPr>
          <w:rFonts w:cs="Calibri"/>
        </w:rPr>
        <w:t>tarif</w:t>
      </w:r>
      <w:r>
        <w:rPr>
          <w:rFonts w:cs="Calibri"/>
        </w:rPr>
        <w:t>s et des conditions de service</w:t>
      </w:r>
      <w:bookmarkEnd w:id="22"/>
      <w:r>
        <w:rPr>
          <w:rFonts w:cs="Calibri"/>
        </w:rPr>
        <w:t xml:space="preserve"> </w:t>
      </w:r>
    </w:p>
    <w:p w14:paraId="6268F82F" w14:textId="77777777" w:rsidR="00CD2D87" w:rsidRDefault="00CD2D87" w:rsidP="00352626">
      <w:pPr>
        <w:rPr>
          <w:rFonts w:cs="Calibri"/>
          <w:b/>
        </w:rPr>
      </w:pPr>
    </w:p>
    <w:p w14:paraId="7005FD0F" w14:textId="77777777" w:rsidR="00DE3724" w:rsidRPr="009C797D" w:rsidRDefault="00AA550E" w:rsidP="00352626">
      <w:pPr>
        <w:shd w:val="clear" w:color="auto" w:fill="BDD6EE" w:themeFill="accent1" w:themeFillTint="66"/>
        <w:rPr>
          <w:rStyle w:val="label-section1"/>
          <w:rFonts w:ascii="Calibri" w:hAnsi="Calibri" w:cs="Calibri"/>
          <w:color w:val="0070C0"/>
          <w:sz w:val="26"/>
          <w:szCs w:val="26"/>
        </w:rPr>
      </w:pPr>
      <w:r w:rsidRPr="009C797D">
        <w:rPr>
          <w:rFonts w:cs="Calibri"/>
          <w:b/>
          <w:color w:val="0070C0"/>
          <w:lang w:val="fr-FR"/>
        </w:rPr>
        <w:t xml:space="preserve">Articles </w:t>
      </w:r>
      <w:r w:rsidRPr="009C797D">
        <w:rPr>
          <w:rStyle w:val="label-section1"/>
          <w:rFonts w:ascii="Calibri" w:hAnsi="Calibri" w:cs="Calibri"/>
          <w:color w:val="0070C0"/>
          <w:sz w:val="26"/>
          <w:szCs w:val="26"/>
          <w:lang w:val="fr-FR"/>
        </w:rPr>
        <w:t>31 (1°) (5°), 32, 34,</w:t>
      </w:r>
      <w:r w:rsidRPr="009C797D">
        <w:rPr>
          <w:rStyle w:val="label-section1"/>
          <w:rFonts w:ascii="Calibri" w:hAnsi="Calibri" w:cs="Calibri"/>
          <w:color w:val="0070C0"/>
          <w:sz w:val="26"/>
          <w:szCs w:val="26"/>
        </w:rPr>
        <w:t xml:space="preserve"> </w:t>
      </w:r>
      <w:r w:rsidRPr="009C797D">
        <w:rPr>
          <w:rStyle w:val="label-section1"/>
          <w:rFonts w:ascii="Calibri" w:hAnsi="Calibri" w:cs="Calibri"/>
          <w:color w:val="0070C0"/>
          <w:sz w:val="26"/>
          <w:szCs w:val="26"/>
          <w:lang w:val="fr-FR"/>
        </w:rPr>
        <w:t>48, 49</w:t>
      </w:r>
      <w:r w:rsidRPr="009C797D">
        <w:rPr>
          <w:rStyle w:val="label-section1"/>
          <w:rFonts w:ascii="Calibri" w:hAnsi="Calibri" w:cs="Calibri"/>
          <w:color w:val="0070C0"/>
          <w:sz w:val="26"/>
          <w:szCs w:val="26"/>
        </w:rPr>
        <w:t xml:space="preserve"> et </w:t>
      </w:r>
      <w:r w:rsidRPr="009C797D">
        <w:rPr>
          <w:rStyle w:val="label-section1"/>
          <w:rFonts w:ascii="Calibri" w:hAnsi="Calibri" w:cs="Calibri"/>
          <w:color w:val="0070C0"/>
          <w:sz w:val="26"/>
          <w:szCs w:val="26"/>
          <w:lang w:val="fr-FR"/>
        </w:rPr>
        <w:t>52</w:t>
      </w:r>
    </w:p>
    <w:p w14:paraId="30CA2E6C" w14:textId="70969087" w:rsidR="00DE3724" w:rsidRDefault="00DE3724" w:rsidP="00352626">
      <w:pPr>
        <w:rPr>
          <w:rFonts w:cs="Calibri"/>
          <w:b/>
          <w:color w:val="0070C0"/>
        </w:rPr>
      </w:pPr>
    </w:p>
    <w:p w14:paraId="5502CAEE" w14:textId="29F5DCCD" w:rsidR="004E6445" w:rsidRDefault="00AA550E" w:rsidP="00352626">
      <w:pPr>
        <w:rPr>
          <w:rFonts w:cs="Calibri"/>
          <w:szCs w:val="24"/>
        </w:rPr>
      </w:pPr>
      <w:r>
        <w:rPr>
          <w:rFonts w:cs="Calibri"/>
          <w:szCs w:val="24"/>
        </w:rPr>
        <w:t>Le</w:t>
      </w:r>
      <w:r w:rsidRPr="00F54604">
        <w:rPr>
          <w:rFonts w:cs="Calibri"/>
          <w:szCs w:val="24"/>
        </w:rPr>
        <w:t xml:space="preserve"> dossier </w:t>
      </w:r>
      <w:r>
        <w:rPr>
          <w:rFonts w:cs="Calibri"/>
          <w:szCs w:val="24"/>
        </w:rPr>
        <w:t>tarifaire</w:t>
      </w:r>
      <w:r w:rsidRPr="00F54604">
        <w:rPr>
          <w:rFonts w:cs="Calibri"/>
          <w:szCs w:val="24"/>
        </w:rPr>
        <w:t xml:space="preserve"> annuel regroupe </w:t>
      </w:r>
      <w:r>
        <w:rPr>
          <w:rFonts w:cs="Calibri"/>
          <w:szCs w:val="24"/>
        </w:rPr>
        <w:t xml:space="preserve">les demandes </w:t>
      </w:r>
      <w:r w:rsidRPr="00F54604">
        <w:rPr>
          <w:rFonts w:cs="Calibri"/>
          <w:szCs w:val="24"/>
        </w:rPr>
        <w:t xml:space="preserve">relatives à </w:t>
      </w:r>
      <w:r>
        <w:rPr>
          <w:rFonts w:cs="Calibri"/>
          <w:szCs w:val="24"/>
        </w:rPr>
        <w:t>la modification des CST</w:t>
      </w:r>
      <w:r w:rsidRPr="00F54604">
        <w:rPr>
          <w:rFonts w:cs="Calibri"/>
          <w:szCs w:val="24"/>
        </w:rPr>
        <w:t xml:space="preserve"> et au plan d’approvisionnement. Ce dossier peut également inclure une demande portant sur le budget annuel pour la réalisation des programmes et mesures en efficacité énergétique.</w:t>
      </w:r>
    </w:p>
    <w:p w14:paraId="672FF043" w14:textId="77777777" w:rsidR="004E6445" w:rsidRPr="00F54604" w:rsidRDefault="004E6445" w:rsidP="00352626">
      <w:pPr>
        <w:rPr>
          <w:rFonts w:cs="Calibri"/>
          <w:szCs w:val="24"/>
        </w:rPr>
      </w:pPr>
    </w:p>
    <w:p w14:paraId="35213872" w14:textId="165D3D28" w:rsidR="004E6445" w:rsidRPr="00F54604" w:rsidRDefault="00AA550E" w:rsidP="00352626">
      <w:pPr>
        <w:pStyle w:val="Default"/>
        <w:spacing w:before="60" w:after="60" w:line="264" w:lineRule="auto"/>
        <w:jc w:val="both"/>
        <w:rPr>
          <w:rFonts w:ascii="Calibri" w:hAnsi="Calibri" w:cs="Calibri"/>
        </w:rPr>
      </w:pPr>
      <w:r w:rsidRPr="00F54604">
        <w:rPr>
          <w:rFonts w:ascii="Calibri" w:hAnsi="Calibri" w:cs="Calibri"/>
        </w:rPr>
        <w:lastRenderedPageBreak/>
        <w:t xml:space="preserve">De plus, dans sa décision </w:t>
      </w:r>
      <w:hyperlink r:id="rId33" w:anchor="page=24" w:history="1">
        <w:r w:rsidRPr="00F54604">
          <w:rPr>
            <w:rStyle w:val="Lienhypertexte"/>
            <w:rFonts w:ascii="Calibri" w:hAnsi="Calibri" w:cs="Calibri"/>
          </w:rPr>
          <w:t>D-2017-133</w:t>
        </w:r>
      </w:hyperlink>
      <w:r w:rsidRPr="00F54604">
        <w:rPr>
          <w:rFonts w:ascii="Calibri" w:hAnsi="Calibri" w:cs="Calibri"/>
        </w:rPr>
        <w:t>, la Régie a approuvé le développement d’un indicateur permettant d’évaluer le caractère raisonnable des dépenses d’exploitation établies par Gazifère (l’Indicateur des charges)</w:t>
      </w:r>
      <w:r w:rsidRPr="00832D2E">
        <w:rPr>
          <w:rFonts w:ascii="Calibri" w:hAnsi="Calibri" w:cs="Calibri"/>
        </w:rPr>
        <w:t xml:space="preserve">, qu’elle </w:t>
      </w:r>
      <w:r w:rsidR="00AA42C3">
        <w:rPr>
          <w:rFonts w:ascii="Calibri" w:hAnsi="Calibri" w:cs="Calibri"/>
        </w:rPr>
        <w:t xml:space="preserve">prend en considération dans le cadre de </w:t>
      </w:r>
      <w:r w:rsidRPr="00832D2E">
        <w:rPr>
          <w:rFonts w:ascii="Calibri" w:hAnsi="Calibri" w:cs="Calibri"/>
        </w:rPr>
        <w:t xml:space="preserve"> chaque dossier tarifaire</w:t>
      </w:r>
      <w:r w:rsidRPr="00F54604">
        <w:rPr>
          <w:rFonts w:ascii="Calibri" w:hAnsi="Calibri" w:cs="Calibri"/>
        </w:rPr>
        <w:t>.</w:t>
      </w:r>
    </w:p>
    <w:p w14:paraId="567F3BCA" w14:textId="77777777" w:rsidR="004E6445" w:rsidRPr="00F54604" w:rsidRDefault="004E6445" w:rsidP="00352626">
      <w:pPr>
        <w:pStyle w:val="Default"/>
        <w:spacing w:before="60" w:after="60" w:line="264" w:lineRule="auto"/>
        <w:jc w:val="both"/>
        <w:rPr>
          <w:rFonts w:ascii="Calibri" w:hAnsi="Calibri" w:cs="Calibri"/>
        </w:rPr>
      </w:pPr>
    </w:p>
    <w:p w14:paraId="6A258E12" w14:textId="566251C0" w:rsidR="004E6445" w:rsidRDefault="00AA550E" w:rsidP="00352626">
      <w:pPr>
        <w:pStyle w:val="Default"/>
        <w:spacing w:before="60" w:after="60" w:line="264" w:lineRule="auto"/>
        <w:jc w:val="both"/>
        <w:rPr>
          <w:rFonts w:ascii="Calibri" w:hAnsi="Calibri" w:cs="Calibri"/>
        </w:rPr>
      </w:pPr>
      <w:r w:rsidRPr="00F54604">
        <w:rPr>
          <w:rFonts w:ascii="Calibri" w:hAnsi="Calibri" w:cs="Calibri"/>
        </w:rPr>
        <w:t xml:space="preserve">Enfin, dans sa </w:t>
      </w:r>
      <w:r w:rsidRPr="00B44114">
        <w:rPr>
          <w:rFonts w:asciiTheme="minorHAnsi" w:hAnsiTheme="minorHAnsi" w:cstheme="minorHAnsi"/>
        </w:rPr>
        <w:t>décision</w:t>
      </w:r>
      <w:r w:rsidR="00B44114" w:rsidRPr="00B44114">
        <w:rPr>
          <w:rFonts w:asciiTheme="minorHAnsi" w:hAnsiTheme="minorHAnsi" w:cstheme="minorHAnsi"/>
        </w:rPr>
        <w:t xml:space="preserve"> </w:t>
      </w:r>
      <w:hyperlink r:id="rId34" w:anchor="page=13" w:history="1">
        <w:r w:rsidR="00B44114" w:rsidRPr="00B44114">
          <w:rPr>
            <w:rStyle w:val="Lienhypertexte"/>
            <w:rFonts w:asciiTheme="minorHAnsi" w:hAnsiTheme="minorHAnsi" w:cstheme="minorHAnsi"/>
          </w:rPr>
          <w:t>D-2022-103</w:t>
        </w:r>
      </w:hyperlink>
      <w:r w:rsidRPr="00F54604">
        <w:rPr>
          <w:rFonts w:ascii="Calibri" w:hAnsi="Calibri" w:cs="Calibri"/>
        </w:rPr>
        <w:t>, la Régie a autorisé Gazifère de procéder au dépôt d’un dossier tarifaire bisannuel afin de favoriser l’allégement réglementaire.</w:t>
      </w:r>
    </w:p>
    <w:p w14:paraId="3DC832A3" w14:textId="77777777" w:rsidR="004E6445" w:rsidRPr="009C797D" w:rsidRDefault="004E6445" w:rsidP="00352626">
      <w:pPr>
        <w:rPr>
          <w:rFonts w:cs="Calibri"/>
          <w:b/>
          <w:color w:val="000000"/>
        </w:rPr>
      </w:pPr>
    </w:p>
    <w:p w14:paraId="27589C94" w14:textId="49E0CE6B" w:rsidR="00DE3724" w:rsidRPr="009C797D" w:rsidRDefault="00AA42C3" w:rsidP="00352626">
      <w:pPr>
        <w:rPr>
          <w:rFonts w:cs="Calibri"/>
        </w:rPr>
      </w:pPr>
      <w:r>
        <w:rPr>
          <w:rFonts w:cs="Calibri"/>
        </w:rPr>
        <w:t>F</w:t>
      </w:r>
      <w:r w:rsidR="00AA550E" w:rsidRPr="009C797D">
        <w:rPr>
          <w:rFonts w:cs="Calibri"/>
        </w:rPr>
        <w:t xml:space="preserve">ournir les </w:t>
      </w:r>
      <w:r w:rsidR="00AA550E">
        <w:rPr>
          <w:rFonts w:cs="Calibri"/>
        </w:rPr>
        <w:t>informations</w:t>
      </w:r>
      <w:r w:rsidR="00AA550E" w:rsidRPr="009C797D">
        <w:rPr>
          <w:rFonts w:cs="Calibri"/>
        </w:rPr>
        <w:t xml:space="preserve"> ci-dessous pour la première et/ou la seconde année témoin projetée, selon le cas.</w:t>
      </w:r>
    </w:p>
    <w:tbl>
      <w:tblPr>
        <w:tblW w:w="5000" w:type="pct"/>
        <w:tblBorders>
          <w:bottom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9356"/>
        <w:gridCol w:w="991"/>
        <w:gridCol w:w="1418"/>
        <w:gridCol w:w="1241"/>
      </w:tblGrid>
      <w:tr w:rsidR="00BF6A4D" w14:paraId="63480F2F" w14:textId="77777777" w:rsidTr="009457C4">
        <w:trPr>
          <w:trHeight w:val="255"/>
          <w:tblHeader/>
        </w:trPr>
        <w:tc>
          <w:tcPr>
            <w:tcW w:w="3597" w:type="pct"/>
            <w:tcBorders>
              <w:bottom w:val="dotted" w:sz="4" w:space="0" w:color="auto"/>
            </w:tcBorders>
            <w:shd w:val="clear" w:color="auto" w:fill="auto"/>
            <w:noWrap/>
            <w:hideMark/>
          </w:tcPr>
          <w:p w14:paraId="39930ABB" w14:textId="77777777" w:rsidR="00BF6A4D" w:rsidRDefault="00BF6A4D" w:rsidP="00352626">
            <w:pPr>
              <w:spacing w:line="240" w:lineRule="auto"/>
              <w:ind w:left="106"/>
              <w:rPr>
                <w:rFonts w:cs="Calibri"/>
                <w:b/>
                <w:szCs w:val="24"/>
              </w:rPr>
            </w:pPr>
          </w:p>
          <w:p w14:paraId="0D7B9E7A" w14:textId="08C6BD12" w:rsidR="00BF6A4D" w:rsidRPr="00B62206" w:rsidRDefault="00BF6A4D" w:rsidP="00352626">
            <w:pPr>
              <w:spacing w:line="240" w:lineRule="auto"/>
              <w:rPr>
                <w:rFonts w:cs="Calibri"/>
                <w:szCs w:val="24"/>
              </w:rPr>
            </w:pPr>
          </w:p>
        </w:tc>
        <w:tc>
          <w:tcPr>
            <w:tcW w:w="381" w:type="pct"/>
            <w:tcBorders>
              <w:bottom w:val="dotted" w:sz="4" w:space="0" w:color="auto"/>
            </w:tcBorders>
            <w:vAlign w:val="center"/>
          </w:tcPr>
          <w:p w14:paraId="3953EDED" w14:textId="6615CB18" w:rsidR="00BF6A4D" w:rsidRDefault="00BF6A4D" w:rsidP="0048198B">
            <w:pPr>
              <w:spacing w:line="240" w:lineRule="auto"/>
              <w:jc w:val="center"/>
              <w:rPr>
                <w:rFonts w:cs="Calibri"/>
                <w:b/>
                <w:bCs/>
                <w:color w:val="000000"/>
                <w:sz w:val="20"/>
                <w:szCs w:val="20"/>
                <w:lang w:eastAsia="fr-CA"/>
              </w:rPr>
            </w:pPr>
            <w:r>
              <w:rPr>
                <w:rFonts w:cs="Calibri"/>
                <w:b/>
                <w:bCs/>
                <w:color w:val="000000"/>
                <w:sz w:val="20"/>
                <w:szCs w:val="20"/>
                <w:lang w:eastAsia="fr-CA"/>
              </w:rPr>
              <w:t>Phase</w:t>
            </w:r>
            <w:r w:rsidR="0012142A">
              <w:rPr>
                <w:rFonts w:cs="Calibri"/>
                <w:b/>
                <w:bCs/>
                <w:color w:val="000000"/>
                <w:sz w:val="20"/>
                <w:szCs w:val="20"/>
                <w:lang w:eastAsia="fr-CA"/>
              </w:rPr>
              <w:t xml:space="preserve"> </w:t>
            </w:r>
            <w:r>
              <w:rPr>
                <w:rFonts w:cs="Calibri"/>
                <w:b/>
                <w:bCs/>
                <w:color w:val="000000"/>
                <w:sz w:val="20"/>
                <w:szCs w:val="20"/>
                <w:lang w:eastAsia="fr-CA"/>
              </w:rPr>
              <w:t>antérieure</w:t>
            </w:r>
          </w:p>
        </w:tc>
        <w:tc>
          <w:tcPr>
            <w:tcW w:w="545" w:type="pct"/>
            <w:tcBorders>
              <w:bottom w:val="dotted" w:sz="4" w:space="0" w:color="auto"/>
            </w:tcBorders>
            <w:shd w:val="clear" w:color="auto" w:fill="auto"/>
            <w:noWrap/>
            <w:vAlign w:val="center"/>
            <w:hideMark/>
          </w:tcPr>
          <w:p w14:paraId="4DA25B68" w14:textId="006E5537" w:rsidR="00BF6A4D" w:rsidRPr="00D11CAA" w:rsidRDefault="00BF6A4D" w:rsidP="00BF6A4D">
            <w:pPr>
              <w:spacing w:line="240" w:lineRule="auto"/>
              <w:jc w:val="center"/>
              <w:rPr>
                <w:rFonts w:cs="Calibri"/>
                <w:b/>
                <w:bCs/>
                <w:color w:val="000000"/>
                <w:sz w:val="20"/>
                <w:szCs w:val="20"/>
                <w:lang w:eastAsia="fr-CA"/>
              </w:rPr>
            </w:pPr>
            <w:r>
              <w:rPr>
                <w:rFonts w:cs="Calibri"/>
                <w:b/>
                <w:bCs/>
                <w:color w:val="000000"/>
                <w:sz w:val="20"/>
                <w:szCs w:val="20"/>
                <w:lang w:eastAsia="fr-CA"/>
              </w:rPr>
              <w:t>Phas</w:t>
            </w:r>
            <w:r w:rsidRPr="00D11CAA">
              <w:rPr>
                <w:rFonts w:cs="Calibri"/>
                <w:b/>
                <w:bCs/>
                <w:color w:val="000000"/>
                <w:sz w:val="20"/>
                <w:szCs w:val="20"/>
                <w:lang w:eastAsia="fr-CA"/>
              </w:rPr>
              <w:t xml:space="preserve">e </w:t>
            </w:r>
            <w:r>
              <w:rPr>
                <w:rFonts w:cs="Calibri"/>
                <w:b/>
                <w:bCs/>
                <w:color w:val="000000"/>
                <w:sz w:val="20"/>
                <w:szCs w:val="20"/>
                <w:lang w:eastAsia="fr-CA"/>
              </w:rPr>
              <w:t>t</w:t>
            </w:r>
            <w:r w:rsidRPr="00D11CAA">
              <w:rPr>
                <w:rFonts w:cs="Calibri"/>
                <w:b/>
                <w:bCs/>
                <w:color w:val="000000"/>
                <w:sz w:val="20"/>
                <w:szCs w:val="20"/>
                <w:lang w:eastAsia="fr-CA"/>
              </w:rPr>
              <w:t>arifaire</w:t>
            </w:r>
            <w:r>
              <w:rPr>
                <w:rFonts w:cs="Calibri"/>
                <w:b/>
                <w:bCs/>
                <w:color w:val="000000"/>
                <w:sz w:val="20"/>
                <w:szCs w:val="20"/>
                <w:lang w:eastAsia="fr-CA"/>
              </w:rPr>
              <w:t xml:space="preserve"> (An 1 et An 2)</w:t>
            </w:r>
          </w:p>
        </w:tc>
        <w:tc>
          <w:tcPr>
            <w:tcW w:w="477" w:type="pct"/>
            <w:tcBorders>
              <w:bottom w:val="dotted" w:sz="4" w:space="0" w:color="auto"/>
            </w:tcBorders>
            <w:shd w:val="clear" w:color="auto" w:fill="auto"/>
            <w:noWrap/>
            <w:vAlign w:val="center"/>
            <w:hideMark/>
          </w:tcPr>
          <w:p w14:paraId="68997C72" w14:textId="55921F13" w:rsidR="00BF6A4D" w:rsidRPr="00D11CAA" w:rsidRDefault="00BF6A4D" w:rsidP="0048198B">
            <w:pPr>
              <w:spacing w:line="240" w:lineRule="auto"/>
              <w:jc w:val="center"/>
              <w:rPr>
                <w:rFonts w:cs="Calibri"/>
                <w:b/>
                <w:bCs/>
                <w:color w:val="000000"/>
                <w:sz w:val="20"/>
                <w:szCs w:val="20"/>
                <w:lang w:eastAsia="fr-CA"/>
              </w:rPr>
            </w:pPr>
            <w:r>
              <w:rPr>
                <w:rFonts w:cs="Calibri"/>
                <w:b/>
                <w:bCs/>
                <w:color w:val="000000"/>
                <w:sz w:val="20"/>
                <w:szCs w:val="20"/>
                <w:lang w:eastAsia="fr-CA"/>
              </w:rPr>
              <w:t>Phase d’a</w:t>
            </w:r>
            <w:r w:rsidRPr="00D11CAA">
              <w:rPr>
                <w:rFonts w:cs="Calibri"/>
                <w:b/>
                <w:bCs/>
                <w:color w:val="000000"/>
                <w:sz w:val="20"/>
                <w:szCs w:val="20"/>
                <w:lang w:eastAsia="fr-CA"/>
              </w:rPr>
              <w:t>justement</w:t>
            </w:r>
            <w:r>
              <w:rPr>
                <w:rFonts w:cs="Calibri"/>
                <w:b/>
                <w:bCs/>
                <w:color w:val="000000"/>
                <w:sz w:val="20"/>
                <w:szCs w:val="20"/>
                <w:lang w:eastAsia="fr-CA"/>
              </w:rPr>
              <w:t xml:space="preserve"> (An 2)</w:t>
            </w:r>
          </w:p>
        </w:tc>
      </w:tr>
      <w:tr w:rsidR="007E2E7B" w14:paraId="3D2A8649" w14:textId="77777777" w:rsidTr="009457C4">
        <w:trPr>
          <w:trHeight w:val="270"/>
        </w:trPr>
        <w:tc>
          <w:tcPr>
            <w:tcW w:w="3597" w:type="pct"/>
            <w:tcBorders>
              <w:top w:val="dotted" w:sz="4" w:space="0" w:color="auto"/>
              <w:right w:val="nil"/>
            </w:tcBorders>
          </w:tcPr>
          <w:p w14:paraId="7A7FB4DD" w14:textId="77777777" w:rsidR="007E2E7B" w:rsidRPr="00856C38" w:rsidRDefault="007E2E7B" w:rsidP="007E2E7B">
            <w:pPr>
              <w:pStyle w:val="Titre2"/>
              <w:keepNext/>
              <w:tabs>
                <w:tab w:val="clear" w:pos="709"/>
                <w:tab w:val="num" w:pos="851"/>
              </w:tabs>
              <w:spacing w:before="360"/>
              <w:ind w:left="851" w:hanging="851"/>
              <w:rPr>
                <w:rFonts w:cs="Calibri"/>
                <w:lang w:eastAsia="fr-CA"/>
              </w:rPr>
            </w:pPr>
            <w:bookmarkStart w:id="23" w:name="_Toc124329923"/>
            <w:r w:rsidRPr="00856C38">
              <w:rPr>
                <w:rFonts w:cs="Calibri"/>
                <w:szCs w:val="24"/>
              </w:rPr>
              <w:t>Informations générales</w:t>
            </w:r>
            <w:bookmarkEnd w:id="23"/>
          </w:p>
        </w:tc>
        <w:tc>
          <w:tcPr>
            <w:tcW w:w="381" w:type="pct"/>
            <w:tcBorders>
              <w:top w:val="dotted" w:sz="4" w:space="0" w:color="auto"/>
              <w:left w:val="nil"/>
              <w:right w:val="nil"/>
            </w:tcBorders>
          </w:tcPr>
          <w:p w14:paraId="104A7215" w14:textId="77777777" w:rsidR="007E2E7B" w:rsidRPr="00856C38" w:rsidRDefault="007E2E7B" w:rsidP="007E2E7B">
            <w:pPr>
              <w:pStyle w:val="Titre2"/>
              <w:keepNext/>
              <w:numPr>
                <w:ilvl w:val="0"/>
                <w:numId w:val="0"/>
              </w:numPr>
              <w:rPr>
                <w:rFonts w:cs="Calibri"/>
                <w:lang w:eastAsia="fr-CA"/>
              </w:rPr>
            </w:pPr>
          </w:p>
        </w:tc>
        <w:tc>
          <w:tcPr>
            <w:tcW w:w="545" w:type="pct"/>
            <w:tcBorders>
              <w:top w:val="dotted" w:sz="4" w:space="0" w:color="auto"/>
              <w:left w:val="nil"/>
              <w:right w:val="nil"/>
            </w:tcBorders>
          </w:tcPr>
          <w:p w14:paraId="25722682" w14:textId="77777777" w:rsidR="007E2E7B" w:rsidRPr="00856C38" w:rsidRDefault="007E2E7B" w:rsidP="007E2E7B">
            <w:pPr>
              <w:pStyle w:val="Titre2"/>
              <w:keepNext/>
              <w:numPr>
                <w:ilvl w:val="0"/>
                <w:numId w:val="0"/>
              </w:numPr>
              <w:ind w:left="709" w:hanging="709"/>
              <w:rPr>
                <w:rFonts w:cs="Calibri"/>
                <w:lang w:eastAsia="fr-CA"/>
              </w:rPr>
            </w:pPr>
          </w:p>
        </w:tc>
        <w:tc>
          <w:tcPr>
            <w:tcW w:w="477" w:type="pct"/>
            <w:tcBorders>
              <w:top w:val="dotted" w:sz="4" w:space="0" w:color="auto"/>
              <w:left w:val="nil"/>
            </w:tcBorders>
          </w:tcPr>
          <w:p w14:paraId="12540AAF" w14:textId="24A33D44" w:rsidR="007E2E7B" w:rsidRPr="00856C38" w:rsidRDefault="007E2E7B" w:rsidP="007E2E7B">
            <w:pPr>
              <w:pStyle w:val="Titre2"/>
              <w:keepNext/>
              <w:numPr>
                <w:ilvl w:val="0"/>
                <w:numId w:val="0"/>
              </w:numPr>
              <w:ind w:left="709" w:hanging="709"/>
              <w:rPr>
                <w:rFonts w:cs="Calibri"/>
                <w:lang w:eastAsia="fr-CA"/>
              </w:rPr>
            </w:pPr>
          </w:p>
        </w:tc>
      </w:tr>
      <w:tr w:rsidR="00BF6A4D" w14:paraId="267ABE72" w14:textId="77777777" w:rsidTr="004277D4">
        <w:trPr>
          <w:trHeight w:val="20"/>
        </w:trPr>
        <w:tc>
          <w:tcPr>
            <w:tcW w:w="3597" w:type="pct"/>
            <w:shd w:val="clear" w:color="auto" w:fill="auto"/>
            <w:vAlign w:val="center"/>
          </w:tcPr>
          <w:p w14:paraId="3656B19E" w14:textId="3F7E3AFF" w:rsidR="00AA42C3" w:rsidRPr="00463924" w:rsidRDefault="00BF6A4D" w:rsidP="00AA42C3">
            <w:pPr>
              <w:pStyle w:val="TitreS2"/>
              <w:numPr>
                <w:ilvl w:val="3"/>
                <w:numId w:val="8"/>
              </w:numPr>
              <w:spacing w:before="200" w:after="0"/>
              <w:ind w:left="567" w:hanging="567"/>
              <w:rPr>
                <w:rFonts w:cs="Calibri"/>
                <w:b w:val="0"/>
                <w:color w:val="000000"/>
                <w:szCs w:val="24"/>
                <w:lang w:eastAsia="fr-CA"/>
              </w:rPr>
            </w:pPr>
            <w:r w:rsidRPr="007E6572">
              <w:rPr>
                <w:rFonts w:eastAsia="Times New Roman" w:cs="Calibri"/>
                <w:b w:val="0"/>
                <w:color w:val="000000"/>
                <w:sz w:val="24"/>
                <w:szCs w:val="24"/>
                <w:lang w:eastAsia="fr-CA"/>
              </w:rPr>
              <w:t>Lors de la proposition de nouvelles conventions comptables ou nouvelles méthodes</w:t>
            </w:r>
            <w:r w:rsidR="00AA42C3">
              <w:rPr>
                <w:rFonts w:eastAsia="Times New Roman" w:cs="Calibri"/>
                <w:b w:val="0"/>
                <w:color w:val="000000"/>
                <w:sz w:val="24"/>
                <w:szCs w:val="24"/>
                <w:lang w:eastAsia="fr-CA"/>
              </w:rPr>
              <w:t> :</w:t>
            </w:r>
          </w:p>
          <w:p w14:paraId="3D50609B" w14:textId="485CF28D" w:rsidR="00AA42C3" w:rsidRDefault="00BF6A4D" w:rsidP="00463924">
            <w:pPr>
              <w:pStyle w:val="TitreS2"/>
              <w:numPr>
                <w:ilvl w:val="0"/>
                <w:numId w:val="69"/>
              </w:numPr>
              <w:spacing w:before="200" w:after="0"/>
              <w:rPr>
                <w:rFonts w:eastAsia="Times New Roman" w:cs="Calibri"/>
                <w:b w:val="0"/>
                <w:color w:val="000000"/>
                <w:sz w:val="24"/>
                <w:szCs w:val="24"/>
                <w:lang w:eastAsia="fr-CA"/>
              </w:rPr>
            </w:pPr>
            <w:r w:rsidRPr="007E6572">
              <w:rPr>
                <w:rFonts w:eastAsia="Times New Roman" w:cs="Calibri"/>
                <w:b w:val="0"/>
                <w:color w:val="000000"/>
                <w:sz w:val="24"/>
                <w:szCs w:val="24"/>
                <w:lang w:eastAsia="fr-CA"/>
              </w:rPr>
              <w:t>présenter la justification au soutien de la modification proposée</w:t>
            </w:r>
            <w:r w:rsidR="00AA42C3">
              <w:rPr>
                <w:rFonts w:eastAsia="Times New Roman" w:cs="Calibri"/>
                <w:b w:val="0"/>
                <w:color w:val="000000"/>
                <w:sz w:val="24"/>
                <w:szCs w:val="24"/>
                <w:lang w:eastAsia="fr-CA"/>
              </w:rPr>
              <w:t>;</w:t>
            </w:r>
          </w:p>
          <w:p w14:paraId="5FAA5A88" w14:textId="0B6BF8EC" w:rsidR="00AA42C3" w:rsidRDefault="00BF6A4D" w:rsidP="004277D4">
            <w:pPr>
              <w:pStyle w:val="TitreS2"/>
              <w:numPr>
                <w:ilvl w:val="0"/>
                <w:numId w:val="69"/>
              </w:numPr>
              <w:spacing w:after="0"/>
              <w:ind w:left="924" w:hanging="357"/>
              <w:rPr>
                <w:rFonts w:eastAsia="Times New Roman" w:cs="Calibri"/>
                <w:b w:val="0"/>
                <w:color w:val="000000"/>
                <w:sz w:val="24"/>
                <w:szCs w:val="24"/>
                <w:lang w:eastAsia="fr-CA"/>
              </w:rPr>
            </w:pPr>
            <w:r w:rsidRPr="007E6572">
              <w:rPr>
                <w:rFonts w:eastAsia="Times New Roman" w:cs="Calibri"/>
                <w:b w:val="0"/>
                <w:color w:val="000000"/>
                <w:sz w:val="24"/>
                <w:szCs w:val="24"/>
                <w:lang w:eastAsia="fr-CA"/>
              </w:rPr>
              <w:t xml:space="preserve">illustrer </w:t>
            </w:r>
            <w:r w:rsidR="00463924">
              <w:rPr>
                <w:rFonts w:eastAsia="Times New Roman" w:cs="Calibri"/>
                <w:b w:val="0"/>
                <w:color w:val="000000"/>
                <w:sz w:val="24"/>
                <w:szCs w:val="24"/>
                <w:lang w:eastAsia="fr-CA"/>
              </w:rPr>
              <w:t xml:space="preserve">son </w:t>
            </w:r>
            <w:r w:rsidR="00463924" w:rsidRPr="007E6572">
              <w:rPr>
                <w:rFonts w:eastAsia="Times New Roman" w:cs="Calibri"/>
                <w:b w:val="0"/>
                <w:color w:val="000000"/>
                <w:sz w:val="24"/>
                <w:szCs w:val="24"/>
                <w:lang w:eastAsia="fr-CA"/>
              </w:rPr>
              <w:t xml:space="preserve">application </w:t>
            </w:r>
            <w:r w:rsidRPr="007E6572">
              <w:rPr>
                <w:rFonts w:eastAsia="Times New Roman" w:cs="Calibri"/>
                <w:b w:val="0"/>
                <w:color w:val="000000"/>
                <w:sz w:val="24"/>
                <w:szCs w:val="24"/>
                <w:lang w:eastAsia="fr-CA"/>
              </w:rPr>
              <w:t>à l’aide d’un cas type</w:t>
            </w:r>
            <w:r w:rsidR="00463924">
              <w:rPr>
                <w:rFonts w:eastAsia="Times New Roman" w:cs="Calibri"/>
                <w:b w:val="0"/>
                <w:color w:val="000000"/>
                <w:sz w:val="24"/>
                <w:szCs w:val="24"/>
                <w:lang w:eastAsia="fr-CA"/>
              </w:rPr>
              <w:t xml:space="preserve"> </w:t>
            </w:r>
            <w:r w:rsidR="00AA42C3">
              <w:rPr>
                <w:rFonts w:eastAsia="Times New Roman" w:cs="Calibri"/>
                <w:b w:val="0"/>
                <w:color w:val="000000"/>
                <w:sz w:val="24"/>
                <w:szCs w:val="24"/>
                <w:lang w:eastAsia="fr-CA"/>
              </w:rPr>
              <w:t>;</w:t>
            </w:r>
          </w:p>
          <w:p w14:paraId="483EE523" w14:textId="3527296F" w:rsidR="00BF6A4D" w:rsidRPr="007E6572" w:rsidRDefault="00BF6A4D" w:rsidP="004277D4">
            <w:pPr>
              <w:pStyle w:val="TitreS2"/>
              <w:numPr>
                <w:ilvl w:val="0"/>
                <w:numId w:val="69"/>
              </w:numPr>
              <w:spacing w:after="0"/>
              <w:ind w:left="924" w:hanging="357"/>
              <w:rPr>
                <w:rFonts w:cs="Calibri"/>
                <w:b w:val="0"/>
                <w:color w:val="000000"/>
                <w:szCs w:val="24"/>
                <w:lang w:eastAsia="fr-CA"/>
              </w:rPr>
            </w:pPr>
            <w:r w:rsidRPr="007E6572">
              <w:rPr>
                <w:rFonts w:eastAsia="Times New Roman" w:cs="Calibri"/>
                <w:b w:val="0"/>
                <w:color w:val="000000"/>
                <w:sz w:val="24"/>
                <w:szCs w:val="24"/>
                <w:lang w:eastAsia="fr-CA"/>
              </w:rPr>
              <w:t>préciser à quelles activités s’applique la nouvelle convention et une estimation de l’impact sur le revenu requis de l’année témoin projetée (avant et après changement) et, si possible, des années postérieures à cette dernière.</w:t>
            </w:r>
          </w:p>
        </w:tc>
        <w:tc>
          <w:tcPr>
            <w:tcW w:w="381" w:type="pct"/>
            <w:vMerge w:val="restart"/>
            <w:vAlign w:val="center"/>
          </w:tcPr>
          <w:p w14:paraId="1512DDF7" w14:textId="54338249" w:rsidR="00BF6A4D" w:rsidRPr="007E6572" w:rsidRDefault="005250C8" w:rsidP="0048198B">
            <w:pPr>
              <w:jc w:val="center"/>
              <w:rPr>
                <w:rFonts w:cs="Calibri"/>
                <w:color w:val="000000"/>
                <w:lang w:eastAsia="fr-CA"/>
              </w:rPr>
            </w:pPr>
            <w:r w:rsidRPr="007E6572">
              <w:rPr>
                <w:rFonts w:cs="Calibri"/>
                <w:color w:val="000000"/>
                <w:lang w:eastAsia="fr-CA"/>
              </w:rPr>
              <w:t>X</w:t>
            </w:r>
            <w:r w:rsidR="00BF6A4D">
              <w:rPr>
                <w:rStyle w:val="Appelnotedebasdep"/>
                <w:rFonts w:cs="Calibri"/>
                <w:color w:val="000000"/>
                <w:lang w:eastAsia="fr-CA"/>
              </w:rPr>
              <w:footnoteReference w:id="17"/>
            </w:r>
          </w:p>
        </w:tc>
        <w:tc>
          <w:tcPr>
            <w:tcW w:w="545" w:type="pct"/>
            <w:vMerge w:val="restart"/>
            <w:shd w:val="clear" w:color="auto" w:fill="auto"/>
            <w:vAlign w:val="center"/>
          </w:tcPr>
          <w:p w14:paraId="2B0263B3" w14:textId="77777777" w:rsidR="00BF6A4D" w:rsidRPr="007E6572" w:rsidRDefault="00BF6A4D" w:rsidP="0048198B">
            <w:pPr>
              <w:jc w:val="center"/>
              <w:rPr>
                <w:rFonts w:cs="Calibri"/>
                <w:lang w:eastAsia="fr-CA"/>
              </w:rPr>
            </w:pPr>
          </w:p>
        </w:tc>
        <w:tc>
          <w:tcPr>
            <w:tcW w:w="477" w:type="pct"/>
            <w:vMerge w:val="restart"/>
            <w:shd w:val="clear" w:color="auto" w:fill="auto"/>
            <w:vAlign w:val="center"/>
          </w:tcPr>
          <w:p w14:paraId="2FE95BFD" w14:textId="4FDB99D8" w:rsidR="00BF6A4D" w:rsidRPr="007E6572" w:rsidRDefault="00BF6A4D" w:rsidP="0048198B">
            <w:pPr>
              <w:jc w:val="center"/>
              <w:rPr>
                <w:rFonts w:cs="Calibri"/>
                <w:lang w:eastAsia="fr-CA"/>
              </w:rPr>
            </w:pPr>
          </w:p>
        </w:tc>
      </w:tr>
      <w:tr w:rsidR="00BF6A4D" w14:paraId="41B07267" w14:textId="77777777" w:rsidTr="009457C4">
        <w:trPr>
          <w:trHeight w:val="270"/>
        </w:trPr>
        <w:tc>
          <w:tcPr>
            <w:tcW w:w="3597" w:type="pct"/>
            <w:shd w:val="clear" w:color="auto" w:fill="auto"/>
            <w:vAlign w:val="center"/>
          </w:tcPr>
          <w:p w14:paraId="4DE8E478"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Lors de la proposition de nouveaux principes réglementaires, présenter la justification au soutien de la modification proposée et, à titre de contexte réglementaire, les principes suivis dans un minimum de trois autres situations comparables, le cas échéant.</w:t>
            </w:r>
          </w:p>
        </w:tc>
        <w:tc>
          <w:tcPr>
            <w:tcW w:w="381" w:type="pct"/>
            <w:vMerge/>
          </w:tcPr>
          <w:p w14:paraId="3801F18A" w14:textId="77777777" w:rsidR="00BF6A4D" w:rsidRPr="007E6572" w:rsidRDefault="00BF6A4D" w:rsidP="0048198B">
            <w:pPr>
              <w:jc w:val="center"/>
              <w:rPr>
                <w:rFonts w:cs="Calibri"/>
                <w:color w:val="000000"/>
                <w:vertAlign w:val="superscript"/>
                <w:lang w:eastAsia="fr-CA"/>
              </w:rPr>
            </w:pPr>
          </w:p>
        </w:tc>
        <w:tc>
          <w:tcPr>
            <w:tcW w:w="545" w:type="pct"/>
            <w:vMerge/>
            <w:shd w:val="clear" w:color="auto" w:fill="auto"/>
            <w:vAlign w:val="center"/>
          </w:tcPr>
          <w:p w14:paraId="763E51F8" w14:textId="77777777" w:rsidR="00BF6A4D" w:rsidRPr="007E6572" w:rsidRDefault="00BF6A4D" w:rsidP="0048198B">
            <w:pPr>
              <w:jc w:val="center"/>
              <w:rPr>
                <w:rFonts w:cs="Calibri"/>
                <w:color w:val="000000"/>
                <w:vertAlign w:val="superscript"/>
                <w:lang w:eastAsia="fr-CA"/>
              </w:rPr>
            </w:pPr>
          </w:p>
        </w:tc>
        <w:tc>
          <w:tcPr>
            <w:tcW w:w="477" w:type="pct"/>
            <w:vMerge/>
            <w:shd w:val="clear" w:color="auto" w:fill="auto"/>
            <w:vAlign w:val="center"/>
          </w:tcPr>
          <w:p w14:paraId="7A91AD40" w14:textId="48BAA51B" w:rsidR="00BF6A4D" w:rsidRPr="007E6572" w:rsidRDefault="00BF6A4D" w:rsidP="0048198B">
            <w:pPr>
              <w:jc w:val="center"/>
              <w:rPr>
                <w:rFonts w:cs="Calibri"/>
                <w:color w:val="000000"/>
                <w:vertAlign w:val="superscript"/>
                <w:lang w:eastAsia="fr-CA"/>
              </w:rPr>
            </w:pPr>
          </w:p>
        </w:tc>
      </w:tr>
      <w:tr w:rsidR="00BF6A4D" w14:paraId="0424E356" w14:textId="77777777" w:rsidTr="009457C4">
        <w:trPr>
          <w:trHeight w:val="270"/>
        </w:trPr>
        <w:tc>
          <w:tcPr>
            <w:tcW w:w="3597" w:type="pct"/>
            <w:shd w:val="clear" w:color="auto" w:fill="auto"/>
            <w:vAlign w:val="center"/>
            <w:hideMark/>
          </w:tcPr>
          <w:p w14:paraId="2921A087" w14:textId="14776901"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lastRenderedPageBreak/>
              <w:t>La liste des principes et méthode d’évaluation qui ont servis de base dans l’établissement du dossier présenté, incluant</w:t>
            </w:r>
            <w:r>
              <w:rPr>
                <w:rFonts w:eastAsia="Times New Roman" w:cs="Calibri"/>
                <w:b w:val="0"/>
                <w:color w:val="000000"/>
                <w:sz w:val="24"/>
                <w:szCs w:val="24"/>
                <w:lang w:eastAsia="fr-CA"/>
              </w:rPr>
              <w:t xml:space="preserve"> </w:t>
            </w:r>
            <w:r w:rsidRPr="007E6572">
              <w:rPr>
                <w:rFonts w:eastAsia="Times New Roman" w:cs="Calibri"/>
                <w:b w:val="0"/>
                <w:color w:val="000000"/>
                <w:sz w:val="24"/>
                <w:szCs w:val="24"/>
                <w:lang w:eastAsia="fr-CA"/>
              </w:rPr>
              <w:t>le numéro de décision dans laquelle le principe et méthode d’évaluation ont été approuvés.</w:t>
            </w:r>
          </w:p>
        </w:tc>
        <w:tc>
          <w:tcPr>
            <w:tcW w:w="381" w:type="pct"/>
          </w:tcPr>
          <w:p w14:paraId="28983DB9"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5A1C9D07" w14:textId="1B7E1A5F" w:rsidR="00BF6A4D" w:rsidRPr="007E6572" w:rsidRDefault="005250C8" w:rsidP="0048198B">
            <w:pPr>
              <w:jc w:val="center"/>
              <w:rPr>
                <w:rFonts w:cs="Calibri"/>
                <w:color w:val="000000"/>
                <w:lang w:eastAsia="fr-CA"/>
              </w:rPr>
            </w:pPr>
            <w:r>
              <w:rPr>
                <w:rFonts w:cs="Calibri"/>
                <w:color w:val="000000"/>
                <w:lang w:eastAsia="fr-CA"/>
              </w:rPr>
              <w:t>X</w:t>
            </w:r>
          </w:p>
        </w:tc>
        <w:tc>
          <w:tcPr>
            <w:tcW w:w="477" w:type="pct"/>
            <w:shd w:val="clear" w:color="auto" w:fill="auto"/>
            <w:vAlign w:val="center"/>
            <w:hideMark/>
          </w:tcPr>
          <w:p w14:paraId="16C0F933" w14:textId="01BBA345" w:rsidR="00BF6A4D" w:rsidRPr="007E6572" w:rsidRDefault="005250C8" w:rsidP="0048198B">
            <w:pPr>
              <w:jc w:val="center"/>
              <w:rPr>
                <w:rFonts w:cs="Calibri"/>
                <w:lang w:eastAsia="fr-CA"/>
              </w:rPr>
            </w:pPr>
            <w:r>
              <w:rPr>
                <w:rFonts w:cs="Calibri"/>
                <w:color w:val="000000"/>
                <w:lang w:eastAsia="fr-CA"/>
              </w:rPr>
              <w:t>X</w:t>
            </w:r>
            <w:r w:rsidR="00BF6A4D">
              <w:rPr>
                <w:rStyle w:val="Appelnotedebasdep"/>
                <w:rFonts w:cs="Calibri"/>
                <w:color w:val="000000"/>
                <w:lang w:eastAsia="fr-CA"/>
              </w:rPr>
              <w:footnoteReference w:id="18"/>
            </w:r>
          </w:p>
        </w:tc>
      </w:tr>
      <w:tr w:rsidR="00BF6A4D" w14:paraId="18B25D0D" w14:textId="77777777" w:rsidTr="009457C4">
        <w:trPr>
          <w:trHeight w:val="270"/>
        </w:trPr>
        <w:tc>
          <w:tcPr>
            <w:tcW w:w="3597" w:type="pct"/>
            <w:tcBorders>
              <w:bottom w:val="dotted" w:sz="4" w:space="0" w:color="auto"/>
            </w:tcBorders>
            <w:shd w:val="clear" w:color="auto" w:fill="auto"/>
            <w:vAlign w:val="center"/>
          </w:tcPr>
          <w:p w14:paraId="16320A80" w14:textId="7C3D8A98" w:rsidR="00BF6A4D" w:rsidRPr="007E6572" w:rsidRDefault="00BF6A4D" w:rsidP="00BF6A4D">
            <w:pPr>
              <w:pStyle w:val="TitreS2"/>
              <w:numPr>
                <w:ilvl w:val="3"/>
                <w:numId w:val="8"/>
              </w:numPr>
              <w:spacing w:before="200" w:after="0"/>
              <w:ind w:left="567" w:hanging="567"/>
              <w:rPr>
                <w:rFonts w:cs="Calibri"/>
                <w:b w:val="0"/>
                <w:sz w:val="24"/>
                <w:szCs w:val="24"/>
              </w:rPr>
            </w:pPr>
            <w:r w:rsidRPr="007E6572">
              <w:rPr>
                <w:rFonts w:cs="Calibri"/>
                <w:b w:val="0"/>
                <w:sz w:val="24"/>
                <w:szCs w:val="24"/>
              </w:rPr>
              <w:t>L</w:t>
            </w:r>
            <w:r w:rsidRPr="007E6572">
              <w:rPr>
                <w:rFonts w:eastAsia="Times New Roman" w:cs="Calibri"/>
                <w:b w:val="0"/>
                <w:sz w:val="24"/>
                <w:szCs w:val="24"/>
                <w:lang w:eastAsia="fr-CA"/>
              </w:rPr>
              <w:t xml:space="preserve">es détails relatifs au calcul de l’Indicateur des charges approuvé par la Régie pour </w:t>
            </w:r>
            <w:r>
              <w:rPr>
                <w:rFonts w:eastAsia="Times New Roman" w:cs="Calibri"/>
                <w:b w:val="0"/>
                <w:sz w:val="24"/>
                <w:szCs w:val="24"/>
                <w:lang w:eastAsia="fr-CA"/>
              </w:rPr>
              <w:t xml:space="preserve">chaque </w:t>
            </w:r>
            <w:r w:rsidRPr="007E6572">
              <w:rPr>
                <w:rFonts w:eastAsia="Times New Roman" w:cs="Calibri"/>
                <w:b w:val="0"/>
                <w:sz w:val="24"/>
                <w:szCs w:val="24"/>
                <w:lang w:eastAsia="fr-CA"/>
              </w:rPr>
              <w:t>année témoin projetée.</w:t>
            </w:r>
          </w:p>
        </w:tc>
        <w:tc>
          <w:tcPr>
            <w:tcW w:w="381" w:type="pct"/>
            <w:tcBorders>
              <w:bottom w:val="dotted" w:sz="4" w:space="0" w:color="auto"/>
            </w:tcBorders>
          </w:tcPr>
          <w:p w14:paraId="463789A5"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vAlign w:val="center"/>
          </w:tcPr>
          <w:p w14:paraId="05B6610C" w14:textId="039FCEEA" w:rsidR="00BF6A4D" w:rsidRPr="007E6572" w:rsidRDefault="005250C8" w:rsidP="0048198B">
            <w:pPr>
              <w:jc w:val="center"/>
              <w:rPr>
                <w:rFonts w:cs="Calibri"/>
                <w:color w:val="000000"/>
                <w:lang w:eastAsia="fr-CA"/>
              </w:rPr>
            </w:pPr>
            <w:r>
              <w:rPr>
                <w:rFonts w:cs="Calibri"/>
                <w:color w:val="000000"/>
                <w:lang w:eastAsia="fr-CA"/>
              </w:rPr>
              <w:t>X</w:t>
            </w:r>
            <w:r w:rsidR="00E979A9">
              <w:rPr>
                <w:rStyle w:val="Appelnotedebasdep"/>
                <w:rFonts w:cs="Calibri"/>
                <w:color w:val="000000"/>
                <w:lang w:eastAsia="fr-CA"/>
              </w:rPr>
              <w:footnoteReference w:id="19"/>
            </w:r>
          </w:p>
        </w:tc>
        <w:tc>
          <w:tcPr>
            <w:tcW w:w="477" w:type="pct"/>
            <w:tcBorders>
              <w:bottom w:val="dotted" w:sz="4" w:space="0" w:color="auto"/>
            </w:tcBorders>
            <w:shd w:val="clear" w:color="auto" w:fill="auto"/>
            <w:vAlign w:val="center"/>
          </w:tcPr>
          <w:p w14:paraId="40B5C77A" w14:textId="77777777" w:rsidR="00BF6A4D" w:rsidRPr="007E6572" w:rsidRDefault="00BF6A4D" w:rsidP="0048198B">
            <w:pPr>
              <w:jc w:val="center"/>
              <w:rPr>
                <w:rFonts w:cs="Calibri"/>
                <w:color w:val="000000"/>
                <w:lang w:eastAsia="fr-CA"/>
              </w:rPr>
            </w:pPr>
          </w:p>
        </w:tc>
      </w:tr>
      <w:tr w:rsidR="00BF6A4D" w14:paraId="0FB0EF15" w14:textId="77777777" w:rsidTr="009457C4">
        <w:trPr>
          <w:trHeight w:val="270"/>
        </w:trPr>
        <w:tc>
          <w:tcPr>
            <w:tcW w:w="3597" w:type="pct"/>
            <w:tcBorders>
              <w:top w:val="dotted" w:sz="4" w:space="0" w:color="auto"/>
              <w:right w:val="nil"/>
            </w:tcBorders>
            <w:shd w:val="clear" w:color="auto" w:fill="auto"/>
          </w:tcPr>
          <w:p w14:paraId="0DA88B60" w14:textId="2A569FED" w:rsidR="00BF6A4D" w:rsidRPr="00856C38" w:rsidRDefault="00BF6A4D" w:rsidP="007E2E7B">
            <w:pPr>
              <w:pStyle w:val="Titre2"/>
              <w:keepNext/>
              <w:tabs>
                <w:tab w:val="clear" w:pos="709"/>
                <w:tab w:val="num" w:pos="851"/>
              </w:tabs>
              <w:spacing w:before="360"/>
              <w:ind w:left="851" w:hanging="851"/>
              <w:rPr>
                <w:rFonts w:cs="Calibri"/>
                <w:szCs w:val="24"/>
              </w:rPr>
            </w:pPr>
            <w:bookmarkStart w:id="24" w:name="_Toc124329924"/>
            <w:bookmarkStart w:id="25" w:name="_Hlk121995162"/>
            <w:r w:rsidRPr="00856C38">
              <w:rPr>
                <w:rFonts w:cs="Calibri"/>
                <w:szCs w:val="24"/>
              </w:rPr>
              <w:t>Revenu additionnel requis</w:t>
            </w:r>
            <w:bookmarkEnd w:id="24"/>
          </w:p>
        </w:tc>
        <w:tc>
          <w:tcPr>
            <w:tcW w:w="381" w:type="pct"/>
            <w:tcBorders>
              <w:top w:val="dotted" w:sz="4" w:space="0" w:color="auto"/>
              <w:left w:val="nil"/>
              <w:right w:val="nil"/>
            </w:tcBorders>
          </w:tcPr>
          <w:p w14:paraId="627A1850" w14:textId="77777777" w:rsidR="00BF6A4D" w:rsidRPr="0021566F" w:rsidRDefault="00BF6A4D" w:rsidP="0048198B">
            <w:pPr>
              <w:jc w:val="center"/>
              <w:rPr>
                <w:rFonts w:cs="Calibri"/>
                <w:lang w:eastAsia="fr-CA"/>
              </w:rPr>
            </w:pPr>
          </w:p>
        </w:tc>
        <w:tc>
          <w:tcPr>
            <w:tcW w:w="545" w:type="pct"/>
            <w:tcBorders>
              <w:top w:val="dotted" w:sz="4" w:space="0" w:color="auto"/>
              <w:left w:val="nil"/>
              <w:right w:val="nil"/>
            </w:tcBorders>
            <w:shd w:val="clear" w:color="auto" w:fill="auto"/>
            <w:vAlign w:val="center"/>
          </w:tcPr>
          <w:p w14:paraId="56A509CE" w14:textId="77777777" w:rsidR="00BF6A4D" w:rsidRPr="0021566F" w:rsidRDefault="00BF6A4D" w:rsidP="0048198B">
            <w:pPr>
              <w:jc w:val="center"/>
              <w:rPr>
                <w:rFonts w:cs="Calibri"/>
                <w:lang w:eastAsia="fr-CA"/>
              </w:rPr>
            </w:pPr>
          </w:p>
        </w:tc>
        <w:tc>
          <w:tcPr>
            <w:tcW w:w="477" w:type="pct"/>
            <w:tcBorders>
              <w:top w:val="dotted" w:sz="4" w:space="0" w:color="auto"/>
              <w:left w:val="nil"/>
            </w:tcBorders>
            <w:shd w:val="clear" w:color="auto" w:fill="auto"/>
            <w:vAlign w:val="center"/>
          </w:tcPr>
          <w:p w14:paraId="14760BD7" w14:textId="77777777" w:rsidR="00BF6A4D" w:rsidRPr="0021566F" w:rsidRDefault="00BF6A4D" w:rsidP="0048198B">
            <w:pPr>
              <w:jc w:val="center"/>
              <w:rPr>
                <w:rFonts w:cs="Calibri"/>
                <w:lang w:eastAsia="fr-CA"/>
              </w:rPr>
            </w:pPr>
          </w:p>
        </w:tc>
      </w:tr>
      <w:tr w:rsidR="00BF6A4D" w14:paraId="0EA83B69" w14:textId="77777777" w:rsidTr="009457C4">
        <w:trPr>
          <w:trHeight w:val="255"/>
        </w:trPr>
        <w:tc>
          <w:tcPr>
            <w:tcW w:w="3597" w:type="pct"/>
            <w:shd w:val="clear" w:color="auto" w:fill="auto"/>
            <w:vAlign w:val="center"/>
          </w:tcPr>
          <w:p w14:paraId="11D0A00B"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 calcul du revenu additionnel requis.</w:t>
            </w:r>
          </w:p>
        </w:tc>
        <w:tc>
          <w:tcPr>
            <w:tcW w:w="381" w:type="pct"/>
          </w:tcPr>
          <w:p w14:paraId="01FDF50A"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769804AC" w14:textId="7E64CD39" w:rsidR="00BF6A4D" w:rsidRPr="007E6572" w:rsidRDefault="005250C8" w:rsidP="0048198B">
            <w:pPr>
              <w:jc w:val="center"/>
              <w:rPr>
                <w:rFonts w:cs="Calibri"/>
                <w:color w:val="000000"/>
                <w:lang w:eastAsia="fr-CA"/>
              </w:rPr>
            </w:pPr>
            <w:r>
              <w:rPr>
                <w:rFonts w:cs="Calibri"/>
                <w:color w:val="000000"/>
                <w:lang w:eastAsia="fr-CA"/>
              </w:rPr>
              <w:t>X</w:t>
            </w:r>
          </w:p>
        </w:tc>
        <w:tc>
          <w:tcPr>
            <w:tcW w:w="477" w:type="pct"/>
            <w:shd w:val="clear" w:color="auto" w:fill="auto"/>
            <w:noWrap/>
            <w:vAlign w:val="center"/>
          </w:tcPr>
          <w:p w14:paraId="40F83F7B" w14:textId="4FD7E14C" w:rsidR="00BF6A4D" w:rsidRPr="007E6572" w:rsidRDefault="005250C8" w:rsidP="0048198B">
            <w:pPr>
              <w:jc w:val="center"/>
              <w:rPr>
                <w:rFonts w:cs="Calibri"/>
                <w:color w:val="000000"/>
                <w:lang w:eastAsia="fr-CA"/>
              </w:rPr>
            </w:pPr>
            <w:r>
              <w:rPr>
                <w:rFonts w:cs="Calibri"/>
                <w:color w:val="000000"/>
                <w:lang w:eastAsia="fr-CA"/>
              </w:rPr>
              <w:t>X</w:t>
            </w:r>
          </w:p>
        </w:tc>
      </w:tr>
      <w:tr w:rsidR="00BF6A4D" w14:paraId="7EC61039" w14:textId="77777777" w:rsidTr="009457C4">
        <w:trPr>
          <w:trHeight w:val="255"/>
        </w:trPr>
        <w:tc>
          <w:tcPr>
            <w:tcW w:w="3597" w:type="pct"/>
            <w:shd w:val="clear" w:color="auto" w:fill="auto"/>
            <w:vAlign w:val="center"/>
          </w:tcPr>
          <w:p w14:paraId="66FBE9EF" w14:textId="16657273"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L'évolution du revenu requis (année historique, année de base et année</w:t>
            </w:r>
            <w:r w:rsidR="00F17E45">
              <w:rPr>
                <w:rFonts w:eastAsia="Times New Roman" w:cs="Calibri"/>
                <w:b w:val="0"/>
                <w:sz w:val="24"/>
                <w:szCs w:val="24"/>
                <w:lang w:eastAsia="fr-CA"/>
              </w:rPr>
              <w:t>(s)</w:t>
            </w:r>
            <w:r w:rsidRPr="007E6572">
              <w:rPr>
                <w:rFonts w:eastAsia="Times New Roman" w:cs="Calibri"/>
                <w:b w:val="0"/>
                <w:sz w:val="24"/>
                <w:szCs w:val="24"/>
                <w:lang w:eastAsia="fr-CA"/>
              </w:rPr>
              <w:t xml:space="preserve"> témoin</w:t>
            </w:r>
            <w:r w:rsidR="00F17E45">
              <w:rPr>
                <w:rFonts w:eastAsia="Times New Roman" w:cs="Calibri"/>
                <w:b w:val="0"/>
                <w:sz w:val="24"/>
                <w:szCs w:val="24"/>
                <w:lang w:eastAsia="fr-CA"/>
              </w:rPr>
              <w:t>(s)</w:t>
            </w:r>
            <w:r w:rsidRPr="007E6572">
              <w:rPr>
                <w:rFonts w:eastAsia="Times New Roman" w:cs="Calibri"/>
                <w:b w:val="0"/>
                <w:sz w:val="24"/>
                <w:szCs w:val="24"/>
                <w:lang w:eastAsia="fr-CA"/>
              </w:rPr>
              <w:t>).</w:t>
            </w:r>
          </w:p>
        </w:tc>
        <w:tc>
          <w:tcPr>
            <w:tcW w:w="381" w:type="pct"/>
          </w:tcPr>
          <w:p w14:paraId="6570A390"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641B3034" w14:textId="005D888A" w:rsidR="00BF6A4D" w:rsidRPr="007E6572" w:rsidRDefault="005250C8" w:rsidP="0048198B">
            <w:pPr>
              <w:jc w:val="center"/>
              <w:rPr>
                <w:rFonts w:cs="Calibri"/>
                <w:color w:val="000000"/>
                <w:lang w:eastAsia="fr-CA"/>
              </w:rPr>
            </w:pPr>
            <w:r>
              <w:rPr>
                <w:rFonts w:cs="Calibri"/>
                <w:color w:val="000000"/>
                <w:lang w:eastAsia="fr-CA"/>
              </w:rPr>
              <w:t>X</w:t>
            </w:r>
          </w:p>
        </w:tc>
        <w:tc>
          <w:tcPr>
            <w:tcW w:w="477" w:type="pct"/>
            <w:shd w:val="clear" w:color="auto" w:fill="auto"/>
            <w:noWrap/>
            <w:vAlign w:val="center"/>
          </w:tcPr>
          <w:p w14:paraId="02151B54" w14:textId="520BC9F1" w:rsidR="00BF6A4D" w:rsidRPr="007E6572" w:rsidRDefault="005250C8" w:rsidP="0048198B">
            <w:pPr>
              <w:jc w:val="center"/>
              <w:rPr>
                <w:rFonts w:cs="Calibri"/>
                <w:color w:val="000000"/>
                <w:lang w:eastAsia="fr-CA"/>
              </w:rPr>
            </w:pPr>
            <w:r>
              <w:rPr>
                <w:rFonts w:cs="Calibri"/>
                <w:color w:val="000000"/>
                <w:lang w:eastAsia="fr-CA"/>
              </w:rPr>
              <w:t>X</w:t>
            </w:r>
          </w:p>
        </w:tc>
      </w:tr>
      <w:tr w:rsidR="00BF6A4D" w14:paraId="167DF923" w14:textId="77777777" w:rsidTr="009457C4">
        <w:trPr>
          <w:trHeight w:val="255"/>
        </w:trPr>
        <w:tc>
          <w:tcPr>
            <w:tcW w:w="3597" w:type="pct"/>
            <w:shd w:val="clear" w:color="auto" w:fill="auto"/>
            <w:vAlign w:val="center"/>
          </w:tcPr>
          <w:p w14:paraId="0F694915"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La prévision pour l'année témoin projetée de l’indice de prix à la consommation (IPC) du Québec.</w:t>
            </w:r>
          </w:p>
        </w:tc>
        <w:tc>
          <w:tcPr>
            <w:tcW w:w="381" w:type="pct"/>
          </w:tcPr>
          <w:p w14:paraId="0182BAC8"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781A257D" w14:textId="237F025F" w:rsidR="00BF6A4D" w:rsidRPr="007E6572" w:rsidRDefault="005250C8" w:rsidP="0048198B">
            <w:pPr>
              <w:jc w:val="center"/>
              <w:rPr>
                <w:rFonts w:cs="Calibri"/>
                <w:color w:val="000000"/>
                <w:lang w:eastAsia="fr-CA"/>
              </w:rPr>
            </w:pPr>
            <w:r>
              <w:rPr>
                <w:rFonts w:cs="Calibri"/>
                <w:color w:val="000000"/>
                <w:lang w:eastAsia="fr-CA"/>
              </w:rPr>
              <w:t>X</w:t>
            </w:r>
          </w:p>
        </w:tc>
        <w:tc>
          <w:tcPr>
            <w:tcW w:w="477" w:type="pct"/>
            <w:shd w:val="clear" w:color="auto" w:fill="auto"/>
            <w:vAlign w:val="center"/>
          </w:tcPr>
          <w:p w14:paraId="55256419" w14:textId="2D758611" w:rsidR="00BF6A4D" w:rsidRPr="007E6572" w:rsidRDefault="00BF6A4D" w:rsidP="0048198B">
            <w:pPr>
              <w:jc w:val="center"/>
              <w:rPr>
                <w:rFonts w:cs="Calibri"/>
                <w:color w:val="000000"/>
                <w:lang w:eastAsia="fr-CA"/>
              </w:rPr>
            </w:pPr>
          </w:p>
        </w:tc>
      </w:tr>
      <w:tr w:rsidR="00BF6A4D" w:rsidRPr="00E979A9" w14:paraId="3772353D" w14:textId="77777777" w:rsidTr="009457C4">
        <w:trPr>
          <w:trHeight w:val="255"/>
        </w:trPr>
        <w:tc>
          <w:tcPr>
            <w:tcW w:w="3597" w:type="pct"/>
            <w:shd w:val="clear" w:color="auto" w:fill="auto"/>
            <w:vAlign w:val="center"/>
            <w:hideMark/>
          </w:tcPr>
          <w:p w14:paraId="10D980D7" w14:textId="5AE6BA2D" w:rsidR="00BF6A4D" w:rsidRPr="00DB7F79" w:rsidRDefault="00BF6A4D" w:rsidP="00E979A9">
            <w:pPr>
              <w:pStyle w:val="TitreS2"/>
              <w:numPr>
                <w:ilvl w:val="3"/>
                <w:numId w:val="8"/>
              </w:numPr>
              <w:spacing w:before="200" w:after="0"/>
              <w:ind w:left="567" w:hanging="567"/>
              <w:rPr>
                <w:rFonts w:eastAsia="Times New Roman" w:cs="Calibri"/>
                <w:b w:val="0"/>
                <w:sz w:val="24"/>
                <w:szCs w:val="24"/>
                <w:lang w:eastAsia="fr-CA"/>
              </w:rPr>
            </w:pPr>
            <w:r w:rsidRPr="00DB7F79">
              <w:rPr>
                <w:rFonts w:eastAsia="Times New Roman" w:cs="Calibri"/>
                <w:b w:val="0"/>
                <w:sz w:val="24"/>
                <w:szCs w:val="24"/>
                <w:lang w:eastAsia="fr-CA"/>
              </w:rPr>
              <w:t>Le sommaire des charges pour l’année historique, l'année autorisé</w:t>
            </w:r>
            <w:r w:rsidR="00F17E45" w:rsidRPr="00DB7F79">
              <w:rPr>
                <w:rFonts w:eastAsia="Times New Roman" w:cs="Calibri"/>
                <w:b w:val="0"/>
                <w:sz w:val="24"/>
                <w:szCs w:val="24"/>
                <w:lang w:eastAsia="fr-CA"/>
              </w:rPr>
              <w:t>e</w:t>
            </w:r>
            <w:r w:rsidRPr="00DB7F79">
              <w:rPr>
                <w:rFonts w:eastAsia="Times New Roman" w:cs="Calibri"/>
                <w:b w:val="0"/>
                <w:sz w:val="24"/>
                <w:szCs w:val="24"/>
                <w:lang w:eastAsia="fr-CA"/>
              </w:rPr>
              <w:t xml:space="preserve"> précédente, l'année de base</w:t>
            </w:r>
            <w:r w:rsidR="00F17E45" w:rsidRPr="00DB7F79">
              <w:rPr>
                <w:rFonts w:eastAsia="Times New Roman" w:cs="Calibri"/>
                <w:b w:val="0"/>
                <w:sz w:val="24"/>
                <w:szCs w:val="24"/>
                <w:lang w:eastAsia="fr-CA"/>
              </w:rPr>
              <w:t>, ainsi que pour</w:t>
            </w:r>
            <w:r w:rsidRPr="00DB7F79">
              <w:rPr>
                <w:rFonts w:eastAsia="Times New Roman" w:cs="Calibri"/>
                <w:b w:val="0"/>
                <w:sz w:val="24"/>
                <w:szCs w:val="24"/>
                <w:lang w:eastAsia="fr-CA"/>
              </w:rPr>
              <w:t xml:space="preserve"> </w:t>
            </w:r>
            <w:r w:rsidR="00F17E45" w:rsidRPr="00DB7F79">
              <w:rPr>
                <w:rFonts w:eastAsia="Times New Roman" w:cs="Calibri"/>
                <w:b w:val="0"/>
                <w:sz w:val="24"/>
                <w:szCs w:val="24"/>
                <w:lang w:eastAsia="fr-CA"/>
              </w:rPr>
              <w:t xml:space="preserve">chaque </w:t>
            </w:r>
            <w:r w:rsidRPr="00DB7F79">
              <w:rPr>
                <w:rFonts w:eastAsia="Times New Roman" w:cs="Calibri"/>
                <w:b w:val="0"/>
                <w:sz w:val="24"/>
                <w:szCs w:val="24"/>
                <w:lang w:eastAsia="fr-CA"/>
              </w:rPr>
              <w:t>année témoin, incluant les écarts et l’explication de toute variation importante d’une année à l'autre.</w:t>
            </w:r>
          </w:p>
          <w:p w14:paraId="5ECD5451" w14:textId="5E3F69BC" w:rsidR="00BF6A4D" w:rsidRPr="00DB7F79" w:rsidRDefault="00BF6A4D" w:rsidP="00E979A9">
            <w:pPr>
              <w:pStyle w:val="Paragraphedeliste"/>
              <w:numPr>
                <w:ilvl w:val="0"/>
                <w:numId w:val="14"/>
              </w:numPr>
              <w:spacing w:after="60"/>
              <w:ind w:right="113"/>
              <w:jc w:val="both"/>
              <w:rPr>
                <w:rFonts w:eastAsia="Times New Roman" w:cs="Calibri"/>
                <w:sz w:val="24"/>
                <w:szCs w:val="24"/>
                <w:lang w:eastAsia="fr-CA"/>
              </w:rPr>
            </w:pPr>
            <w:r w:rsidRPr="00DB7F79">
              <w:rPr>
                <w:rFonts w:eastAsia="Times New Roman" w:cs="Calibri"/>
                <w:sz w:val="24"/>
                <w:szCs w:val="24"/>
                <w:lang w:eastAsia="fr-CA"/>
              </w:rPr>
              <w:t>Par secteur d’activité;</w:t>
            </w:r>
          </w:p>
          <w:p w14:paraId="79CB7653" w14:textId="1EAE60CA" w:rsidR="00BF6A4D" w:rsidRPr="00DB7F79" w:rsidRDefault="00BF6A4D" w:rsidP="00E979A9">
            <w:pPr>
              <w:pStyle w:val="Paragraphedeliste"/>
              <w:numPr>
                <w:ilvl w:val="0"/>
                <w:numId w:val="14"/>
              </w:numPr>
              <w:spacing w:after="60"/>
              <w:ind w:right="113"/>
              <w:jc w:val="both"/>
              <w:rPr>
                <w:rFonts w:eastAsia="Times New Roman" w:cs="Calibri"/>
                <w:sz w:val="24"/>
                <w:szCs w:val="24"/>
                <w:lang w:eastAsia="fr-CA"/>
              </w:rPr>
            </w:pPr>
            <w:r w:rsidRPr="00DB7F79">
              <w:rPr>
                <w:rFonts w:eastAsia="Times New Roman" w:cs="Calibri"/>
                <w:sz w:val="24"/>
                <w:szCs w:val="24"/>
                <w:lang w:eastAsia="fr-CA"/>
              </w:rPr>
              <w:lastRenderedPageBreak/>
              <w:t>Par nature.</w:t>
            </w:r>
          </w:p>
        </w:tc>
        <w:tc>
          <w:tcPr>
            <w:tcW w:w="381" w:type="pct"/>
          </w:tcPr>
          <w:p w14:paraId="4A385732" w14:textId="77777777" w:rsidR="00BF6A4D" w:rsidRPr="00E979A9" w:rsidRDefault="00BF6A4D" w:rsidP="0048198B">
            <w:pPr>
              <w:jc w:val="center"/>
              <w:rPr>
                <w:rFonts w:cs="Calibri"/>
                <w:color w:val="000000"/>
                <w:lang w:eastAsia="fr-CA"/>
              </w:rPr>
            </w:pPr>
          </w:p>
        </w:tc>
        <w:tc>
          <w:tcPr>
            <w:tcW w:w="545" w:type="pct"/>
            <w:shd w:val="clear" w:color="auto" w:fill="auto"/>
            <w:vAlign w:val="center"/>
            <w:hideMark/>
          </w:tcPr>
          <w:p w14:paraId="17D64D43" w14:textId="62A6FB22" w:rsidR="00BF6A4D" w:rsidRPr="00E979A9" w:rsidRDefault="005250C8" w:rsidP="0048198B">
            <w:pPr>
              <w:jc w:val="center"/>
              <w:rPr>
                <w:rFonts w:cs="Calibri"/>
                <w:color w:val="000000"/>
                <w:lang w:eastAsia="fr-CA"/>
              </w:rPr>
            </w:pPr>
            <w:r>
              <w:rPr>
                <w:rFonts w:cs="Calibri"/>
                <w:color w:val="000000"/>
                <w:lang w:eastAsia="fr-CA"/>
              </w:rPr>
              <w:t>X</w:t>
            </w:r>
          </w:p>
        </w:tc>
        <w:tc>
          <w:tcPr>
            <w:tcW w:w="477" w:type="pct"/>
            <w:shd w:val="clear" w:color="auto" w:fill="auto"/>
            <w:vAlign w:val="center"/>
            <w:hideMark/>
          </w:tcPr>
          <w:p w14:paraId="135ED085" w14:textId="3BFF739A" w:rsidR="00BF6A4D" w:rsidRPr="00E979A9" w:rsidRDefault="005250C8" w:rsidP="0048198B">
            <w:pPr>
              <w:jc w:val="center"/>
              <w:rPr>
                <w:rFonts w:cs="Calibri"/>
                <w:lang w:eastAsia="fr-CA"/>
              </w:rPr>
            </w:pPr>
            <w:r>
              <w:rPr>
                <w:rFonts w:cs="Calibri"/>
                <w:color w:val="000000"/>
                <w:lang w:eastAsia="fr-CA"/>
              </w:rPr>
              <w:t>X</w:t>
            </w:r>
            <w:r w:rsidR="00BF6A4D" w:rsidRPr="00E979A9">
              <w:rPr>
                <w:rStyle w:val="Appelnotedebasdep"/>
                <w:rFonts w:cs="Calibri"/>
                <w:color w:val="000000"/>
                <w:lang w:eastAsia="fr-CA"/>
              </w:rPr>
              <w:footnoteReference w:id="20"/>
            </w:r>
          </w:p>
        </w:tc>
      </w:tr>
      <w:tr w:rsidR="00BF6A4D" w14:paraId="73FF27A2" w14:textId="77777777" w:rsidTr="009457C4">
        <w:trPr>
          <w:trHeight w:val="255"/>
        </w:trPr>
        <w:tc>
          <w:tcPr>
            <w:tcW w:w="3597" w:type="pct"/>
            <w:shd w:val="clear" w:color="auto" w:fill="auto"/>
            <w:vAlign w:val="center"/>
          </w:tcPr>
          <w:p w14:paraId="33714478" w14:textId="77777777" w:rsidR="00BF6A4D" w:rsidRPr="00DB7F79" w:rsidRDefault="00BF6A4D" w:rsidP="00165D7F">
            <w:pPr>
              <w:pStyle w:val="TitreS2"/>
              <w:numPr>
                <w:ilvl w:val="3"/>
                <w:numId w:val="8"/>
              </w:numPr>
              <w:spacing w:before="200" w:after="0"/>
              <w:ind w:left="567" w:hanging="567"/>
              <w:rPr>
                <w:rFonts w:eastAsia="Times New Roman" w:cs="Calibri"/>
                <w:b w:val="0"/>
                <w:sz w:val="24"/>
                <w:szCs w:val="24"/>
                <w:lang w:eastAsia="fr-CA"/>
              </w:rPr>
            </w:pPr>
            <w:r w:rsidRPr="00DB7F79">
              <w:rPr>
                <w:rFonts w:eastAsia="Times New Roman" w:cs="Calibri"/>
                <w:b w:val="0"/>
                <w:sz w:val="24"/>
                <w:szCs w:val="24"/>
                <w:lang w:eastAsia="fr-CA"/>
              </w:rPr>
              <w:t>Le cas échéant, l'impact de l'ajustement de l’allocation des coûts entre les activités réglementées et les activités non réglementées sur les dépenses d'exploitation.</w:t>
            </w:r>
          </w:p>
        </w:tc>
        <w:tc>
          <w:tcPr>
            <w:tcW w:w="381" w:type="pct"/>
          </w:tcPr>
          <w:p w14:paraId="3C086562" w14:textId="77777777" w:rsidR="00BF6A4D" w:rsidRPr="007E6572" w:rsidRDefault="00BF6A4D" w:rsidP="0048198B">
            <w:pPr>
              <w:jc w:val="center"/>
              <w:rPr>
                <w:rFonts w:cs="Calibri"/>
                <w:color w:val="000000"/>
                <w:lang w:eastAsia="fr-CA"/>
              </w:rPr>
            </w:pPr>
          </w:p>
        </w:tc>
        <w:tc>
          <w:tcPr>
            <w:tcW w:w="545" w:type="pct"/>
            <w:shd w:val="clear" w:color="auto" w:fill="auto"/>
            <w:vAlign w:val="center"/>
          </w:tcPr>
          <w:p w14:paraId="485635E4" w14:textId="55D8A38A" w:rsidR="00BF6A4D" w:rsidRPr="007E6572" w:rsidRDefault="005250C8"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2E5E5567" w14:textId="720AE182" w:rsidR="00BF6A4D" w:rsidRPr="007E6572" w:rsidRDefault="00BF6A4D" w:rsidP="0048198B">
            <w:pPr>
              <w:jc w:val="center"/>
              <w:rPr>
                <w:rFonts w:cs="Calibri"/>
                <w:color w:val="000000"/>
                <w:lang w:eastAsia="fr-CA"/>
              </w:rPr>
            </w:pPr>
            <w:r w:rsidRPr="007E6572">
              <w:rPr>
                <w:rFonts w:cs="Calibri"/>
                <w:color w:val="000000"/>
                <w:lang w:eastAsia="fr-CA"/>
              </w:rPr>
              <w:t xml:space="preserve"> </w:t>
            </w:r>
            <w:r w:rsidR="005250C8">
              <w:rPr>
                <w:rFonts w:cs="Calibri"/>
                <w:color w:val="000000"/>
                <w:lang w:eastAsia="fr-CA"/>
              </w:rPr>
              <w:t>X</w:t>
            </w:r>
            <w:r>
              <w:rPr>
                <w:rStyle w:val="Appelnotedebasdep"/>
                <w:rFonts w:cs="Calibri"/>
                <w:color w:val="000000"/>
                <w:lang w:eastAsia="fr-CA"/>
              </w:rPr>
              <w:footnoteReference w:id="21"/>
            </w:r>
          </w:p>
        </w:tc>
      </w:tr>
      <w:tr w:rsidR="00BF6A4D" w14:paraId="6F564365" w14:textId="77777777" w:rsidTr="009457C4">
        <w:trPr>
          <w:trHeight w:val="255"/>
        </w:trPr>
        <w:tc>
          <w:tcPr>
            <w:tcW w:w="3597" w:type="pct"/>
            <w:shd w:val="clear" w:color="auto" w:fill="auto"/>
            <w:vAlign w:val="center"/>
          </w:tcPr>
          <w:p w14:paraId="112B3A87"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Les composantes des impôts fonciers et autres.</w:t>
            </w:r>
          </w:p>
        </w:tc>
        <w:tc>
          <w:tcPr>
            <w:tcW w:w="381" w:type="pct"/>
          </w:tcPr>
          <w:p w14:paraId="6518FF40" w14:textId="77777777" w:rsidR="00BF6A4D" w:rsidRPr="007E6572" w:rsidRDefault="00BF6A4D" w:rsidP="0048198B">
            <w:pPr>
              <w:jc w:val="center"/>
              <w:rPr>
                <w:rFonts w:cs="Calibri"/>
                <w:color w:val="000000"/>
                <w:lang w:eastAsia="fr-CA"/>
              </w:rPr>
            </w:pPr>
          </w:p>
        </w:tc>
        <w:tc>
          <w:tcPr>
            <w:tcW w:w="545" w:type="pct"/>
            <w:shd w:val="clear" w:color="auto" w:fill="auto"/>
            <w:vAlign w:val="center"/>
          </w:tcPr>
          <w:p w14:paraId="05CBAD5F" w14:textId="68FAF889" w:rsidR="00BF6A4D" w:rsidRPr="007E6572" w:rsidRDefault="005250C8"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71C6B68D" w14:textId="63D9B6E5" w:rsidR="00BF6A4D" w:rsidRPr="007E6572" w:rsidRDefault="00BF6A4D" w:rsidP="0048198B">
            <w:pPr>
              <w:jc w:val="center"/>
              <w:rPr>
                <w:rFonts w:cs="Calibri"/>
                <w:color w:val="000000"/>
                <w:lang w:eastAsia="fr-CA"/>
              </w:rPr>
            </w:pPr>
          </w:p>
        </w:tc>
      </w:tr>
      <w:tr w:rsidR="00BF6A4D" w14:paraId="1056E33D" w14:textId="77777777" w:rsidTr="009457C4">
        <w:trPr>
          <w:trHeight w:val="255"/>
        </w:trPr>
        <w:tc>
          <w:tcPr>
            <w:tcW w:w="3597" w:type="pct"/>
            <w:shd w:val="clear" w:color="auto" w:fill="auto"/>
            <w:vAlign w:val="center"/>
          </w:tcPr>
          <w:p w14:paraId="5B64636A"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color w:val="000000"/>
                <w:sz w:val="24"/>
                <w:szCs w:val="24"/>
                <w:lang w:eastAsia="fr-CA"/>
              </w:rPr>
              <w:t>L</w:t>
            </w:r>
            <w:r w:rsidRPr="007E6572">
              <w:rPr>
                <w:rFonts w:eastAsia="Times New Roman" w:cs="Calibri"/>
                <w:b w:val="0"/>
                <w:sz w:val="24"/>
                <w:szCs w:val="24"/>
                <w:lang w:eastAsia="fr-CA"/>
              </w:rPr>
              <w:t>'allocation des coûts pour l'établissement des soldes des actifs réglementés et non réglementés.</w:t>
            </w:r>
          </w:p>
        </w:tc>
        <w:tc>
          <w:tcPr>
            <w:tcW w:w="381" w:type="pct"/>
          </w:tcPr>
          <w:p w14:paraId="6294C654"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76101B58" w14:textId="2B7588D3" w:rsidR="00BF6A4D" w:rsidRPr="007E6572" w:rsidRDefault="005250C8"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62F5F222" w14:textId="77777777" w:rsidR="00BF6A4D" w:rsidRPr="007E6572" w:rsidRDefault="00BF6A4D" w:rsidP="0048198B">
            <w:pPr>
              <w:jc w:val="center"/>
              <w:rPr>
                <w:rFonts w:cs="Calibri"/>
                <w:color w:val="000000"/>
                <w:lang w:eastAsia="fr-CA"/>
              </w:rPr>
            </w:pPr>
          </w:p>
        </w:tc>
      </w:tr>
      <w:tr w:rsidR="00BF6A4D" w14:paraId="024E43B2" w14:textId="77777777" w:rsidTr="009457C4">
        <w:trPr>
          <w:trHeight w:val="255"/>
        </w:trPr>
        <w:tc>
          <w:tcPr>
            <w:tcW w:w="3597" w:type="pct"/>
            <w:tcBorders>
              <w:bottom w:val="dotted" w:sz="4" w:space="0" w:color="auto"/>
            </w:tcBorders>
            <w:shd w:val="clear" w:color="auto" w:fill="auto"/>
            <w:vAlign w:val="center"/>
          </w:tcPr>
          <w:p w14:paraId="70584950" w14:textId="3F3C1350" w:rsidR="00BF6A4D" w:rsidRPr="007E6572" w:rsidRDefault="0004754F" w:rsidP="0004754F">
            <w:pPr>
              <w:pStyle w:val="TitreS2"/>
              <w:numPr>
                <w:ilvl w:val="3"/>
                <w:numId w:val="8"/>
              </w:numPr>
              <w:spacing w:before="200" w:after="0"/>
              <w:ind w:left="567" w:hanging="567"/>
              <w:rPr>
                <w:rFonts w:eastAsia="Times New Roman" w:cs="Calibri"/>
                <w:b w:val="0"/>
                <w:color w:val="000000"/>
                <w:sz w:val="24"/>
                <w:szCs w:val="24"/>
                <w:lang w:eastAsia="fr-CA"/>
              </w:rPr>
            </w:pPr>
            <w:r>
              <w:rPr>
                <w:rFonts w:eastAsia="Times New Roman" w:cs="Calibri"/>
                <w:b w:val="0"/>
                <w:color w:val="000000" w:themeColor="text1"/>
                <w:sz w:val="24"/>
                <w:szCs w:val="24"/>
                <w:lang w:eastAsia="fr-CA"/>
              </w:rPr>
              <w:t>A</w:t>
            </w:r>
            <w:r w:rsidR="00BF6A4D" w:rsidRPr="4BF46A35">
              <w:rPr>
                <w:rFonts w:eastAsia="Times New Roman" w:cs="Calibri"/>
                <w:b w:val="0"/>
                <w:color w:val="000000" w:themeColor="text1"/>
                <w:sz w:val="24"/>
                <w:szCs w:val="24"/>
                <w:lang w:eastAsia="fr-CA"/>
              </w:rPr>
              <w:t>u moins à tous les cinq ans, une étude des taux d’amortissement et une estimation de son impact sur le revenu requis de l’année témoin projetée (avant et après changement).</w:t>
            </w:r>
          </w:p>
        </w:tc>
        <w:tc>
          <w:tcPr>
            <w:tcW w:w="381" w:type="pct"/>
            <w:tcBorders>
              <w:bottom w:val="dotted" w:sz="4" w:space="0" w:color="auto"/>
            </w:tcBorders>
          </w:tcPr>
          <w:p w14:paraId="335CBF0E"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1C67E39B" w14:textId="4424FD05" w:rsidR="00BF6A4D" w:rsidRPr="007E6572" w:rsidRDefault="005250C8" w:rsidP="0048198B">
            <w:pPr>
              <w:jc w:val="center"/>
              <w:rPr>
                <w:rFonts w:cs="Calibri"/>
                <w:color w:val="000000"/>
                <w:lang w:eastAsia="fr-CA"/>
              </w:rPr>
            </w:pPr>
            <w:r w:rsidRPr="007E6572">
              <w:rPr>
                <w:rFonts w:cs="Calibri"/>
                <w:color w:val="000000"/>
                <w:lang w:eastAsia="fr-CA"/>
              </w:rPr>
              <w:t>X</w:t>
            </w:r>
            <w:r w:rsidR="0004754F">
              <w:rPr>
                <w:rStyle w:val="Appelnotedebasdep"/>
                <w:rFonts w:cs="Calibri"/>
                <w:b/>
                <w:color w:val="000000" w:themeColor="text1"/>
                <w:szCs w:val="24"/>
                <w:lang w:eastAsia="fr-CA"/>
              </w:rPr>
              <w:footnoteReference w:id="22"/>
            </w:r>
          </w:p>
        </w:tc>
        <w:tc>
          <w:tcPr>
            <w:tcW w:w="477" w:type="pct"/>
            <w:tcBorders>
              <w:bottom w:val="dotted" w:sz="4" w:space="0" w:color="auto"/>
            </w:tcBorders>
            <w:shd w:val="clear" w:color="auto" w:fill="auto"/>
            <w:vAlign w:val="center"/>
          </w:tcPr>
          <w:p w14:paraId="06017E13" w14:textId="3A627ABD" w:rsidR="00BF6A4D" w:rsidRPr="007E6572" w:rsidRDefault="005250C8" w:rsidP="0048198B">
            <w:pPr>
              <w:jc w:val="center"/>
              <w:rPr>
                <w:rFonts w:cs="Calibri"/>
                <w:color w:val="000000"/>
                <w:lang w:eastAsia="fr-CA"/>
              </w:rPr>
            </w:pPr>
            <w:r>
              <w:rPr>
                <w:rFonts w:cs="Calibri"/>
                <w:color w:val="000000"/>
                <w:lang w:eastAsia="fr-CA"/>
              </w:rPr>
              <w:t>X</w:t>
            </w:r>
            <w:r w:rsidR="000D5100" w:rsidRPr="000D5100">
              <w:rPr>
                <w:rFonts w:cs="Calibri"/>
                <w:color w:val="000000"/>
                <w:vertAlign w:val="superscript"/>
                <w:lang w:eastAsia="fr-CA"/>
              </w:rPr>
              <w:t>21</w:t>
            </w:r>
          </w:p>
        </w:tc>
      </w:tr>
      <w:tr w:rsidR="007E2E7B" w14:paraId="659AC577" w14:textId="77777777" w:rsidTr="009457C4">
        <w:trPr>
          <w:trHeight w:val="255"/>
        </w:trPr>
        <w:tc>
          <w:tcPr>
            <w:tcW w:w="3597" w:type="pct"/>
            <w:tcBorders>
              <w:top w:val="dotted" w:sz="4" w:space="0" w:color="auto"/>
              <w:right w:val="nil"/>
            </w:tcBorders>
          </w:tcPr>
          <w:p w14:paraId="2B8B310E" w14:textId="52DA9D70" w:rsidR="007E2E7B" w:rsidRDefault="007E2E7B" w:rsidP="007E2E7B">
            <w:pPr>
              <w:pStyle w:val="Titre2"/>
              <w:keepNext/>
              <w:tabs>
                <w:tab w:val="clear" w:pos="709"/>
                <w:tab w:val="num" w:pos="851"/>
              </w:tabs>
              <w:spacing w:before="360"/>
              <w:ind w:left="851" w:hanging="851"/>
              <w:rPr>
                <w:rFonts w:cs="Calibri"/>
                <w:color w:val="000000"/>
                <w:szCs w:val="24"/>
              </w:rPr>
            </w:pPr>
            <w:bookmarkStart w:id="26" w:name="_Toc124329925"/>
            <w:r w:rsidRPr="00856C38">
              <w:rPr>
                <w:rFonts w:cs="Calibri"/>
                <w:szCs w:val="24"/>
              </w:rPr>
              <w:t>Bénéfice net réglementé</w:t>
            </w:r>
            <w:bookmarkEnd w:id="26"/>
          </w:p>
        </w:tc>
        <w:tc>
          <w:tcPr>
            <w:tcW w:w="381" w:type="pct"/>
            <w:tcBorders>
              <w:top w:val="dotted" w:sz="4" w:space="0" w:color="auto"/>
              <w:left w:val="nil"/>
              <w:right w:val="nil"/>
            </w:tcBorders>
          </w:tcPr>
          <w:p w14:paraId="2B85254F" w14:textId="74F42F59" w:rsidR="007E2E7B" w:rsidRPr="00856C38" w:rsidRDefault="007E2E7B" w:rsidP="007E2E7B">
            <w:pPr>
              <w:pStyle w:val="Titre2"/>
              <w:keepNext/>
              <w:numPr>
                <w:ilvl w:val="0"/>
                <w:numId w:val="0"/>
              </w:numPr>
              <w:rPr>
                <w:rFonts w:cs="Calibri"/>
                <w:szCs w:val="24"/>
              </w:rPr>
            </w:pPr>
          </w:p>
        </w:tc>
        <w:tc>
          <w:tcPr>
            <w:tcW w:w="545" w:type="pct"/>
            <w:tcBorders>
              <w:top w:val="dotted" w:sz="4" w:space="0" w:color="auto"/>
              <w:left w:val="nil"/>
              <w:right w:val="nil"/>
            </w:tcBorders>
          </w:tcPr>
          <w:p w14:paraId="2DF50345" w14:textId="77777777" w:rsidR="007E2E7B" w:rsidRPr="00856C38" w:rsidRDefault="007E2E7B" w:rsidP="007E2E7B">
            <w:pPr>
              <w:pStyle w:val="Titre2"/>
              <w:keepNext/>
              <w:numPr>
                <w:ilvl w:val="0"/>
                <w:numId w:val="0"/>
              </w:numPr>
              <w:rPr>
                <w:rFonts w:cs="Calibri"/>
                <w:szCs w:val="24"/>
              </w:rPr>
            </w:pPr>
          </w:p>
        </w:tc>
        <w:tc>
          <w:tcPr>
            <w:tcW w:w="477" w:type="pct"/>
            <w:tcBorders>
              <w:top w:val="dotted" w:sz="4" w:space="0" w:color="auto"/>
              <w:left w:val="nil"/>
            </w:tcBorders>
          </w:tcPr>
          <w:p w14:paraId="0F87BE43" w14:textId="536A2E75" w:rsidR="007E2E7B" w:rsidRPr="00856C38" w:rsidRDefault="007E2E7B" w:rsidP="007E2E7B">
            <w:pPr>
              <w:pStyle w:val="Titre2"/>
              <w:keepNext/>
              <w:numPr>
                <w:ilvl w:val="0"/>
                <w:numId w:val="0"/>
              </w:numPr>
              <w:ind w:left="709" w:hanging="709"/>
              <w:rPr>
                <w:rFonts w:cs="Calibri"/>
                <w:szCs w:val="24"/>
              </w:rPr>
            </w:pPr>
          </w:p>
        </w:tc>
      </w:tr>
      <w:bookmarkEnd w:id="25"/>
      <w:tr w:rsidR="00BF6A4D" w14:paraId="7F6E8807" w14:textId="77777777" w:rsidTr="009457C4">
        <w:trPr>
          <w:trHeight w:val="255"/>
        </w:trPr>
        <w:tc>
          <w:tcPr>
            <w:tcW w:w="3597" w:type="pct"/>
            <w:tcBorders>
              <w:bottom w:val="dotted" w:sz="4" w:space="0" w:color="auto"/>
            </w:tcBorders>
            <w:shd w:val="clear" w:color="auto" w:fill="auto"/>
            <w:vAlign w:val="center"/>
          </w:tcPr>
          <w:p w14:paraId="7D964EC1" w14:textId="770AA31B"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 xml:space="preserve">Les projections budgétaires de l’année témoin, ainsi que les hypothèses sous-jacentes, incluant les données budgétaires relatives à l’année de base, à l’année autorisée précédente et à l’année historique la plus récente ainsi que les écarts </w:t>
            </w:r>
            <w:r w:rsidRPr="007E6572">
              <w:rPr>
                <w:rFonts w:cs="Calibri"/>
                <w:b w:val="0"/>
                <w:sz w:val="24"/>
                <w:szCs w:val="24"/>
                <w:lang w:eastAsia="fr-CA"/>
              </w:rPr>
              <w:t xml:space="preserve">observés et en pourcentage </w:t>
            </w:r>
            <w:r w:rsidRPr="007E6572">
              <w:rPr>
                <w:rFonts w:eastAsia="Times New Roman" w:cs="Calibri"/>
                <w:b w:val="0"/>
                <w:sz w:val="24"/>
                <w:szCs w:val="24"/>
                <w:lang w:eastAsia="fr-CA"/>
              </w:rPr>
              <w:t xml:space="preserve">entre </w:t>
            </w:r>
            <w:r w:rsidR="00F17E45">
              <w:rPr>
                <w:rFonts w:eastAsia="Times New Roman" w:cs="Calibri"/>
                <w:b w:val="0"/>
                <w:sz w:val="24"/>
                <w:szCs w:val="24"/>
                <w:lang w:eastAsia="fr-CA"/>
              </w:rPr>
              <w:t xml:space="preserve">chaque </w:t>
            </w:r>
            <w:r w:rsidRPr="007E6572">
              <w:rPr>
                <w:rFonts w:eastAsia="Times New Roman" w:cs="Calibri"/>
                <w:b w:val="0"/>
                <w:sz w:val="24"/>
                <w:szCs w:val="24"/>
                <w:lang w:eastAsia="fr-CA"/>
              </w:rPr>
              <w:t>année témoin et :</w:t>
            </w:r>
          </w:p>
          <w:p w14:paraId="0A582ADE" w14:textId="77777777" w:rsidR="00BF6A4D" w:rsidRPr="007E6572" w:rsidRDefault="00BF6A4D" w:rsidP="00352626">
            <w:pPr>
              <w:pStyle w:val="Paragraphedeliste"/>
              <w:numPr>
                <w:ilvl w:val="0"/>
                <w:numId w:val="14"/>
              </w:numPr>
              <w:spacing w:after="60"/>
              <w:ind w:right="113"/>
              <w:jc w:val="both"/>
              <w:rPr>
                <w:rFonts w:cs="Calibri"/>
                <w:sz w:val="24"/>
                <w:szCs w:val="24"/>
                <w:lang w:eastAsia="fr-CA"/>
              </w:rPr>
            </w:pPr>
            <w:r w:rsidRPr="007E6572">
              <w:rPr>
                <w:rFonts w:cs="Calibri"/>
                <w:sz w:val="24"/>
                <w:szCs w:val="24"/>
                <w:lang w:eastAsia="fr-CA"/>
              </w:rPr>
              <w:t>l’année de base;</w:t>
            </w:r>
          </w:p>
          <w:p w14:paraId="737137B9" w14:textId="77777777" w:rsidR="00BF6A4D" w:rsidRPr="007E6572" w:rsidRDefault="00BF6A4D" w:rsidP="00352626">
            <w:pPr>
              <w:pStyle w:val="Paragraphedeliste"/>
              <w:numPr>
                <w:ilvl w:val="0"/>
                <w:numId w:val="14"/>
              </w:numPr>
              <w:spacing w:after="60"/>
              <w:ind w:right="113"/>
              <w:jc w:val="both"/>
              <w:rPr>
                <w:rFonts w:cs="Calibri"/>
                <w:sz w:val="24"/>
                <w:szCs w:val="24"/>
                <w:lang w:eastAsia="fr-CA"/>
              </w:rPr>
            </w:pPr>
            <w:r w:rsidRPr="007E6572">
              <w:rPr>
                <w:rFonts w:cs="Calibri"/>
                <w:sz w:val="24"/>
                <w:szCs w:val="24"/>
                <w:lang w:eastAsia="fr-CA"/>
              </w:rPr>
              <w:t>l’année autorisée.</w:t>
            </w:r>
          </w:p>
          <w:p w14:paraId="5973B36F" w14:textId="77777777" w:rsidR="00BF6A4D" w:rsidRPr="007E6572" w:rsidRDefault="00BF6A4D" w:rsidP="00352626">
            <w:pPr>
              <w:ind w:left="531" w:right="6"/>
              <w:rPr>
                <w:rFonts w:cs="Calibri"/>
                <w:szCs w:val="24"/>
                <w:lang w:eastAsia="fr-CA"/>
              </w:rPr>
            </w:pPr>
            <w:r w:rsidRPr="007E6572">
              <w:rPr>
                <w:rFonts w:cs="Calibri"/>
                <w:szCs w:val="24"/>
                <w:lang w:eastAsia="fr-CA"/>
              </w:rPr>
              <w:t>Expliquer toute variation importante d’un budget à l’autre.</w:t>
            </w:r>
          </w:p>
        </w:tc>
        <w:tc>
          <w:tcPr>
            <w:tcW w:w="381" w:type="pct"/>
            <w:tcBorders>
              <w:bottom w:val="dotted" w:sz="4" w:space="0" w:color="auto"/>
            </w:tcBorders>
          </w:tcPr>
          <w:p w14:paraId="1F618F8F"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0BA8177B" w14:textId="446765E2" w:rsidR="00BF6A4D" w:rsidRPr="007E6572" w:rsidRDefault="005250C8" w:rsidP="00BF6A4D">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vAlign w:val="center"/>
          </w:tcPr>
          <w:p w14:paraId="4A998ACC" w14:textId="4F9CDC86" w:rsidR="00BF6A4D" w:rsidRPr="007E6572" w:rsidRDefault="005250C8" w:rsidP="0048198B">
            <w:pPr>
              <w:jc w:val="center"/>
              <w:rPr>
                <w:rFonts w:cs="Calibri"/>
                <w:color w:val="000000"/>
                <w:lang w:eastAsia="fr-CA"/>
              </w:rPr>
            </w:pPr>
            <w:r w:rsidRPr="007E6572">
              <w:rPr>
                <w:rFonts w:cs="Calibri"/>
                <w:color w:val="000000"/>
                <w:lang w:eastAsia="fr-CA"/>
              </w:rPr>
              <w:t>X</w:t>
            </w:r>
            <w:r w:rsidR="00BF6A4D">
              <w:rPr>
                <w:rStyle w:val="Appelnotedebasdep"/>
                <w:rFonts w:cs="Calibri"/>
                <w:color w:val="000000"/>
                <w:lang w:eastAsia="fr-CA"/>
              </w:rPr>
              <w:footnoteReference w:id="23"/>
            </w:r>
          </w:p>
        </w:tc>
      </w:tr>
      <w:tr w:rsidR="00BF6A4D" w14:paraId="60DB7D90" w14:textId="77777777" w:rsidTr="009457C4">
        <w:trPr>
          <w:trHeight w:val="255"/>
        </w:trPr>
        <w:tc>
          <w:tcPr>
            <w:tcW w:w="3597" w:type="pct"/>
            <w:tcBorders>
              <w:top w:val="dotted" w:sz="4" w:space="0" w:color="auto"/>
              <w:right w:val="nil"/>
            </w:tcBorders>
            <w:shd w:val="clear" w:color="auto" w:fill="auto"/>
          </w:tcPr>
          <w:p w14:paraId="4E655F2A" w14:textId="4DB75480" w:rsidR="00BF6A4D" w:rsidRPr="0021566F" w:rsidRDefault="00BF6A4D" w:rsidP="007E2E7B">
            <w:pPr>
              <w:pStyle w:val="Titre2"/>
              <w:keepNext/>
              <w:tabs>
                <w:tab w:val="clear" w:pos="709"/>
                <w:tab w:val="num" w:pos="851"/>
              </w:tabs>
              <w:spacing w:before="360"/>
              <w:ind w:left="851" w:hanging="851"/>
              <w:rPr>
                <w:rFonts w:cs="Calibri"/>
                <w:szCs w:val="24"/>
              </w:rPr>
            </w:pPr>
            <w:bookmarkStart w:id="27" w:name="_Toc124329926"/>
            <w:r w:rsidRPr="00856C38">
              <w:rPr>
                <w:rFonts w:cs="Calibri"/>
                <w:szCs w:val="24"/>
              </w:rPr>
              <w:lastRenderedPageBreak/>
              <w:t>Charge d’amortissement</w:t>
            </w:r>
            <w:bookmarkEnd w:id="27"/>
          </w:p>
        </w:tc>
        <w:tc>
          <w:tcPr>
            <w:tcW w:w="381" w:type="pct"/>
            <w:tcBorders>
              <w:top w:val="dotted" w:sz="4" w:space="0" w:color="auto"/>
              <w:left w:val="nil"/>
              <w:right w:val="nil"/>
            </w:tcBorders>
          </w:tcPr>
          <w:p w14:paraId="67C84F64" w14:textId="77777777" w:rsidR="00BF6A4D" w:rsidRPr="0021566F" w:rsidRDefault="00BF6A4D" w:rsidP="00352626">
            <w:pPr>
              <w:rPr>
                <w:rFonts w:cs="Calibri"/>
                <w:lang w:eastAsia="fr-CA"/>
              </w:rPr>
            </w:pPr>
          </w:p>
        </w:tc>
        <w:tc>
          <w:tcPr>
            <w:tcW w:w="545" w:type="pct"/>
            <w:tcBorders>
              <w:top w:val="dotted" w:sz="4" w:space="0" w:color="auto"/>
              <w:left w:val="nil"/>
              <w:right w:val="nil"/>
            </w:tcBorders>
            <w:shd w:val="clear" w:color="auto" w:fill="auto"/>
            <w:noWrap/>
          </w:tcPr>
          <w:p w14:paraId="10FAF934" w14:textId="77777777" w:rsidR="00BF6A4D" w:rsidRPr="0021566F" w:rsidRDefault="00BF6A4D" w:rsidP="00352626">
            <w:pPr>
              <w:rPr>
                <w:rFonts w:cs="Calibri"/>
                <w:lang w:eastAsia="fr-CA"/>
              </w:rPr>
            </w:pPr>
          </w:p>
        </w:tc>
        <w:tc>
          <w:tcPr>
            <w:tcW w:w="477" w:type="pct"/>
            <w:tcBorders>
              <w:top w:val="dotted" w:sz="4" w:space="0" w:color="auto"/>
              <w:left w:val="nil"/>
            </w:tcBorders>
            <w:shd w:val="clear" w:color="auto" w:fill="auto"/>
            <w:noWrap/>
          </w:tcPr>
          <w:p w14:paraId="0736EAD4" w14:textId="77777777" w:rsidR="00BF6A4D" w:rsidRPr="0021566F" w:rsidRDefault="00BF6A4D" w:rsidP="00352626">
            <w:pPr>
              <w:rPr>
                <w:rFonts w:cs="Calibri"/>
                <w:lang w:eastAsia="fr-CA"/>
              </w:rPr>
            </w:pPr>
          </w:p>
        </w:tc>
      </w:tr>
      <w:tr w:rsidR="00BF6A4D" w14:paraId="0E887AB1" w14:textId="77777777" w:rsidTr="009457C4">
        <w:trPr>
          <w:trHeight w:val="255"/>
        </w:trPr>
        <w:tc>
          <w:tcPr>
            <w:tcW w:w="3597" w:type="pct"/>
            <w:shd w:val="clear" w:color="auto" w:fill="auto"/>
            <w:vAlign w:val="center"/>
          </w:tcPr>
          <w:p w14:paraId="5F6CE024" w14:textId="73B47969"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w:t>
            </w:r>
            <w:r w:rsidRPr="007E6572">
              <w:rPr>
                <w:rFonts w:eastAsia="Times New Roman" w:cs="Calibri"/>
                <w:b w:val="0"/>
                <w:color w:val="000000"/>
                <w:sz w:val="24"/>
                <w:szCs w:val="24"/>
                <w:lang w:eastAsia="fr-CA"/>
              </w:rPr>
              <w:t>’état</w:t>
            </w:r>
            <w:r w:rsidRPr="007E6572">
              <w:rPr>
                <w:rFonts w:eastAsia="Times New Roman" w:cs="Calibri"/>
                <w:b w:val="0"/>
                <w:sz w:val="24"/>
                <w:szCs w:val="24"/>
                <w:lang w:eastAsia="fr-CA"/>
              </w:rPr>
              <w:t xml:space="preserve"> de l’amortissement cumulé des immobilisations par catégorie d’actifs </w:t>
            </w:r>
            <w:r>
              <w:rPr>
                <w:rFonts w:eastAsia="Times New Roman" w:cs="Calibri"/>
                <w:b w:val="0"/>
                <w:sz w:val="24"/>
                <w:szCs w:val="24"/>
                <w:lang w:eastAsia="fr-CA"/>
              </w:rPr>
              <w:t xml:space="preserve">de l’année historique, de l’année autorisée, de l’année de base et </w:t>
            </w:r>
            <w:r w:rsidRPr="007E6572">
              <w:rPr>
                <w:rFonts w:eastAsia="Times New Roman" w:cs="Calibri"/>
                <w:b w:val="0"/>
                <w:sz w:val="24"/>
                <w:szCs w:val="24"/>
                <w:lang w:eastAsia="fr-CA"/>
              </w:rPr>
              <w:t>du budget de l’année témoin projetée</w:t>
            </w:r>
            <w:r>
              <w:rPr>
                <w:rStyle w:val="Appelnotedebasdep"/>
                <w:rFonts w:eastAsia="Times New Roman" w:cs="Calibri"/>
                <w:b w:val="0"/>
                <w:sz w:val="24"/>
                <w:szCs w:val="24"/>
                <w:lang w:eastAsia="fr-CA"/>
              </w:rPr>
              <w:footnoteReference w:id="24"/>
            </w:r>
            <w:r w:rsidRPr="007E6572">
              <w:rPr>
                <w:rFonts w:eastAsia="Times New Roman" w:cs="Calibri"/>
                <w:b w:val="0"/>
                <w:sz w:val="24"/>
                <w:szCs w:val="24"/>
                <w:lang w:eastAsia="fr-CA"/>
              </w:rPr>
              <w:t>, incluant le solde de début, l’amortissement, les coûts d’abandon, les retraits et le solde de la fin.</w:t>
            </w:r>
          </w:p>
        </w:tc>
        <w:tc>
          <w:tcPr>
            <w:tcW w:w="381" w:type="pct"/>
          </w:tcPr>
          <w:p w14:paraId="6702B77A"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173BE861" w14:textId="1D72C6EC" w:rsidR="00BF6A4D" w:rsidRPr="007E6572" w:rsidRDefault="0004754F"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704E7FC4" w14:textId="77777777" w:rsidR="00BF6A4D" w:rsidRPr="007E6572" w:rsidRDefault="00BF6A4D" w:rsidP="0048198B">
            <w:pPr>
              <w:jc w:val="center"/>
              <w:rPr>
                <w:rFonts w:cs="Calibri"/>
                <w:color w:val="000000"/>
                <w:lang w:eastAsia="fr-CA"/>
              </w:rPr>
            </w:pPr>
          </w:p>
        </w:tc>
      </w:tr>
      <w:tr w:rsidR="00BF6A4D" w14:paraId="7B0F03CA" w14:textId="77777777" w:rsidTr="009457C4">
        <w:trPr>
          <w:trHeight w:val="255"/>
        </w:trPr>
        <w:tc>
          <w:tcPr>
            <w:tcW w:w="3597" w:type="pct"/>
            <w:shd w:val="clear" w:color="auto" w:fill="auto"/>
            <w:vAlign w:val="center"/>
          </w:tcPr>
          <w:p w14:paraId="24D78EC7"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w:t>
            </w:r>
            <w:r w:rsidRPr="007E6572">
              <w:rPr>
                <w:rFonts w:eastAsia="Times New Roman" w:cs="Calibri"/>
                <w:b w:val="0"/>
                <w:color w:val="000000"/>
                <w:sz w:val="24"/>
                <w:szCs w:val="24"/>
                <w:lang w:eastAsia="fr-CA"/>
              </w:rPr>
              <w:t>’état</w:t>
            </w:r>
            <w:r w:rsidRPr="007E6572">
              <w:rPr>
                <w:rFonts w:eastAsia="Times New Roman" w:cs="Calibri"/>
                <w:b w:val="0"/>
                <w:sz w:val="24"/>
                <w:szCs w:val="24"/>
                <w:lang w:eastAsia="fr-CA"/>
              </w:rPr>
              <w:t xml:space="preserve"> de la dépense d’amortissement des immobilisations (basée sur le budget de base) par catégorie d’actifs en précisant le taux d’amortissement, incluant la valeur historique, l’amortissement cumulé et le solde non amorti des immobilisations du budget de base.</w:t>
            </w:r>
          </w:p>
        </w:tc>
        <w:tc>
          <w:tcPr>
            <w:tcW w:w="381" w:type="pct"/>
          </w:tcPr>
          <w:p w14:paraId="058D3BCE"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4CBCC2BF" w14:textId="37B21A5F" w:rsidR="00BF6A4D" w:rsidRPr="007E6572" w:rsidRDefault="0004754F"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0087F6AD" w14:textId="77777777" w:rsidR="00BF6A4D" w:rsidRPr="007E6572" w:rsidRDefault="00BF6A4D" w:rsidP="0048198B">
            <w:pPr>
              <w:jc w:val="center"/>
              <w:rPr>
                <w:rFonts w:cs="Calibri"/>
                <w:color w:val="000000"/>
                <w:lang w:eastAsia="fr-CA"/>
              </w:rPr>
            </w:pPr>
          </w:p>
        </w:tc>
      </w:tr>
      <w:tr w:rsidR="00BF6A4D" w14:paraId="44897919" w14:textId="77777777" w:rsidTr="009457C4">
        <w:trPr>
          <w:trHeight w:val="255"/>
        </w:trPr>
        <w:tc>
          <w:tcPr>
            <w:tcW w:w="3597" w:type="pct"/>
            <w:tcBorders>
              <w:bottom w:val="dotted" w:sz="4" w:space="0" w:color="auto"/>
            </w:tcBorders>
            <w:shd w:val="clear" w:color="auto" w:fill="auto"/>
            <w:vAlign w:val="center"/>
          </w:tcPr>
          <w:p w14:paraId="691275FA" w14:textId="76FE687E" w:rsidR="00BF6A4D" w:rsidRPr="00F17E45" w:rsidRDefault="00BF6A4D" w:rsidP="00F17E45">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Concilier la valeur historique et l’amortissement cumulé des immobilisations et des contributions.</w:t>
            </w:r>
          </w:p>
        </w:tc>
        <w:tc>
          <w:tcPr>
            <w:tcW w:w="381" w:type="pct"/>
            <w:tcBorders>
              <w:bottom w:val="dotted" w:sz="4" w:space="0" w:color="auto"/>
            </w:tcBorders>
          </w:tcPr>
          <w:p w14:paraId="15563F65"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60C9FF71" w14:textId="148055ED" w:rsidR="00BF6A4D" w:rsidRPr="007E6572" w:rsidRDefault="0004754F"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tcPr>
          <w:p w14:paraId="40597FD2" w14:textId="7A1493C6" w:rsidR="00BF6A4D" w:rsidRPr="007E6572" w:rsidRDefault="00BF6A4D" w:rsidP="0048198B">
            <w:pPr>
              <w:jc w:val="center"/>
              <w:rPr>
                <w:rFonts w:cs="Calibri"/>
                <w:color w:val="000000"/>
                <w:lang w:eastAsia="fr-CA"/>
              </w:rPr>
            </w:pPr>
          </w:p>
        </w:tc>
      </w:tr>
      <w:tr w:rsidR="00BF6A4D" w14:paraId="3D3E5A78" w14:textId="77777777" w:rsidTr="009457C4">
        <w:trPr>
          <w:trHeight w:val="255"/>
        </w:trPr>
        <w:tc>
          <w:tcPr>
            <w:tcW w:w="3597" w:type="pct"/>
            <w:tcBorders>
              <w:top w:val="dotted" w:sz="4" w:space="0" w:color="auto"/>
              <w:right w:val="nil"/>
            </w:tcBorders>
            <w:shd w:val="clear" w:color="auto" w:fill="auto"/>
            <w:noWrap/>
          </w:tcPr>
          <w:p w14:paraId="68F79DCE" w14:textId="03B14E6B" w:rsidR="00BF6A4D" w:rsidRPr="00856C38" w:rsidRDefault="00BF6A4D" w:rsidP="007E2E7B">
            <w:pPr>
              <w:pStyle w:val="Titre2"/>
              <w:keepNext/>
              <w:tabs>
                <w:tab w:val="clear" w:pos="709"/>
                <w:tab w:val="num" w:pos="851"/>
              </w:tabs>
              <w:spacing w:before="360"/>
              <w:ind w:left="851" w:hanging="851"/>
              <w:rPr>
                <w:rFonts w:cs="Calibri"/>
                <w:szCs w:val="24"/>
              </w:rPr>
            </w:pPr>
            <w:bookmarkStart w:id="28" w:name="_Toc124329927"/>
            <w:r w:rsidRPr="00856C38">
              <w:rPr>
                <w:rFonts w:cs="Calibri"/>
                <w:szCs w:val="24"/>
              </w:rPr>
              <w:t>Revenu imposable et impôt à payer</w:t>
            </w:r>
            <w:bookmarkEnd w:id="28"/>
          </w:p>
        </w:tc>
        <w:tc>
          <w:tcPr>
            <w:tcW w:w="381" w:type="pct"/>
            <w:tcBorders>
              <w:top w:val="dotted" w:sz="4" w:space="0" w:color="auto"/>
              <w:left w:val="nil"/>
              <w:right w:val="nil"/>
            </w:tcBorders>
          </w:tcPr>
          <w:p w14:paraId="06002359" w14:textId="77777777" w:rsidR="00BF6A4D" w:rsidRPr="0021566F" w:rsidRDefault="00BF6A4D" w:rsidP="00352626">
            <w:pPr>
              <w:rPr>
                <w:rFonts w:cs="Calibri"/>
                <w:lang w:eastAsia="fr-CA"/>
              </w:rPr>
            </w:pPr>
          </w:p>
        </w:tc>
        <w:tc>
          <w:tcPr>
            <w:tcW w:w="545" w:type="pct"/>
            <w:tcBorders>
              <w:top w:val="dotted" w:sz="4" w:space="0" w:color="auto"/>
              <w:left w:val="nil"/>
              <w:right w:val="nil"/>
            </w:tcBorders>
            <w:shd w:val="clear" w:color="auto" w:fill="auto"/>
            <w:noWrap/>
          </w:tcPr>
          <w:p w14:paraId="555DE7FE" w14:textId="77777777" w:rsidR="00BF6A4D" w:rsidRPr="0021566F" w:rsidRDefault="00BF6A4D" w:rsidP="00352626">
            <w:pPr>
              <w:rPr>
                <w:rFonts w:cs="Calibri"/>
                <w:lang w:eastAsia="fr-CA"/>
              </w:rPr>
            </w:pPr>
          </w:p>
        </w:tc>
        <w:tc>
          <w:tcPr>
            <w:tcW w:w="477" w:type="pct"/>
            <w:tcBorders>
              <w:top w:val="dotted" w:sz="4" w:space="0" w:color="auto"/>
              <w:left w:val="nil"/>
            </w:tcBorders>
            <w:shd w:val="clear" w:color="auto" w:fill="auto"/>
            <w:noWrap/>
          </w:tcPr>
          <w:p w14:paraId="0E99CC46" w14:textId="77777777" w:rsidR="00BF6A4D" w:rsidRPr="0021566F" w:rsidRDefault="00BF6A4D" w:rsidP="00352626">
            <w:pPr>
              <w:rPr>
                <w:rFonts w:cs="Calibri"/>
                <w:lang w:eastAsia="fr-CA"/>
              </w:rPr>
            </w:pPr>
          </w:p>
        </w:tc>
      </w:tr>
      <w:tr w:rsidR="00BF6A4D" w14:paraId="2E80D5DA" w14:textId="77777777" w:rsidTr="009457C4">
        <w:trPr>
          <w:trHeight w:val="255"/>
        </w:trPr>
        <w:tc>
          <w:tcPr>
            <w:tcW w:w="3597" w:type="pct"/>
            <w:tcBorders>
              <w:bottom w:val="dotted" w:sz="4" w:space="0" w:color="auto"/>
            </w:tcBorders>
            <w:shd w:val="clear" w:color="auto" w:fill="auto"/>
            <w:noWrap/>
            <w:vAlign w:val="center"/>
          </w:tcPr>
          <w:p w14:paraId="1C217A8C" w14:textId="77777777" w:rsidR="00BF6A4D" w:rsidRPr="007E6572" w:rsidRDefault="00BF6A4D" w:rsidP="00352626">
            <w:pPr>
              <w:pStyle w:val="TitreS2"/>
              <w:numPr>
                <w:ilvl w:val="3"/>
                <w:numId w:val="8"/>
              </w:numPr>
              <w:spacing w:before="200" w:after="0"/>
              <w:ind w:left="567" w:hanging="567"/>
              <w:rPr>
                <w:rFonts w:cs="Calibri"/>
                <w:b w:val="0"/>
                <w:sz w:val="24"/>
                <w:szCs w:val="24"/>
                <w:lang w:eastAsia="fr-CA"/>
              </w:rPr>
            </w:pPr>
            <w:r w:rsidRPr="007E6572">
              <w:rPr>
                <w:rFonts w:eastAsia="Times New Roman" w:cs="Calibri"/>
                <w:b w:val="0"/>
                <w:sz w:val="24"/>
                <w:szCs w:val="24"/>
                <w:lang w:eastAsia="fr-CA"/>
              </w:rPr>
              <w:t>Le calcul pour l'établissement du revenu imposable et de l'impôt à payer sur les activités réglementées</w:t>
            </w:r>
          </w:p>
        </w:tc>
        <w:tc>
          <w:tcPr>
            <w:tcW w:w="381" w:type="pct"/>
            <w:tcBorders>
              <w:bottom w:val="dotted" w:sz="4" w:space="0" w:color="auto"/>
            </w:tcBorders>
          </w:tcPr>
          <w:p w14:paraId="3B88324A"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4CA6B0D5" w14:textId="6779C3E2" w:rsidR="00BF6A4D" w:rsidRPr="007E6572" w:rsidRDefault="0004754F"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tcPr>
          <w:p w14:paraId="31DAB5E5" w14:textId="0B128328" w:rsidR="00BF6A4D" w:rsidRPr="007E6572" w:rsidRDefault="0004754F" w:rsidP="0048198B">
            <w:pPr>
              <w:jc w:val="center"/>
              <w:rPr>
                <w:rFonts w:cs="Calibri"/>
                <w:color w:val="000000"/>
                <w:lang w:eastAsia="fr-CA"/>
              </w:rPr>
            </w:pPr>
            <w:r w:rsidRPr="007E6572">
              <w:rPr>
                <w:rFonts w:cs="Calibri"/>
                <w:color w:val="000000"/>
                <w:lang w:eastAsia="fr-CA"/>
              </w:rPr>
              <w:t>X</w:t>
            </w:r>
          </w:p>
        </w:tc>
      </w:tr>
      <w:tr w:rsidR="00BF6A4D" w14:paraId="573EFC1A" w14:textId="77777777" w:rsidTr="009457C4">
        <w:trPr>
          <w:trHeight w:val="510"/>
        </w:trPr>
        <w:tc>
          <w:tcPr>
            <w:tcW w:w="3597" w:type="pct"/>
            <w:tcBorders>
              <w:top w:val="dotted" w:sz="4" w:space="0" w:color="auto"/>
              <w:right w:val="nil"/>
            </w:tcBorders>
            <w:shd w:val="clear" w:color="auto" w:fill="auto"/>
          </w:tcPr>
          <w:p w14:paraId="1F98E6DC" w14:textId="7B7BD48B" w:rsidR="00BF6A4D" w:rsidRPr="0021566F" w:rsidRDefault="00BF6A4D" w:rsidP="007E2E7B">
            <w:pPr>
              <w:pStyle w:val="Titre2"/>
              <w:keepNext/>
              <w:tabs>
                <w:tab w:val="clear" w:pos="709"/>
                <w:tab w:val="num" w:pos="851"/>
              </w:tabs>
              <w:spacing w:before="360"/>
              <w:ind w:left="851" w:hanging="851"/>
              <w:rPr>
                <w:rFonts w:cs="Calibri"/>
                <w:szCs w:val="24"/>
              </w:rPr>
            </w:pPr>
            <w:bookmarkStart w:id="29" w:name="_Toc124329928"/>
            <w:r w:rsidRPr="00856C38">
              <w:rPr>
                <w:rFonts w:cs="Calibri"/>
                <w:szCs w:val="24"/>
              </w:rPr>
              <w:lastRenderedPageBreak/>
              <w:t>Coût du capital</w:t>
            </w:r>
            <w:bookmarkEnd w:id="29"/>
          </w:p>
        </w:tc>
        <w:tc>
          <w:tcPr>
            <w:tcW w:w="381" w:type="pct"/>
            <w:tcBorders>
              <w:top w:val="dotted" w:sz="4" w:space="0" w:color="auto"/>
              <w:left w:val="nil"/>
              <w:right w:val="nil"/>
            </w:tcBorders>
          </w:tcPr>
          <w:p w14:paraId="17F54CA9" w14:textId="77777777" w:rsidR="00BF6A4D" w:rsidRPr="0021566F" w:rsidRDefault="00BF6A4D" w:rsidP="00352626">
            <w:pPr>
              <w:rPr>
                <w:rFonts w:cs="Calibri"/>
                <w:lang w:eastAsia="fr-CA"/>
              </w:rPr>
            </w:pPr>
          </w:p>
        </w:tc>
        <w:tc>
          <w:tcPr>
            <w:tcW w:w="545" w:type="pct"/>
            <w:tcBorders>
              <w:top w:val="dotted" w:sz="4" w:space="0" w:color="auto"/>
              <w:left w:val="nil"/>
              <w:right w:val="nil"/>
            </w:tcBorders>
            <w:shd w:val="clear" w:color="auto" w:fill="auto"/>
          </w:tcPr>
          <w:p w14:paraId="11735BBE" w14:textId="77777777" w:rsidR="00BF6A4D" w:rsidRPr="0021566F" w:rsidRDefault="00BF6A4D" w:rsidP="00352626">
            <w:pPr>
              <w:rPr>
                <w:rFonts w:cs="Calibri"/>
                <w:lang w:eastAsia="fr-CA"/>
              </w:rPr>
            </w:pPr>
          </w:p>
        </w:tc>
        <w:tc>
          <w:tcPr>
            <w:tcW w:w="477" w:type="pct"/>
            <w:tcBorders>
              <w:top w:val="dotted" w:sz="4" w:space="0" w:color="auto"/>
              <w:left w:val="nil"/>
            </w:tcBorders>
            <w:shd w:val="clear" w:color="auto" w:fill="auto"/>
          </w:tcPr>
          <w:p w14:paraId="11933402" w14:textId="77777777" w:rsidR="00BF6A4D" w:rsidRPr="0021566F" w:rsidRDefault="00BF6A4D" w:rsidP="00352626">
            <w:pPr>
              <w:rPr>
                <w:rFonts w:cs="Calibri"/>
                <w:lang w:eastAsia="fr-CA"/>
              </w:rPr>
            </w:pPr>
          </w:p>
        </w:tc>
      </w:tr>
      <w:tr w:rsidR="00E95D24" w14:paraId="4FA4414C" w14:textId="77777777" w:rsidTr="009457C4">
        <w:trPr>
          <w:trHeight w:val="255"/>
        </w:trPr>
        <w:tc>
          <w:tcPr>
            <w:tcW w:w="3597" w:type="pct"/>
            <w:shd w:val="clear" w:color="auto" w:fill="auto"/>
            <w:noWrap/>
            <w:vAlign w:val="center"/>
          </w:tcPr>
          <w:p w14:paraId="265A674F" w14:textId="764F8AB6" w:rsidR="00E95D24" w:rsidRPr="007E6572" w:rsidRDefault="009457C4" w:rsidP="00F77C47">
            <w:pPr>
              <w:pStyle w:val="TitreS2"/>
              <w:numPr>
                <w:ilvl w:val="3"/>
                <w:numId w:val="8"/>
              </w:numPr>
              <w:spacing w:before="200" w:after="0"/>
              <w:ind w:left="567" w:hanging="567"/>
              <w:rPr>
                <w:rFonts w:eastAsia="Times New Roman" w:cs="Calibri"/>
                <w:b w:val="0"/>
                <w:sz w:val="24"/>
                <w:szCs w:val="24"/>
                <w:lang w:eastAsia="fr-CA"/>
              </w:rPr>
            </w:pPr>
            <w:r w:rsidRPr="004277D4">
              <w:rPr>
                <w:rFonts w:eastAsia="Times New Roman" w:cs="Calibri"/>
                <w:b w:val="0"/>
                <w:sz w:val="24"/>
                <w:szCs w:val="24"/>
                <w:lang w:eastAsia="fr-CA"/>
              </w:rPr>
              <w:t xml:space="preserve">Le </w:t>
            </w:r>
            <w:r w:rsidR="00E95D24" w:rsidRPr="004277D4">
              <w:rPr>
                <w:rFonts w:eastAsia="Times New Roman" w:cs="Calibri"/>
                <w:b w:val="0"/>
                <w:sz w:val="24"/>
                <w:szCs w:val="24"/>
                <w:lang w:eastAsia="fr-CA"/>
              </w:rPr>
              <w:t xml:space="preserve">taux de rendement sur l’avoir de l’actionnaire </w:t>
            </w:r>
            <w:r w:rsidRPr="004277D4">
              <w:rPr>
                <w:rFonts w:eastAsia="Times New Roman" w:cs="Calibri"/>
                <w:b w:val="0"/>
                <w:sz w:val="24"/>
                <w:szCs w:val="24"/>
                <w:lang w:eastAsia="fr-CA"/>
              </w:rPr>
              <w:t>tel que fixé à 9.05 % dans le cadre du dossier R-4156-</w:t>
            </w:r>
            <w:r w:rsidR="00F77C47" w:rsidRPr="004277D4">
              <w:rPr>
                <w:rFonts w:eastAsia="Times New Roman" w:cs="Calibri"/>
                <w:b w:val="0"/>
                <w:sz w:val="24"/>
                <w:szCs w:val="24"/>
                <w:lang w:eastAsia="fr-CA"/>
              </w:rPr>
              <w:t>2021</w:t>
            </w:r>
            <w:r w:rsidR="00AA0215">
              <w:rPr>
                <w:rFonts w:eastAsia="Times New Roman" w:cs="Calibri"/>
                <w:b w:val="0"/>
                <w:sz w:val="24"/>
                <w:szCs w:val="24"/>
                <w:lang w:eastAsia="fr-CA"/>
              </w:rPr>
              <w:t>, phase 2</w:t>
            </w:r>
            <w:r w:rsidRPr="004277D4">
              <w:rPr>
                <w:rStyle w:val="Appelnotedebasdep"/>
                <w:rFonts w:eastAsia="Times New Roman" w:cs="Calibri"/>
                <w:b w:val="0"/>
                <w:sz w:val="24"/>
                <w:szCs w:val="24"/>
                <w:lang w:eastAsia="fr-CA"/>
              </w:rPr>
              <w:footnoteReference w:id="25"/>
            </w:r>
            <w:r w:rsidRPr="004277D4">
              <w:rPr>
                <w:rFonts w:eastAsia="Times New Roman" w:cs="Calibri"/>
                <w:b w:val="0"/>
                <w:sz w:val="24"/>
                <w:szCs w:val="24"/>
                <w:lang w:eastAsia="fr-CA"/>
              </w:rPr>
              <w:t xml:space="preserve"> </w:t>
            </w:r>
          </w:p>
        </w:tc>
        <w:tc>
          <w:tcPr>
            <w:tcW w:w="381" w:type="pct"/>
          </w:tcPr>
          <w:p w14:paraId="3A21107A" w14:textId="77777777" w:rsidR="00E95D24" w:rsidRPr="007E6572" w:rsidRDefault="00E95D24" w:rsidP="0048198B">
            <w:pPr>
              <w:jc w:val="center"/>
              <w:rPr>
                <w:rFonts w:cs="Calibri"/>
                <w:color w:val="000000"/>
                <w:lang w:eastAsia="fr-CA"/>
              </w:rPr>
            </w:pPr>
          </w:p>
        </w:tc>
        <w:tc>
          <w:tcPr>
            <w:tcW w:w="545" w:type="pct"/>
            <w:shd w:val="clear" w:color="auto" w:fill="auto"/>
            <w:noWrap/>
            <w:vAlign w:val="center"/>
          </w:tcPr>
          <w:p w14:paraId="0883CE0D" w14:textId="4C9128A9" w:rsidR="00E95D24"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753A10D2" w14:textId="434DAE87" w:rsidR="00E95D24" w:rsidRPr="007E6572" w:rsidRDefault="00096E12" w:rsidP="0048198B">
            <w:pPr>
              <w:jc w:val="center"/>
              <w:rPr>
                <w:rFonts w:cs="Calibri"/>
                <w:color w:val="000000"/>
                <w:lang w:eastAsia="fr-CA"/>
              </w:rPr>
            </w:pPr>
            <w:r>
              <w:rPr>
                <w:rFonts w:cs="Calibri"/>
                <w:color w:val="000000"/>
                <w:lang w:eastAsia="fr-CA"/>
              </w:rPr>
              <w:t>X</w:t>
            </w:r>
          </w:p>
        </w:tc>
      </w:tr>
      <w:tr w:rsidR="00BF6A4D" w14:paraId="3E282DC9" w14:textId="77777777" w:rsidTr="009457C4">
        <w:trPr>
          <w:trHeight w:val="255"/>
        </w:trPr>
        <w:tc>
          <w:tcPr>
            <w:tcW w:w="3597" w:type="pct"/>
            <w:shd w:val="clear" w:color="auto" w:fill="auto"/>
            <w:noWrap/>
            <w:vAlign w:val="center"/>
            <w:hideMark/>
          </w:tcPr>
          <w:p w14:paraId="6B69E7EF"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 calcul de l’ajustement du coût du capital.</w:t>
            </w:r>
          </w:p>
        </w:tc>
        <w:tc>
          <w:tcPr>
            <w:tcW w:w="381" w:type="pct"/>
          </w:tcPr>
          <w:p w14:paraId="103CABB1"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hideMark/>
          </w:tcPr>
          <w:p w14:paraId="16876CA4" w14:textId="64CC38AF"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hideMark/>
          </w:tcPr>
          <w:p w14:paraId="645F7C15" w14:textId="77AB0959"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1B5E6640" w14:textId="77777777" w:rsidTr="009457C4">
        <w:trPr>
          <w:trHeight w:val="255"/>
        </w:trPr>
        <w:tc>
          <w:tcPr>
            <w:tcW w:w="3597" w:type="pct"/>
            <w:shd w:val="clear" w:color="auto" w:fill="auto"/>
            <w:noWrap/>
            <w:vAlign w:val="center"/>
          </w:tcPr>
          <w:p w14:paraId="26715109"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 xml:space="preserve">Le calcul du taux de rendement sur la base de tarification et du coût en capital prospectif et, conformément à la décision </w:t>
            </w:r>
            <w:r w:rsidRPr="007E6572">
              <w:rPr>
                <w:rFonts w:eastAsia="Times New Roman" w:cs="Calibri"/>
                <w:b w:val="0"/>
                <w:iCs/>
                <w:sz w:val="24"/>
                <w:szCs w:val="24"/>
                <w:lang w:eastAsia="fr-CA"/>
              </w:rPr>
              <w:t>D-2016-014</w:t>
            </w:r>
            <w:r>
              <w:rPr>
                <w:rStyle w:val="Appelnotedebasdep"/>
                <w:rFonts w:eastAsia="Times New Roman" w:cs="Calibri"/>
                <w:b w:val="0"/>
                <w:iCs/>
                <w:sz w:val="24"/>
                <w:szCs w:val="24"/>
                <w:lang w:eastAsia="fr-CA"/>
              </w:rPr>
              <w:footnoteReference w:id="26"/>
            </w:r>
            <w:r w:rsidRPr="007E6572">
              <w:rPr>
                <w:rFonts w:cs="Calibri"/>
                <w:b w:val="0"/>
                <w:iCs/>
                <w:sz w:val="24"/>
                <w:szCs w:val="24"/>
                <w:lang w:eastAsia="fr-CA"/>
              </w:rPr>
              <w:t xml:space="preserve">, </w:t>
            </w:r>
            <w:r w:rsidRPr="007E6572">
              <w:rPr>
                <w:rFonts w:eastAsia="Times New Roman" w:cs="Calibri"/>
                <w:b w:val="0"/>
                <w:sz w:val="24"/>
                <w:szCs w:val="24"/>
                <w:lang w:eastAsia="fr-CA"/>
              </w:rPr>
              <w:t xml:space="preserve">le </w:t>
            </w:r>
            <w:r w:rsidRPr="007E6572">
              <w:rPr>
                <w:rFonts w:eastAsia="Times New Roman" w:cs="Calibri"/>
                <w:b w:val="0"/>
                <w:i/>
                <w:sz w:val="24"/>
                <w:szCs w:val="24"/>
                <w:lang w:eastAsia="fr-CA"/>
              </w:rPr>
              <w:t>Consensus Forecast</w:t>
            </w:r>
            <w:r w:rsidRPr="007E6572">
              <w:rPr>
                <w:rFonts w:eastAsia="Times New Roman" w:cs="Calibri"/>
                <w:b w:val="0"/>
                <w:sz w:val="24"/>
                <w:szCs w:val="24"/>
                <w:lang w:eastAsia="fr-CA"/>
              </w:rPr>
              <w:t xml:space="preserve"> du mois le plus récent disponible et fournir les données du mois précédent pour le calcul de l’écart entre les rendements quotidiens des obligations du gouvernement du Canada de cinq ans et de 10 ans, ainsi que leurs sources.</w:t>
            </w:r>
          </w:p>
        </w:tc>
        <w:tc>
          <w:tcPr>
            <w:tcW w:w="381" w:type="pct"/>
          </w:tcPr>
          <w:p w14:paraId="6B0F0CF6"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505AB1CF" w14:textId="4D62F428"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426442AB" w14:textId="18ED64CA"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171023DF" w14:textId="77777777" w:rsidTr="009457C4">
        <w:trPr>
          <w:trHeight w:val="255"/>
        </w:trPr>
        <w:tc>
          <w:tcPr>
            <w:tcW w:w="3597" w:type="pct"/>
            <w:shd w:val="clear" w:color="auto" w:fill="auto"/>
            <w:noWrap/>
            <w:vAlign w:val="center"/>
          </w:tcPr>
          <w:p w14:paraId="0F856DB5"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 calcul et les composantes du taux moyen du coût du capital.</w:t>
            </w:r>
          </w:p>
        </w:tc>
        <w:tc>
          <w:tcPr>
            <w:tcW w:w="381" w:type="pct"/>
          </w:tcPr>
          <w:p w14:paraId="7F02DE02"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69D25A4C" w14:textId="506630D4"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45DF0002" w14:textId="7C6E6E9F"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6CCEBC9C" w14:textId="77777777" w:rsidTr="009457C4">
        <w:trPr>
          <w:trHeight w:val="255"/>
        </w:trPr>
        <w:tc>
          <w:tcPr>
            <w:tcW w:w="3597" w:type="pct"/>
            <w:shd w:val="clear" w:color="auto" w:fill="auto"/>
            <w:noWrap/>
            <w:vAlign w:val="center"/>
          </w:tcPr>
          <w:p w14:paraId="613CDF00" w14:textId="4C54F78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4BF46A35">
              <w:rPr>
                <w:rFonts w:eastAsia="Times New Roman" w:cs="Calibri"/>
                <w:b w:val="0"/>
                <w:color w:val="000000" w:themeColor="text1"/>
                <w:sz w:val="24"/>
                <w:szCs w:val="24"/>
                <w:lang w:eastAsia="fr-CA"/>
              </w:rPr>
              <w:t xml:space="preserve">Les </w:t>
            </w:r>
            <w:r w:rsidRPr="007E6572">
              <w:rPr>
                <w:rFonts w:eastAsia="Times New Roman" w:cs="Calibri"/>
                <w:b w:val="0"/>
                <w:sz w:val="24"/>
                <w:szCs w:val="24"/>
                <w:lang w:eastAsia="fr-CA"/>
              </w:rPr>
              <w:t>rapports</w:t>
            </w:r>
            <w:r w:rsidRPr="4BF46A35">
              <w:rPr>
                <w:rFonts w:eastAsia="Times New Roman" w:cs="Calibri"/>
                <w:b w:val="0"/>
                <w:color w:val="000000" w:themeColor="text1"/>
                <w:sz w:val="24"/>
                <w:szCs w:val="24"/>
                <w:lang w:eastAsia="fr-CA"/>
              </w:rPr>
              <w:t xml:space="preserve"> des agences de notation crédit.</w:t>
            </w:r>
          </w:p>
        </w:tc>
        <w:tc>
          <w:tcPr>
            <w:tcW w:w="381" w:type="pct"/>
          </w:tcPr>
          <w:p w14:paraId="600096F7"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0666FD23" w14:textId="3BD74E94"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3809D8CB" w14:textId="4E3061F8"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5D017F9D" w14:textId="77777777" w:rsidTr="009457C4">
        <w:trPr>
          <w:trHeight w:val="255"/>
        </w:trPr>
        <w:tc>
          <w:tcPr>
            <w:tcW w:w="3597" w:type="pct"/>
            <w:tcBorders>
              <w:bottom w:val="dotted" w:sz="4" w:space="0" w:color="auto"/>
            </w:tcBorders>
            <w:shd w:val="clear" w:color="auto" w:fill="auto"/>
            <w:noWrap/>
            <w:vAlign w:val="center"/>
          </w:tcPr>
          <w:p w14:paraId="1A18ECC4" w14:textId="03F4A17B" w:rsidR="00BF6A4D" w:rsidRPr="00F17E45" w:rsidRDefault="00BF6A4D" w:rsidP="00F17E45">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 calcul du coût de la dette à long terme, incluant, sous forme de tableau, le détail de la dette à long terme, par mois et la moyenne des 13 soldes ainsi que le détail des intérêts sur la dette à long terme par mois.</w:t>
            </w:r>
          </w:p>
        </w:tc>
        <w:tc>
          <w:tcPr>
            <w:tcW w:w="381" w:type="pct"/>
            <w:tcBorders>
              <w:bottom w:val="dotted" w:sz="4" w:space="0" w:color="auto"/>
            </w:tcBorders>
          </w:tcPr>
          <w:p w14:paraId="1D7553E0"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340A8B4B" w14:textId="6489356F"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tcPr>
          <w:p w14:paraId="138E8142" w14:textId="1CD8DCC0" w:rsidR="00BF6A4D" w:rsidRPr="007E6572" w:rsidRDefault="00096E12" w:rsidP="0048198B">
            <w:pPr>
              <w:spacing w:line="240" w:lineRule="auto"/>
              <w:jc w:val="center"/>
              <w:rPr>
                <w:rFonts w:cs="Calibri"/>
                <w:color w:val="000000"/>
                <w:lang w:eastAsia="fr-CA"/>
              </w:rPr>
            </w:pPr>
            <w:r w:rsidRPr="007E6572">
              <w:rPr>
                <w:rFonts w:cs="Calibri"/>
                <w:color w:val="000000"/>
                <w:lang w:eastAsia="fr-CA"/>
              </w:rPr>
              <w:t>X</w:t>
            </w:r>
          </w:p>
        </w:tc>
      </w:tr>
      <w:tr w:rsidR="00BF6A4D" w14:paraId="4796E574" w14:textId="77777777" w:rsidTr="009457C4">
        <w:trPr>
          <w:trHeight w:val="255"/>
        </w:trPr>
        <w:tc>
          <w:tcPr>
            <w:tcW w:w="3597" w:type="pct"/>
            <w:tcBorders>
              <w:top w:val="dotted" w:sz="4" w:space="0" w:color="auto"/>
              <w:right w:val="nil"/>
            </w:tcBorders>
            <w:shd w:val="clear" w:color="auto" w:fill="auto"/>
            <w:noWrap/>
          </w:tcPr>
          <w:p w14:paraId="1D89A48C" w14:textId="6F2E17E5" w:rsidR="00BF6A4D" w:rsidRPr="00856C38" w:rsidRDefault="00BF6A4D" w:rsidP="007E2E7B">
            <w:pPr>
              <w:pStyle w:val="Titre2"/>
              <w:keepNext/>
              <w:tabs>
                <w:tab w:val="clear" w:pos="709"/>
                <w:tab w:val="num" w:pos="851"/>
              </w:tabs>
              <w:spacing w:before="360"/>
              <w:ind w:left="851" w:hanging="851"/>
              <w:rPr>
                <w:rFonts w:cs="Calibri"/>
                <w:szCs w:val="24"/>
              </w:rPr>
            </w:pPr>
            <w:bookmarkStart w:id="30" w:name="_Toc124329929"/>
            <w:r w:rsidRPr="00856C38">
              <w:rPr>
                <w:rFonts w:cs="Calibri"/>
                <w:szCs w:val="24"/>
              </w:rPr>
              <w:lastRenderedPageBreak/>
              <w:t>Base de tarification</w:t>
            </w:r>
            <w:bookmarkEnd w:id="30"/>
            <w:r w:rsidR="003C5C4A">
              <w:rPr>
                <w:rStyle w:val="Appelnotedebasdep"/>
                <w:rFonts w:cs="Calibri"/>
                <w:color w:val="000000" w:themeColor="text1"/>
                <w:lang w:eastAsia="fr-CA"/>
              </w:rPr>
              <w:footnoteReference w:id="27"/>
            </w:r>
          </w:p>
        </w:tc>
        <w:tc>
          <w:tcPr>
            <w:tcW w:w="381" w:type="pct"/>
            <w:tcBorders>
              <w:top w:val="dotted" w:sz="4" w:space="0" w:color="auto"/>
              <w:left w:val="nil"/>
              <w:right w:val="nil"/>
            </w:tcBorders>
          </w:tcPr>
          <w:p w14:paraId="08509B27" w14:textId="77777777" w:rsidR="00BF6A4D" w:rsidRPr="00FB2362" w:rsidRDefault="00BF6A4D" w:rsidP="00352626">
            <w:pPr>
              <w:rPr>
                <w:rFonts w:cs="Calibri"/>
                <w:lang w:eastAsia="fr-CA"/>
              </w:rPr>
            </w:pPr>
          </w:p>
        </w:tc>
        <w:tc>
          <w:tcPr>
            <w:tcW w:w="545" w:type="pct"/>
            <w:tcBorders>
              <w:top w:val="dotted" w:sz="4" w:space="0" w:color="auto"/>
              <w:left w:val="nil"/>
              <w:right w:val="nil"/>
            </w:tcBorders>
            <w:shd w:val="clear" w:color="auto" w:fill="auto"/>
            <w:noWrap/>
          </w:tcPr>
          <w:p w14:paraId="2135D015" w14:textId="77777777" w:rsidR="00BF6A4D" w:rsidRPr="00FB2362" w:rsidRDefault="00BF6A4D" w:rsidP="00352626">
            <w:pPr>
              <w:rPr>
                <w:rFonts w:cs="Calibri"/>
                <w:lang w:eastAsia="fr-CA"/>
              </w:rPr>
            </w:pPr>
          </w:p>
        </w:tc>
        <w:tc>
          <w:tcPr>
            <w:tcW w:w="477" w:type="pct"/>
            <w:tcBorders>
              <w:top w:val="dotted" w:sz="4" w:space="0" w:color="auto"/>
              <w:left w:val="nil"/>
            </w:tcBorders>
            <w:shd w:val="clear" w:color="auto" w:fill="auto"/>
            <w:noWrap/>
          </w:tcPr>
          <w:p w14:paraId="287C6762" w14:textId="77777777" w:rsidR="00BF6A4D" w:rsidRPr="00FB2362" w:rsidRDefault="00BF6A4D" w:rsidP="00352626">
            <w:pPr>
              <w:rPr>
                <w:rFonts w:cs="Calibri"/>
                <w:lang w:eastAsia="fr-CA"/>
              </w:rPr>
            </w:pPr>
          </w:p>
        </w:tc>
      </w:tr>
      <w:tr w:rsidR="00BF6A4D" w14:paraId="48FE507F" w14:textId="77777777" w:rsidTr="009457C4">
        <w:trPr>
          <w:trHeight w:val="255"/>
        </w:trPr>
        <w:tc>
          <w:tcPr>
            <w:tcW w:w="3597" w:type="pct"/>
            <w:shd w:val="clear" w:color="auto" w:fill="auto"/>
            <w:vAlign w:val="center"/>
            <w:hideMark/>
          </w:tcPr>
          <w:p w14:paraId="02ED7E98"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Les additions à la base de tarification découlant du budget autorisé du dossier tarifaire de l’année précédente, des prévisions de l’année de base et de l’année témoin projetée, incluant les écarts et l’explication de toute variation importante d’un budget à l’autre.</w:t>
            </w:r>
          </w:p>
        </w:tc>
        <w:tc>
          <w:tcPr>
            <w:tcW w:w="381" w:type="pct"/>
          </w:tcPr>
          <w:p w14:paraId="5F25EA28"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5C9CA141" w14:textId="21A05C9D"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7FE32B3A" w14:textId="31446BF5" w:rsidR="00BF6A4D" w:rsidRPr="007E6572" w:rsidRDefault="00096E12" w:rsidP="0048198B">
            <w:pPr>
              <w:jc w:val="center"/>
              <w:rPr>
                <w:rFonts w:cs="Calibri"/>
                <w:color w:val="000000"/>
                <w:lang w:eastAsia="fr-CA"/>
              </w:rPr>
            </w:pPr>
            <w:r w:rsidRPr="4BF46A35">
              <w:rPr>
                <w:rFonts w:cs="Calibri"/>
                <w:color w:val="000000" w:themeColor="text1"/>
                <w:lang w:eastAsia="fr-CA"/>
              </w:rPr>
              <w:t>X</w:t>
            </w:r>
          </w:p>
        </w:tc>
      </w:tr>
      <w:tr w:rsidR="00BF6A4D" w14:paraId="6FCB0522" w14:textId="77777777" w:rsidTr="009457C4">
        <w:trPr>
          <w:trHeight w:val="255"/>
        </w:trPr>
        <w:tc>
          <w:tcPr>
            <w:tcW w:w="3597" w:type="pct"/>
            <w:shd w:val="clear" w:color="auto" w:fill="auto"/>
            <w:vAlign w:val="center"/>
            <w:hideMark/>
          </w:tcPr>
          <w:p w14:paraId="5F62FEDD"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Les bases de tarification mensuelles ainsi que la moyenne des 13 soldes du budget autorisé du dossier tarifaire de l’année précédente, des prévisions de l’année de base et de l’année témoin projetée, incluant les écarts et l’explication de toute variation importante d’un budget à l’autre.</w:t>
            </w:r>
          </w:p>
        </w:tc>
        <w:tc>
          <w:tcPr>
            <w:tcW w:w="381" w:type="pct"/>
          </w:tcPr>
          <w:p w14:paraId="07E30528"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49FF415B" w14:textId="23F0F56F"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607B286F" w14:textId="3962D28C"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22675DE0" w14:textId="77777777" w:rsidTr="009457C4">
        <w:trPr>
          <w:trHeight w:val="255"/>
        </w:trPr>
        <w:tc>
          <w:tcPr>
            <w:tcW w:w="3597" w:type="pct"/>
            <w:shd w:val="clear" w:color="auto" w:fill="auto"/>
            <w:vAlign w:val="center"/>
          </w:tcPr>
          <w:p w14:paraId="5A90EF3F" w14:textId="77777777"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L'évolution de la base de tarification entre le budget autorisé du dossier tarifaire de l’année précédente, des prévisions de l’année de base et de l’année témoin projetée, incluant les écarts et l’explication de toute variation importante d’un budget à l’autre.</w:t>
            </w:r>
          </w:p>
        </w:tc>
        <w:tc>
          <w:tcPr>
            <w:tcW w:w="381" w:type="pct"/>
          </w:tcPr>
          <w:p w14:paraId="414A31D6" w14:textId="77777777" w:rsidR="00BF6A4D" w:rsidRPr="007E6572" w:rsidRDefault="00BF6A4D" w:rsidP="0048198B">
            <w:pPr>
              <w:jc w:val="center"/>
              <w:rPr>
                <w:rFonts w:cs="Calibri"/>
                <w:color w:val="000000"/>
                <w:lang w:eastAsia="fr-CA"/>
              </w:rPr>
            </w:pPr>
          </w:p>
        </w:tc>
        <w:tc>
          <w:tcPr>
            <w:tcW w:w="545" w:type="pct"/>
            <w:shd w:val="clear" w:color="auto" w:fill="auto"/>
            <w:vAlign w:val="center"/>
          </w:tcPr>
          <w:p w14:paraId="31E612EE" w14:textId="2DD54757"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6270F4AC" w14:textId="3176D25F"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5D511CB8" w14:textId="77777777" w:rsidTr="009457C4">
        <w:trPr>
          <w:trHeight w:val="255"/>
        </w:trPr>
        <w:tc>
          <w:tcPr>
            <w:tcW w:w="3597" w:type="pct"/>
            <w:shd w:val="clear" w:color="auto" w:fill="auto"/>
            <w:vAlign w:val="center"/>
          </w:tcPr>
          <w:p w14:paraId="728929B9" w14:textId="373266CF"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 calcul de l’impact de la variation du compte de stabilisation de la température à la base de tarification.</w:t>
            </w:r>
          </w:p>
        </w:tc>
        <w:tc>
          <w:tcPr>
            <w:tcW w:w="381" w:type="pct"/>
          </w:tcPr>
          <w:p w14:paraId="3A968267" w14:textId="77777777" w:rsidR="00BF6A4D" w:rsidRPr="007E6572" w:rsidRDefault="00BF6A4D" w:rsidP="0048198B">
            <w:pPr>
              <w:jc w:val="right"/>
              <w:rPr>
                <w:rFonts w:cs="Calibri"/>
                <w:color w:val="000000"/>
                <w:lang w:eastAsia="fr-CA"/>
              </w:rPr>
            </w:pPr>
          </w:p>
        </w:tc>
        <w:tc>
          <w:tcPr>
            <w:tcW w:w="545" w:type="pct"/>
            <w:shd w:val="clear" w:color="auto" w:fill="auto"/>
            <w:vAlign w:val="center"/>
          </w:tcPr>
          <w:p w14:paraId="48A23E84" w14:textId="3234A04A" w:rsidR="00BF6A4D" w:rsidRPr="007E6572" w:rsidRDefault="00096E12" w:rsidP="005F787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13451C08" w14:textId="22C77F18" w:rsidR="00BF6A4D" w:rsidRPr="007E6572" w:rsidRDefault="00096E12" w:rsidP="005F787B">
            <w:pPr>
              <w:jc w:val="center"/>
              <w:rPr>
                <w:rFonts w:cs="Calibri"/>
                <w:color w:val="000000"/>
                <w:lang w:eastAsia="fr-CA"/>
              </w:rPr>
            </w:pPr>
            <w:r w:rsidRPr="4BF46A35">
              <w:rPr>
                <w:rFonts w:cs="Calibri"/>
                <w:color w:val="000000" w:themeColor="text1"/>
                <w:lang w:eastAsia="fr-CA"/>
              </w:rPr>
              <w:t>X</w:t>
            </w:r>
          </w:p>
        </w:tc>
      </w:tr>
      <w:tr w:rsidR="00BF6A4D" w14:paraId="74050149" w14:textId="77777777" w:rsidTr="009457C4">
        <w:trPr>
          <w:trHeight w:val="1036"/>
        </w:trPr>
        <w:tc>
          <w:tcPr>
            <w:tcW w:w="3597" w:type="pct"/>
            <w:tcBorders>
              <w:bottom w:val="dotted" w:sz="4" w:space="0" w:color="auto"/>
            </w:tcBorders>
            <w:shd w:val="clear" w:color="auto" w:fill="auto"/>
            <w:vAlign w:val="center"/>
          </w:tcPr>
          <w:p w14:paraId="69AFE428" w14:textId="362C2A69" w:rsidR="00BF6A4D" w:rsidRPr="007E6572" w:rsidRDefault="00BF6A4D" w:rsidP="00352626">
            <w:pPr>
              <w:pStyle w:val="TitreS2"/>
              <w:numPr>
                <w:ilvl w:val="3"/>
                <w:numId w:val="8"/>
              </w:numPr>
              <w:spacing w:before="200" w:after="0"/>
              <w:ind w:left="567" w:hanging="567"/>
              <w:rPr>
                <w:rFonts w:cs="Calibri"/>
                <w:b w:val="0"/>
                <w:lang w:eastAsia="fr-CA"/>
              </w:rPr>
            </w:pPr>
            <w:r w:rsidRPr="007E6572">
              <w:rPr>
                <w:rFonts w:eastAsia="Times New Roman" w:cs="Calibri"/>
                <w:b w:val="0"/>
                <w:sz w:val="24"/>
                <w:szCs w:val="24"/>
                <w:lang w:eastAsia="fr-CA"/>
              </w:rPr>
              <w:t>Conformément à la décision D</w:t>
            </w:r>
            <w:r w:rsidRPr="007E6572">
              <w:rPr>
                <w:rFonts w:eastAsia="Times New Roman" w:cs="Calibri"/>
                <w:b w:val="0"/>
                <w:sz w:val="24"/>
                <w:szCs w:val="24"/>
                <w:lang w:eastAsia="fr-CA"/>
              </w:rPr>
              <w:noBreakHyphen/>
              <w:t>2016</w:t>
            </w:r>
            <w:r w:rsidRPr="007E6572">
              <w:rPr>
                <w:rFonts w:eastAsia="Times New Roman" w:cs="Calibri"/>
                <w:b w:val="0"/>
                <w:sz w:val="24"/>
                <w:szCs w:val="24"/>
                <w:lang w:eastAsia="fr-CA"/>
              </w:rPr>
              <w:noBreakHyphen/>
              <w:t>092</w:t>
            </w:r>
            <w:r>
              <w:rPr>
                <w:rStyle w:val="Appelnotedebasdep"/>
                <w:rFonts w:eastAsia="Times New Roman" w:cs="Calibri"/>
                <w:b w:val="0"/>
                <w:sz w:val="24"/>
                <w:szCs w:val="24"/>
                <w:lang w:eastAsia="fr-CA"/>
              </w:rPr>
              <w:footnoteReference w:id="28"/>
            </w:r>
            <w:r w:rsidRPr="007E6572">
              <w:rPr>
                <w:rFonts w:eastAsia="Times New Roman" w:cs="Calibri"/>
                <w:b w:val="0"/>
                <w:sz w:val="24"/>
                <w:szCs w:val="24"/>
                <w:lang w:eastAsia="fr-CA"/>
              </w:rPr>
              <w:t>, la mise à jour annuelle de l’étude portant sur le fonds de roulement de Gazifère.</w:t>
            </w:r>
          </w:p>
        </w:tc>
        <w:tc>
          <w:tcPr>
            <w:tcW w:w="381" w:type="pct"/>
            <w:tcBorders>
              <w:bottom w:val="dotted" w:sz="4" w:space="0" w:color="auto"/>
            </w:tcBorders>
          </w:tcPr>
          <w:p w14:paraId="3FD59521" w14:textId="77777777" w:rsidR="00BF6A4D" w:rsidRPr="007E6572" w:rsidRDefault="00BF6A4D" w:rsidP="0048198B">
            <w:pPr>
              <w:jc w:val="right"/>
              <w:rPr>
                <w:rFonts w:cs="Calibri"/>
                <w:color w:val="000000"/>
                <w:lang w:eastAsia="fr-CA"/>
              </w:rPr>
            </w:pPr>
          </w:p>
        </w:tc>
        <w:tc>
          <w:tcPr>
            <w:tcW w:w="545" w:type="pct"/>
            <w:tcBorders>
              <w:bottom w:val="dotted" w:sz="4" w:space="0" w:color="auto"/>
            </w:tcBorders>
            <w:shd w:val="clear" w:color="auto" w:fill="auto"/>
            <w:vAlign w:val="center"/>
          </w:tcPr>
          <w:p w14:paraId="3134D5E1" w14:textId="340F5E71" w:rsidR="00BF6A4D" w:rsidRPr="007E6572" w:rsidRDefault="00096E12" w:rsidP="005F787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vAlign w:val="center"/>
          </w:tcPr>
          <w:p w14:paraId="52FDF74C" w14:textId="0DCE52A7" w:rsidR="00BF6A4D" w:rsidRPr="007E6572" w:rsidRDefault="00BF6A4D" w:rsidP="005F787B">
            <w:pPr>
              <w:jc w:val="center"/>
              <w:rPr>
                <w:rFonts w:cs="Calibri"/>
                <w:color w:val="000000"/>
                <w:lang w:eastAsia="fr-CA"/>
              </w:rPr>
            </w:pPr>
          </w:p>
        </w:tc>
      </w:tr>
      <w:tr w:rsidR="00BF6A4D" w14:paraId="4AFDAC52" w14:textId="77777777" w:rsidTr="009457C4">
        <w:trPr>
          <w:trHeight w:val="510"/>
        </w:trPr>
        <w:tc>
          <w:tcPr>
            <w:tcW w:w="3597" w:type="pct"/>
            <w:tcBorders>
              <w:top w:val="dotted" w:sz="4" w:space="0" w:color="auto"/>
              <w:right w:val="nil"/>
            </w:tcBorders>
            <w:shd w:val="clear" w:color="auto" w:fill="auto"/>
          </w:tcPr>
          <w:p w14:paraId="7F0F562F" w14:textId="04B7D313" w:rsidR="00BF6A4D" w:rsidRPr="00FB2362" w:rsidRDefault="00BF6A4D" w:rsidP="007E2E7B">
            <w:pPr>
              <w:pStyle w:val="Titre2"/>
              <w:keepNext/>
              <w:tabs>
                <w:tab w:val="clear" w:pos="709"/>
                <w:tab w:val="num" w:pos="851"/>
              </w:tabs>
              <w:spacing w:before="360"/>
              <w:ind w:left="851" w:hanging="851"/>
              <w:rPr>
                <w:rFonts w:cs="Calibri"/>
                <w:szCs w:val="24"/>
              </w:rPr>
            </w:pPr>
            <w:bookmarkStart w:id="31" w:name="_Toc124329930"/>
            <w:r w:rsidRPr="00856C38">
              <w:rPr>
                <w:rFonts w:cs="Calibri"/>
                <w:szCs w:val="24"/>
              </w:rPr>
              <w:lastRenderedPageBreak/>
              <w:t>Investissements</w:t>
            </w:r>
            <w:bookmarkEnd w:id="31"/>
          </w:p>
        </w:tc>
        <w:tc>
          <w:tcPr>
            <w:tcW w:w="381" w:type="pct"/>
            <w:tcBorders>
              <w:top w:val="dotted" w:sz="4" w:space="0" w:color="auto"/>
              <w:left w:val="nil"/>
              <w:right w:val="nil"/>
            </w:tcBorders>
          </w:tcPr>
          <w:p w14:paraId="0B3C4C6D" w14:textId="77777777" w:rsidR="00BF6A4D" w:rsidRPr="00FB2362" w:rsidRDefault="00BF6A4D" w:rsidP="00352626">
            <w:pPr>
              <w:rPr>
                <w:rFonts w:cs="Calibri"/>
                <w:lang w:eastAsia="fr-CA"/>
              </w:rPr>
            </w:pPr>
          </w:p>
        </w:tc>
        <w:tc>
          <w:tcPr>
            <w:tcW w:w="545" w:type="pct"/>
            <w:tcBorders>
              <w:top w:val="dotted" w:sz="4" w:space="0" w:color="auto"/>
              <w:left w:val="nil"/>
              <w:right w:val="nil"/>
            </w:tcBorders>
            <w:shd w:val="clear" w:color="auto" w:fill="auto"/>
          </w:tcPr>
          <w:p w14:paraId="2C55E5D9" w14:textId="77777777" w:rsidR="00BF6A4D" w:rsidRPr="00FB2362" w:rsidRDefault="00BF6A4D" w:rsidP="00352626">
            <w:pPr>
              <w:rPr>
                <w:rFonts w:cs="Calibri"/>
                <w:lang w:eastAsia="fr-CA"/>
              </w:rPr>
            </w:pPr>
          </w:p>
        </w:tc>
        <w:tc>
          <w:tcPr>
            <w:tcW w:w="477" w:type="pct"/>
            <w:tcBorders>
              <w:top w:val="dotted" w:sz="4" w:space="0" w:color="auto"/>
              <w:left w:val="nil"/>
            </w:tcBorders>
            <w:shd w:val="clear" w:color="auto" w:fill="auto"/>
          </w:tcPr>
          <w:p w14:paraId="765F8EFE" w14:textId="77777777" w:rsidR="00BF6A4D" w:rsidRPr="00FB2362" w:rsidRDefault="00BF6A4D" w:rsidP="00352626">
            <w:pPr>
              <w:rPr>
                <w:rFonts w:cs="Calibri"/>
                <w:lang w:eastAsia="fr-CA"/>
              </w:rPr>
            </w:pPr>
          </w:p>
        </w:tc>
      </w:tr>
      <w:tr w:rsidR="00BF6A4D" w14:paraId="306441F5" w14:textId="77777777" w:rsidTr="009457C4">
        <w:trPr>
          <w:trHeight w:val="510"/>
        </w:trPr>
        <w:tc>
          <w:tcPr>
            <w:tcW w:w="3597" w:type="pct"/>
            <w:shd w:val="clear" w:color="auto" w:fill="auto"/>
            <w:vAlign w:val="center"/>
          </w:tcPr>
          <w:p w14:paraId="00C89DFC" w14:textId="18BE5AFA" w:rsidR="00BF6A4D" w:rsidRPr="007E6572"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 xml:space="preserve">Le montant global des investissements dont le coût individuel est inférieur au seuil déterminé par </w:t>
            </w:r>
            <w:r w:rsidRPr="004E6445">
              <w:rPr>
                <w:rFonts w:eastAsia="Times New Roman" w:cs="Calibri"/>
                <w:b w:val="0"/>
                <w:sz w:val="24"/>
                <w:szCs w:val="24"/>
                <w:lang w:eastAsia="fr-CA"/>
              </w:rPr>
              <w:t xml:space="preserve">le </w:t>
            </w:r>
            <w:r w:rsidRPr="005A1244">
              <w:rPr>
                <w:b w:val="0"/>
                <w:i/>
                <w:sz w:val="24"/>
                <w:szCs w:val="24"/>
              </w:rPr>
              <w:t>Règlement sur les conditions</w:t>
            </w:r>
            <w:r>
              <w:rPr>
                <w:rStyle w:val="Appelnotedebasdep"/>
                <w:rFonts w:eastAsia="Times New Roman" w:cs="Calibri"/>
                <w:b w:val="0"/>
                <w:sz w:val="24"/>
                <w:szCs w:val="24"/>
                <w:lang w:eastAsia="fr-CA"/>
              </w:rPr>
              <w:footnoteReference w:id="29"/>
            </w:r>
            <w:r w:rsidRPr="007E6572">
              <w:rPr>
                <w:rFonts w:eastAsia="Times New Roman" w:cs="Calibri"/>
                <w:b w:val="0"/>
                <w:sz w:val="24"/>
                <w:szCs w:val="24"/>
                <w:lang w:eastAsia="fr-CA"/>
              </w:rPr>
              <w:t>. Ventiler par catégorie d’investissements en incluant les informations suivantes :</w:t>
            </w:r>
          </w:p>
          <w:p w14:paraId="2B617802" w14:textId="77777777" w:rsidR="00BF6A4D" w:rsidRPr="00022423" w:rsidRDefault="00BF6A4D" w:rsidP="00352626">
            <w:pPr>
              <w:pStyle w:val="Paragraphedeliste"/>
              <w:numPr>
                <w:ilvl w:val="0"/>
                <w:numId w:val="14"/>
              </w:numPr>
              <w:spacing w:after="60"/>
              <w:ind w:right="113"/>
              <w:jc w:val="both"/>
              <w:rPr>
                <w:rFonts w:cs="Calibri"/>
                <w:sz w:val="24"/>
                <w:szCs w:val="24"/>
                <w:lang w:eastAsia="fr-CA"/>
              </w:rPr>
            </w:pPr>
            <w:r w:rsidRPr="00022423">
              <w:rPr>
                <w:rFonts w:cs="Calibri"/>
                <w:sz w:val="24"/>
                <w:szCs w:val="24"/>
                <w:lang w:eastAsia="fr-CA"/>
              </w:rPr>
              <w:t>Description et objectifs;</w:t>
            </w:r>
          </w:p>
          <w:p w14:paraId="5545A5B1" w14:textId="77777777" w:rsidR="00BF6A4D" w:rsidRPr="00022423" w:rsidRDefault="00BF6A4D" w:rsidP="00352626">
            <w:pPr>
              <w:pStyle w:val="Paragraphedeliste"/>
              <w:numPr>
                <w:ilvl w:val="0"/>
                <w:numId w:val="14"/>
              </w:numPr>
              <w:spacing w:after="60"/>
              <w:ind w:right="113"/>
              <w:jc w:val="both"/>
              <w:rPr>
                <w:rFonts w:cs="Calibri"/>
                <w:sz w:val="24"/>
                <w:szCs w:val="24"/>
                <w:lang w:eastAsia="fr-CA"/>
              </w:rPr>
            </w:pPr>
            <w:r w:rsidRPr="00022423">
              <w:rPr>
                <w:rFonts w:cs="Calibri"/>
                <w:sz w:val="24"/>
                <w:szCs w:val="24"/>
                <w:lang w:eastAsia="fr-CA"/>
              </w:rPr>
              <w:t>Coûts associés à chaque catégorie d’investissements;</w:t>
            </w:r>
          </w:p>
          <w:p w14:paraId="6BF248C8" w14:textId="77777777" w:rsidR="00BF6A4D" w:rsidRPr="00022423" w:rsidRDefault="00BF6A4D" w:rsidP="00352626">
            <w:pPr>
              <w:pStyle w:val="Paragraphedeliste"/>
              <w:numPr>
                <w:ilvl w:val="0"/>
                <w:numId w:val="14"/>
              </w:numPr>
              <w:spacing w:after="60"/>
              <w:ind w:right="113"/>
              <w:jc w:val="both"/>
              <w:rPr>
                <w:rFonts w:cs="Calibri"/>
                <w:sz w:val="24"/>
                <w:szCs w:val="24"/>
                <w:lang w:eastAsia="fr-CA"/>
              </w:rPr>
            </w:pPr>
            <w:r w:rsidRPr="00022423">
              <w:rPr>
                <w:rFonts w:cs="Calibri"/>
                <w:sz w:val="24"/>
                <w:szCs w:val="24"/>
                <w:lang w:eastAsia="fr-CA"/>
              </w:rPr>
              <w:t>Justification des investissements en relation avec les objectifs visés;</w:t>
            </w:r>
          </w:p>
          <w:p w14:paraId="48DF2222" w14:textId="77777777" w:rsidR="00BF6A4D" w:rsidRPr="00022423" w:rsidRDefault="00BF6A4D" w:rsidP="00352626">
            <w:pPr>
              <w:pStyle w:val="Paragraphedeliste"/>
              <w:numPr>
                <w:ilvl w:val="0"/>
                <w:numId w:val="14"/>
              </w:numPr>
              <w:spacing w:after="60"/>
              <w:ind w:right="113"/>
              <w:jc w:val="both"/>
              <w:rPr>
                <w:rFonts w:cs="Calibri"/>
                <w:sz w:val="24"/>
                <w:szCs w:val="24"/>
                <w:lang w:eastAsia="fr-CA"/>
              </w:rPr>
            </w:pPr>
            <w:r w:rsidRPr="00022423">
              <w:rPr>
                <w:rFonts w:cs="Calibri"/>
                <w:sz w:val="24"/>
                <w:szCs w:val="24"/>
                <w:lang w:eastAsia="fr-CA"/>
              </w:rPr>
              <w:t>Impact sur les tarifs;</w:t>
            </w:r>
          </w:p>
          <w:p w14:paraId="332D4765" w14:textId="77777777" w:rsidR="00BF6A4D" w:rsidRPr="00022423" w:rsidRDefault="00BF6A4D" w:rsidP="00352626">
            <w:pPr>
              <w:pStyle w:val="Paragraphedeliste"/>
              <w:numPr>
                <w:ilvl w:val="0"/>
                <w:numId w:val="14"/>
              </w:numPr>
              <w:spacing w:after="60"/>
              <w:ind w:right="113"/>
              <w:jc w:val="both"/>
              <w:rPr>
                <w:rFonts w:cs="Calibri"/>
                <w:szCs w:val="24"/>
                <w:lang w:eastAsia="fr-CA"/>
              </w:rPr>
            </w:pPr>
            <w:r w:rsidRPr="00022423">
              <w:rPr>
                <w:rFonts w:cs="Calibri"/>
                <w:sz w:val="24"/>
                <w:szCs w:val="24"/>
                <w:lang w:eastAsia="fr-CA"/>
              </w:rPr>
              <w:t>Impact sur la fiabilité du service de distribution de gaz naturel et sur la qualité du service.</w:t>
            </w:r>
          </w:p>
        </w:tc>
        <w:tc>
          <w:tcPr>
            <w:tcW w:w="381" w:type="pct"/>
          </w:tcPr>
          <w:p w14:paraId="50820343" w14:textId="77777777" w:rsidR="00BF6A4D" w:rsidRPr="007E6572" w:rsidRDefault="00BF6A4D" w:rsidP="0048198B">
            <w:pPr>
              <w:jc w:val="center"/>
              <w:rPr>
                <w:rFonts w:cs="Calibri"/>
                <w:color w:val="000000"/>
                <w:lang w:eastAsia="fr-CA"/>
              </w:rPr>
            </w:pPr>
          </w:p>
        </w:tc>
        <w:tc>
          <w:tcPr>
            <w:tcW w:w="545" w:type="pct"/>
            <w:shd w:val="clear" w:color="auto" w:fill="auto"/>
            <w:vAlign w:val="center"/>
          </w:tcPr>
          <w:p w14:paraId="319A1358" w14:textId="49710617"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tcPr>
          <w:p w14:paraId="7EE4F3A7" w14:textId="5A73D7C6" w:rsidR="00BF6A4D" w:rsidRPr="007E6572" w:rsidRDefault="00BF6A4D" w:rsidP="0048198B">
            <w:pPr>
              <w:jc w:val="center"/>
              <w:rPr>
                <w:rFonts w:cs="Calibri"/>
                <w:color w:val="000000"/>
                <w:lang w:eastAsia="fr-CA"/>
              </w:rPr>
            </w:pPr>
          </w:p>
        </w:tc>
      </w:tr>
      <w:tr w:rsidR="001F5DE7" w14:paraId="58B88F59" w14:textId="77777777" w:rsidTr="001F5DE7">
        <w:trPr>
          <w:trHeight w:val="255"/>
        </w:trPr>
        <w:tc>
          <w:tcPr>
            <w:tcW w:w="5000" w:type="pct"/>
            <w:gridSpan w:val="4"/>
          </w:tcPr>
          <w:p w14:paraId="11432A40" w14:textId="5B2ED89F" w:rsidR="001F5DE7" w:rsidRPr="00856C38" w:rsidRDefault="001F5DE7" w:rsidP="007E2E7B">
            <w:pPr>
              <w:pStyle w:val="Titre2"/>
              <w:keepNext/>
              <w:tabs>
                <w:tab w:val="clear" w:pos="709"/>
                <w:tab w:val="num" w:pos="851"/>
              </w:tabs>
              <w:spacing w:before="360"/>
              <w:ind w:left="851" w:hanging="851"/>
              <w:rPr>
                <w:rFonts w:cs="Calibri"/>
                <w:szCs w:val="24"/>
              </w:rPr>
            </w:pPr>
            <w:bookmarkStart w:id="32" w:name="_Toc124329931"/>
            <w:r w:rsidRPr="00856C38">
              <w:rPr>
                <w:rFonts w:cs="Calibri"/>
                <w:szCs w:val="24"/>
              </w:rPr>
              <w:t>Évolution du nombre de clients, des volumes et des revenus de distribution</w:t>
            </w:r>
            <w:r w:rsidR="00E979A9">
              <w:rPr>
                <w:rStyle w:val="Appelnotedebasdep"/>
                <w:rFonts w:cs="Calibri"/>
                <w:color w:val="000000" w:themeColor="text1"/>
                <w:lang w:eastAsia="fr-CA"/>
              </w:rPr>
              <w:footnoteReference w:id="30"/>
            </w:r>
            <w:bookmarkEnd w:id="32"/>
          </w:p>
        </w:tc>
      </w:tr>
      <w:tr w:rsidR="00BF6A4D" w14:paraId="4DF8DACC" w14:textId="77777777" w:rsidTr="00F77C47">
        <w:trPr>
          <w:trHeight w:val="255"/>
        </w:trPr>
        <w:tc>
          <w:tcPr>
            <w:tcW w:w="3597" w:type="pct"/>
            <w:shd w:val="clear" w:color="auto" w:fill="auto"/>
            <w:vAlign w:val="center"/>
            <w:hideMark/>
          </w:tcPr>
          <w:p w14:paraId="3B6028B7" w14:textId="5AFFA366" w:rsidR="00BF6A4D" w:rsidRPr="007E6572" w:rsidRDefault="00BF6A4D" w:rsidP="00AA0215">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sz w:val="24"/>
                <w:szCs w:val="24"/>
                <w:lang w:eastAsia="fr-CA"/>
              </w:rPr>
              <w:t>L</w:t>
            </w:r>
            <w:r w:rsidRPr="007E6572">
              <w:rPr>
                <w:rFonts w:eastAsia="Times New Roman" w:cs="Calibri"/>
                <w:b w:val="0"/>
                <w:color w:val="000000"/>
                <w:sz w:val="24"/>
                <w:szCs w:val="24"/>
                <w:lang w:eastAsia="fr-CA"/>
              </w:rPr>
              <w:t>’état annuel par tarif, du nombre de clients, des volumes (</w:t>
            </w:r>
            <w:r w:rsidR="00AA0215">
              <w:rPr>
                <w:rFonts w:eastAsia="Times New Roman" w:cs="Calibri"/>
                <w:b w:val="0"/>
                <w:color w:val="000000"/>
                <w:sz w:val="24"/>
                <w:szCs w:val="24"/>
                <w:lang w:eastAsia="fr-CA"/>
              </w:rPr>
              <w:t>10</w:t>
            </w:r>
            <w:r w:rsidR="00AA0215" w:rsidRPr="00AA0215">
              <w:rPr>
                <w:rFonts w:eastAsia="Times New Roman" w:cs="Calibri"/>
                <w:b w:val="0"/>
                <w:color w:val="000000"/>
                <w:sz w:val="24"/>
                <w:szCs w:val="24"/>
                <w:vertAlign w:val="superscript"/>
                <w:lang w:eastAsia="fr-CA"/>
              </w:rPr>
              <w:t>3</w:t>
            </w:r>
            <w:r w:rsidRPr="007E6572">
              <w:rPr>
                <w:rFonts w:eastAsia="Times New Roman" w:cs="Calibri"/>
                <w:b w:val="0"/>
                <w:color w:val="000000"/>
                <w:sz w:val="24"/>
                <w:szCs w:val="24"/>
                <w:lang w:eastAsia="fr-CA"/>
              </w:rPr>
              <w:t> m</w:t>
            </w:r>
            <w:r w:rsidRPr="007E6572">
              <w:rPr>
                <w:rFonts w:eastAsia="Times New Roman" w:cs="Calibri"/>
                <w:b w:val="0"/>
                <w:color w:val="000000"/>
                <w:sz w:val="24"/>
                <w:szCs w:val="24"/>
                <w:vertAlign w:val="superscript"/>
                <w:lang w:eastAsia="fr-CA"/>
              </w:rPr>
              <w:t>3</w:t>
            </w:r>
            <w:r w:rsidRPr="007E6572">
              <w:rPr>
                <w:rFonts w:eastAsia="Times New Roman" w:cs="Calibri"/>
                <w:b w:val="0"/>
                <w:color w:val="000000"/>
                <w:sz w:val="24"/>
                <w:szCs w:val="24"/>
                <w:lang w:eastAsia="fr-CA"/>
              </w:rPr>
              <w:t>) et des revenus de distribution pour les secteurs résidentiel, commercial et industriel (avec et sans chauffage) ainsi que pour l’interruptible.</w:t>
            </w:r>
          </w:p>
        </w:tc>
        <w:tc>
          <w:tcPr>
            <w:tcW w:w="381" w:type="pct"/>
          </w:tcPr>
          <w:p w14:paraId="058DDE02"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68764254" w14:textId="67FA8E5E"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1BDB7A8B" w14:textId="0C13F18F" w:rsidR="00BF6A4D" w:rsidRPr="007E6572" w:rsidRDefault="00BB7D61" w:rsidP="00E979A9">
            <w:pPr>
              <w:jc w:val="center"/>
              <w:rPr>
                <w:rFonts w:cs="Calibri"/>
                <w:color w:val="000000"/>
                <w:lang w:eastAsia="fr-CA"/>
              </w:rPr>
            </w:pPr>
            <w:r>
              <w:rPr>
                <w:rFonts w:cs="Calibri"/>
                <w:color w:val="000000"/>
                <w:lang w:eastAsia="fr-CA"/>
              </w:rPr>
              <w:t>X</w:t>
            </w:r>
            <w:r w:rsidRPr="00BB7D61">
              <w:rPr>
                <w:rFonts w:cs="Calibri"/>
                <w:color w:val="000000"/>
                <w:vertAlign w:val="superscript"/>
                <w:lang w:eastAsia="fr-CA"/>
              </w:rPr>
              <w:t>28</w:t>
            </w:r>
          </w:p>
        </w:tc>
      </w:tr>
      <w:tr w:rsidR="00BF6A4D" w14:paraId="4973937F" w14:textId="77777777" w:rsidTr="00F77C47">
        <w:trPr>
          <w:trHeight w:val="1777"/>
        </w:trPr>
        <w:tc>
          <w:tcPr>
            <w:tcW w:w="3597" w:type="pct"/>
            <w:tcBorders>
              <w:bottom w:val="dotted" w:sz="4" w:space="0" w:color="auto"/>
            </w:tcBorders>
            <w:shd w:val="clear" w:color="auto" w:fill="auto"/>
            <w:noWrap/>
            <w:vAlign w:val="center"/>
            <w:hideMark/>
          </w:tcPr>
          <w:p w14:paraId="5EEE95B4" w14:textId="6BAB74AD" w:rsidR="00BF6A4D" w:rsidRPr="007E6572" w:rsidRDefault="00BF6A4D" w:rsidP="00AA0215">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sz w:val="24"/>
                <w:szCs w:val="24"/>
                <w:lang w:eastAsia="fr-CA"/>
              </w:rPr>
              <w:lastRenderedPageBreak/>
              <w:t>L</w:t>
            </w:r>
            <w:r w:rsidRPr="614D07B3">
              <w:rPr>
                <w:rFonts w:eastAsia="Times New Roman" w:cs="Calibri"/>
                <w:b w:val="0"/>
                <w:color w:val="000000" w:themeColor="text1"/>
                <w:sz w:val="24"/>
                <w:szCs w:val="24"/>
                <w:lang w:eastAsia="fr-CA"/>
              </w:rPr>
              <w:t xml:space="preserve">’évolution mensuelle par tarif du nombre de clients, des volumes (en </w:t>
            </w:r>
            <w:r w:rsidR="00AA0215">
              <w:rPr>
                <w:rFonts w:eastAsia="Times New Roman" w:cs="Calibri"/>
                <w:b w:val="0"/>
                <w:color w:val="000000" w:themeColor="text1"/>
                <w:sz w:val="24"/>
                <w:szCs w:val="24"/>
                <w:lang w:eastAsia="fr-CA"/>
              </w:rPr>
              <w:t>10</w:t>
            </w:r>
            <w:r w:rsidR="00AA0215" w:rsidRPr="004277D4">
              <w:rPr>
                <w:rFonts w:eastAsia="Times New Roman" w:cs="Calibri"/>
                <w:b w:val="0"/>
                <w:color w:val="000000" w:themeColor="text1"/>
                <w:sz w:val="24"/>
                <w:szCs w:val="24"/>
                <w:vertAlign w:val="superscript"/>
                <w:lang w:eastAsia="fr-CA"/>
              </w:rPr>
              <w:t>3</w:t>
            </w:r>
            <w:r w:rsidRPr="614D07B3">
              <w:rPr>
                <w:rFonts w:eastAsia="Times New Roman" w:cs="Calibri"/>
                <w:b w:val="0"/>
                <w:color w:val="000000" w:themeColor="text1"/>
                <w:sz w:val="24"/>
                <w:szCs w:val="24"/>
                <w:lang w:eastAsia="fr-CA"/>
              </w:rPr>
              <w:t>m</w:t>
            </w:r>
            <w:r w:rsidRPr="614D07B3">
              <w:rPr>
                <w:rFonts w:eastAsia="Times New Roman" w:cs="Calibri"/>
                <w:b w:val="0"/>
                <w:color w:val="000000" w:themeColor="text1"/>
                <w:sz w:val="24"/>
                <w:szCs w:val="24"/>
                <w:vertAlign w:val="superscript"/>
                <w:lang w:eastAsia="fr-CA"/>
              </w:rPr>
              <w:t>3</w:t>
            </w:r>
            <w:r w:rsidRPr="614D07B3">
              <w:rPr>
                <w:rFonts w:eastAsia="Times New Roman" w:cs="Calibri"/>
                <w:b w:val="0"/>
                <w:color w:val="000000" w:themeColor="text1"/>
                <w:sz w:val="24"/>
                <w:szCs w:val="24"/>
                <w:lang w:eastAsia="fr-CA"/>
              </w:rPr>
              <w:t>) et des revenus de distribution pour les secteurs résidentiel, commercial et industriel (avec et sans chauffage) ainsi que pour l’interruptible. Présenter également l’utilisation moyenne par facture.</w:t>
            </w:r>
          </w:p>
        </w:tc>
        <w:tc>
          <w:tcPr>
            <w:tcW w:w="381" w:type="pct"/>
            <w:tcBorders>
              <w:bottom w:val="dotted" w:sz="4" w:space="0" w:color="auto"/>
            </w:tcBorders>
          </w:tcPr>
          <w:p w14:paraId="1A2D9283"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hideMark/>
          </w:tcPr>
          <w:p w14:paraId="3ED677B2" w14:textId="3E0088B6"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hideMark/>
          </w:tcPr>
          <w:p w14:paraId="44BAB30B" w14:textId="00641C42" w:rsidR="00BF6A4D" w:rsidRPr="007E6572" w:rsidRDefault="00BB7D61" w:rsidP="0048198B">
            <w:pPr>
              <w:jc w:val="center"/>
              <w:rPr>
                <w:rFonts w:cs="Calibri"/>
                <w:color w:val="000000"/>
                <w:lang w:eastAsia="fr-CA"/>
              </w:rPr>
            </w:pPr>
            <w:r>
              <w:rPr>
                <w:rFonts w:cs="Calibri"/>
                <w:color w:val="000000"/>
                <w:lang w:eastAsia="fr-CA"/>
              </w:rPr>
              <w:t>X</w:t>
            </w:r>
            <w:r w:rsidRPr="00BB7D61">
              <w:rPr>
                <w:rFonts w:cs="Calibri"/>
                <w:color w:val="000000"/>
                <w:vertAlign w:val="superscript"/>
                <w:lang w:eastAsia="fr-CA"/>
              </w:rPr>
              <w:t>28</w:t>
            </w:r>
          </w:p>
        </w:tc>
      </w:tr>
      <w:tr w:rsidR="00BF6A4D" w14:paraId="57D7F017" w14:textId="77777777" w:rsidTr="00F77C47">
        <w:trPr>
          <w:trHeight w:val="300"/>
        </w:trPr>
        <w:tc>
          <w:tcPr>
            <w:tcW w:w="3597" w:type="pct"/>
            <w:tcBorders>
              <w:top w:val="dotted" w:sz="4" w:space="0" w:color="auto"/>
              <w:right w:val="nil"/>
            </w:tcBorders>
            <w:shd w:val="clear" w:color="auto" w:fill="auto"/>
            <w:noWrap/>
          </w:tcPr>
          <w:p w14:paraId="71EE5B8E" w14:textId="65939781" w:rsidR="00BF6A4D" w:rsidRPr="00856C38" w:rsidRDefault="00BF6A4D" w:rsidP="007E2E7B">
            <w:pPr>
              <w:pStyle w:val="Titre2"/>
              <w:keepNext/>
              <w:tabs>
                <w:tab w:val="clear" w:pos="709"/>
                <w:tab w:val="num" w:pos="851"/>
              </w:tabs>
              <w:spacing w:before="360"/>
              <w:ind w:left="851" w:hanging="851"/>
              <w:rPr>
                <w:rFonts w:cs="Calibri"/>
                <w:szCs w:val="24"/>
              </w:rPr>
            </w:pPr>
            <w:bookmarkStart w:id="33" w:name="_Toc124329932"/>
            <w:r w:rsidRPr="00856C38">
              <w:rPr>
                <w:rFonts w:cs="Calibri"/>
                <w:szCs w:val="24"/>
              </w:rPr>
              <w:t>Méthode de répartition des coûts</w:t>
            </w:r>
            <w:bookmarkEnd w:id="33"/>
          </w:p>
        </w:tc>
        <w:tc>
          <w:tcPr>
            <w:tcW w:w="381" w:type="pct"/>
            <w:tcBorders>
              <w:top w:val="dotted" w:sz="4" w:space="0" w:color="auto"/>
              <w:left w:val="nil"/>
              <w:right w:val="nil"/>
            </w:tcBorders>
          </w:tcPr>
          <w:p w14:paraId="63096054" w14:textId="77777777" w:rsidR="00BF6A4D" w:rsidRPr="00FB2362" w:rsidRDefault="00BF6A4D" w:rsidP="00352626">
            <w:pPr>
              <w:rPr>
                <w:rFonts w:cs="Calibri"/>
                <w:lang w:eastAsia="fr-CA"/>
              </w:rPr>
            </w:pPr>
          </w:p>
        </w:tc>
        <w:tc>
          <w:tcPr>
            <w:tcW w:w="545" w:type="pct"/>
            <w:tcBorders>
              <w:top w:val="dotted" w:sz="4" w:space="0" w:color="auto"/>
              <w:left w:val="nil"/>
              <w:right w:val="nil"/>
            </w:tcBorders>
            <w:shd w:val="clear" w:color="auto" w:fill="auto"/>
            <w:noWrap/>
          </w:tcPr>
          <w:p w14:paraId="5E890032" w14:textId="77777777" w:rsidR="00BF6A4D" w:rsidRPr="00FB2362" w:rsidRDefault="00BF6A4D" w:rsidP="00352626">
            <w:pPr>
              <w:rPr>
                <w:rFonts w:cs="Calibri"/>
                <w:lang w:eastAsia="fr-CA"/>
              </w:rPr>
            </w:pPr>
          </w:p>
        </w:tc>
        <w:tc>
          <w:tcPr>
            <w:tcW w:w="477" w:type="pct"/>
            <w:tcBorders>
              <w:top w:val="dotted" w:sz="4" w:space="0" w:color="auto"/>
              <w:left w:val="nil"/>
            </w:tcBorders>
            <w:shd w:val="clear" w:color="auto" w:fill="auto"/>
            <w:noWrap/>
          </w:tcPr>
          <w:p w14:paraId="48D96A83" w14:textId="77777777" w:rsidR="00BF6A4D" w:rsidRPr="00FB2362" w:rsidRDefault="00BF6A4D" w:rsidP="00352626">
            <w:pPr>
              <w:rPr>
                <w:rFonts w:cs="Calibri"/>
                <w:lang w:eastAsia="fr-CA"/>
              </w:rPr>
            </w:pPr>
          </w:p>
        </w:tc>
      </w:tr>
      <w:tr w:rsidR="00BF6A4D" w14:paraId="2617D67F" w14:textId="77777777" w:rsidTr="00F77C47">
        <w:trPr>
          <w:trHeight w:val="255"/>
        </w:trPr>
        <w:tc>
          <w:tcPr>
            <w:tcW w:w="3597" w:type="pct"/>
            <w:shd w:val="clear" w:color="auto" w:fill="auto"/>
            <w:vAlign w:val="center"/>
            <w:hideMark/>
          </w:tcPr>
          <w:p w14:paraId="12228DA8"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sz w:val="24"/>
                <w:szCs w:val="24"/>
                <w:lang w:eastAsia="fr-CA"/>
              </w:rPr>
              <w:t>L</w:t>
            </w:r>
            <w:r w:rsidRPr="007E6572">
              <w:rPr>
                <w:rFonts w:eastAsia="Times New Roman" w:cs="Calibri"/>
                <w:b w:val="0"/>
                <w:color w:val="000000"/>
                <w:sz w:val="24"/>
                <w:szCs w:val="24"/>
                <w:lang w:eastAsia="fr-CA"/>
              </w:rPr>
              <w:t>es résultats de l’étude d’allocation des coûts pour l’année témoin projetée.</w:t>
            </w:r>
          </w:p>
        </w:tc>
        <w:tc>
          <w:tcPr>
            <w:tcW w:w="381" w:type="pct"/>
          </w:tcPr>
          <w:p w14:paraId="0B6A9FBF"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09FD5AA9" w14:textId="4B31C81E"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578BB7D2" w14:textId="08049029"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1FF297A5" w14:textId="77777777" w:rsidTr="00F77C47">
        <w:trPr>
          <w:trHeight w:val="255"/>
        </w:trPr>
        <w:tc>
          <w:tcPr>
            <w:tcW w:w="3597" w:type="pct"/>
            <w:tcBorders>
              <w:bottom w:val="dotted" w:sz="4" w:space="0" w:color="auto"/>
            </w:tcBorders>
            <w:shd w:val="clear" w:color="auto" w:fill="auto"/>
            <w:noWrap/>
            <w:vAlign w:val="center"/>
            <w:hideMark/>
          </w:tcPr>
          <w:p w14:paraId="7B8C8C7E"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sz w:val="24"/>
                <w:szCs w:val="24"/>
                <w:lang w:eastAsia="fr-CA"/>
              </w:rPr>
              <w:t>Comparer</w:t>
            </w:r>
            <w:r w:rsidRPr="007E6572">
              <w:rPr>
                <w:rFonts w:eastAsia="Times New Roman" w:cs="Calibri"/>
                <w:b w:val="0"/>
                <w:color w:val="000000"/>
                <w:sz w:val="24"/>
                <w:szCs w:val="24"/>
                <w:lang w:eastAsia="fr-CA"/>
              </w:rPr>
              <w:t xml:space="preserve"> les revenus et coûts de distribution par tarif et déterminer le ratio revenus/coûts.</w:t>
            </w:r>
          </w:p>
        </w:tc>
        <w:tc>
          <w:tcPr>
            <w:tcW w:w="381" w:type="pct"/>
            <w:tcBorders>
              <w:bottom w:val="dotted" w:sz="4" w:space="0" w:color="auto"/>
            </w:tcBorders>
          </w:tcPr>
          <w:p w14:paraId="6BFD7F5E"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hideMark/>
          </w:tcPr>
          <w:p w14:paraId="675C2EBD" w14:textId="583BC6EC"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hideMark/>
          </w:tcPr>
          <w:p w14:paraId="5679F681" w14:textId="47B93562"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30E68FFD" w14:textId="77777777" w:rsidTr="00F77C47">
        <w:trPr>
          <w:trHeight w:val="255"/>
        </w:trPr>
        <w:tc>
          <w:tcPr>
            <w:tcW w:w="3597" w:type="pct"/>
            <w:tcBorders>
              <w:top w:val="dotted" w:sz="4" w:space="0" w:color="auto"/>
              <w:right w:val="nil"/>
            </w:tcBorders>
            <w:shd w:val="clear" w:color="auto" w:fill="auto"/>
            <w:noWrap/>
          </w:tcPr>
          <w:p w14:paraId="38B0542F" w14:textId="7C4481CB" w:rsidR="00BF6A4D" w:rsidRPr="00856C38" w:rsidRDefault="00BF6A4D" w:rsidP="007E2E7B">
            <w:pPr>
              <w:pStyle w:val="Titre2"/>
              <w:keepNext/>
              <w:tabs>
                <w:tab w:val="clear" w:pos="709"/>
                <w:tab w:val="num" w:pos="851"/>
              </w:tabs>
              <w:spacing w:before="360"/>
              <w:ind w:left="851" w:hanging="851"/>
              <w:rPr>
                <w:rFonts w:cs="Calibri"/>
                <w:szCs w:val="24"/>
              </w:rPr>
            </w:pPr>
            <w:bookmarkStart w:id="34" w:name="_Toc124329933"/>
            <w:r w:rsidRPr="00856C38">
              <w:rPr>
                <w:rFonts w:cs="Calibri"/>
                <w:szCs w:val="24"/>
              </w:rPr>
              <w:t>Structure tarifaire</w:t>
            </w:r>
            <w:bookmarkEnd w:id="34"/>
          </w:p>
        </w:tc>
        <w:tc>
          <w:tcPr>
            <w:tcW w:w="381" w:type="pct"/>
            <w:tcBorders>
              <w:top w:val="dotted" w:sz="4" w:space="0" w:color="auto"/>
              <w:left w:val="nil"/>
              <w:right w:val="nil"/>
            </w:tcBorders>
          </w:tcPr>
          <w:p w14:paraId="276EEC92" w14:textId="77777777" w:rsidR="00BF6A4D" w:rsidRPr="00FB2362" w:rsidRDefault="00BF6A4D" w:rsidP="00352626">
            <w:pPr>
              <w:rPr>
                <w:rFonts w:cs="Calibri"/>
                <w:lang w:eastAsia="fr-CA"/>
              </w:rPr>
            </w:pPr>
          </w:p>
        </w:tc>
        <w:tc>
          <w:tcPr>
            <w:tcW w:w="545" w:type="pct"/>
            <w:tcBorders>
              <w:top w:val="dotted" w:sz="4" w:space="0" w:color="auto"/>
              <w:left w:val="nil"/>
              <w:right w:val="nil"/>
            </w:tcBorders>
            <w:shd w:val="clear" w:color="auto" w:fill="auto"/>
            <w:noWrap/>
          </w:tcPr>
          <w:p w14:paraId="3DB858B8" w14:textId="77777777" w:rsidR="00BF6A4D" w:rsidRPr="00FB2362" w:rsidRDefault="00BF6A4D" w:rsidP="00352626">
            <w:pPr>
              <w:rPr>
                <w:rFonts w:cs="Calibri"/>
                <w:lang w:eastAsia="fr-CA"/>
              </w:rPr>
            </w:pPr>
          </w:p>
        </w:tc>
        <w:tc>
          <w:tcPr>
            <w:tcW w:w="477" w:type="pct"/>
            <w:tcBorders>
              <w:top w:val="dotted" w:sz="4" w:space="0" w:color="auto"/>
              <w:left w:val="nil"/>
            </w:tcBorders>
            <w:shd w:val="clear" w:color="auto" w:fill="auto"/>
            <w:noWrap/>
          </w:tcPr>
          <w:p w14:paraId="64306D86" w14:textId="77777777" w:rsidR="00BF6A4D" w:rsidRPr="00FB2362" w:rsidRDefault="00BF6A4D" w:rsidP="00352626">
            <w:pPr>
              <w:rPr>
                <w:rFonts w:cs="Calibri"/>
                <w:lang w:eastAsia="fr-CA"/>
              </w:rPr>
            </w:pPr>
          </w:p>
        </w:tc>
      </w:tr>
      <w:tr w:rsidR="00BF6A4D" w14:paraId="44D69F90" w14:textId="77777777" w:rsidTr="00F77C47">
        <w:trPr>
          <w:trHeight w:val="255"/>
        </w:trPr>
        <w:tc>
          <w:tcPr>
            <w:tcW w:w="3597" w:type="pct"/>
            <w:shd w:val="clear" w:color="auto" w:fill="auto"/>
            <w:vAlign w:val="center"/>
            <w:hideMark/>
          </w:tcPr>
          <w:p w14:paraId="182E9C61"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 xml:space="preserve">Les précisions sur la méthode proposée pour l’allocation du revenu de distribution requis par classe tarifaire. </w:t>
            </w:r>
          </w:p>
        </w:tc>
        <w:tc>
          <w:tcPr>
            <w:tcW w:w="381" w:type="pct"/>
          </w:tcPr>
          <w:p w14:paraId="08E453A5"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47DC301C" w14:textId="1EA68BD3"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652E85F9" w14:textId="4D31BD30"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03BCD2FA" w14:textId="77777777" w:rsidTr="00F77C47">
        <w:trPr>
          <w:trHeight w:val="255"/>
        </w:trPr>
        <w:tc>
          <w:tcPr>
            <w:tcW w:w="3597" w:type="pct"/>
            <w:shd w:val="clear" w:color="auto" w:fill="auto"/>
            <w:vAlign w:val="center"/>
            <w:hideMark/>
          </w:tcPr>
          <w:p w14:paraId="78B425AF"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La répartition du revenu requis de l’année témoin projetée par classe tarifaire. Comparer la répartition du revenu requis en vigueur par rapport à celle proposée.</w:t>
            </w:r>
          </w:p>
        </w:tc>
        <w:tc>
          <w:tcPr>
            <w:tcW w:w="381" w:type="pct"/>
          </w:tcPr>
          <w:p w14:paraId="7DDD30A5"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2A9CA64D" w14:textId="43F0C9F2"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56A49A35" w14:textId="5A51D151"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0F323EAB" w14:textId="77777777" w:rsidTr="00F77C47">
        <w:trPr>
          <w:trHeight w:val="255"/>
        </w:trPr>
        <w:tc>
          <w:tcPr>
            <w:tcW w:w="3597" w:type="pct"/>
            <w:shd w:val="clear" w:color="auto" w:fill="auto"/>
            <w:vAlign w:val="center"/>
            <w:hideMark/>
          </w:tcPr>
          <w:p w14:paraId="7DF66DA0"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Les taux unitaires par service et par classe tarifaire.</w:t>
            </w:r>
          </w:p>
        </w:tc>
        <w:tc>
          <w:tcPr>
            <w:tcW w:w="381" w:type="pct"/>
          </w:tcPr>
          <w:p w14:paraId="00A5DD62" w14:textId="77777777" w:rsidR="00BF6A4D" w:rsidRPr="007E6572" w:rsidRDefault="00BF6A4D" w:rsidP="0048198B">
            <w:pPr>
              <w:jc w:val="center"/>
              <w:rPr>
                <w:rFonts w:cs="Calibri"/>
                <w:color w:val="000000"/>
                <w:lang w:eastAsia="fr-CA"/>
              </w:rPr>
            </w:pPr>
          </w:p>
        </w:tc>
        <w:tc>
          <w:tcPr>
            <w:tcW w:w="545" w:type="pct"/>
            <w:shd w:val="clear" w:color="auto" w:fill="auto"/>
            <w:vAlign w:val="center"/>
            <w:hideMark/>
          </w:tcPr>
          <w:p w14:paraId="1A6B285B" w14:textId="6CCF5B81"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vAlign w:val="center"/>
            <w:hideMark/>
          </w:tcPr>
          <w:p w14:paraId="1BF7DEFD" w14:textId="2CA8EF14"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7783746B" w14:textId="77777777" w:rsidTr="00F77C47">
        <w:trPr>
          <w:trHeight w:val="255"/>
        </w:trPr>
        <w:tc>
          <w:tcPr>
            <w:tcW w:w="3597" w:type="pct"/>
            <w:tcBorders>
              <w:bottom w:val="dotted" w:sz="4" w:space="0" w:color="auto"/>
            </w:tcBorders>
            <w:shd w:val="clear" w:color="auto" w:fill="auto"/>
            <w:vAlign w:val="center"/>
            <w:hideMark/>
          </w:tcPr>
          <w:p w14:paraId="159AE6CA" w14:textId="644FFD14" w:rsidR="00BF6A4D" w:rsidRPr="007E6572" w:rsidRDefault="00BF6A4D" w:rsidP="00352626">
            <w:pPr>
              <w:pStyle w:val="TitreS2"/>
              <w:numPr>
                <w:ilvl w:val="3"/>
                <w:numId w:val="8"/>
              </w:numPr>
              <w:spacing w:before="200" w:after="0"/>
              <w:ind w:left="567" w:hanging="567"/>
              <w:rPr>
                <w:rFonts w:cs="Calibri"/>
                <w:b w:val="0"/>
                <w:sz w:val="24"/>
                <w:szCs w:val="24"/>
              </w:rPr>
            </w:pPr>
            <w:r w:rsidRPr="007E6572">
              <w:rPr>
                <w:rFonts w:eastAsia="Times New Roman" w:cs="Calibri"/>
                <w:b w:val="0"/>
                <w:sz w:val="24"/>
                <w:szCs w:val="24"/>
                <w:lang w:eastAsia="fr-CA"/>
              </w:rPr>
              <w:lastRenderedPageBreak/>
              <w:t xml:space="preserve">Le sommaire des ajustements proposés par classe tarifaire. Le cas échéant, présenter de façon distincte </w:t>
            </w:r>
            <w:r w:rsidRPr="007E6572">
              <w:rPr>
                <w:rFonts w:cs="Calibri"/>
                <w:b w:val="0"/>
                <w:sz w:val="24"/>
                <w:szCs w:val="24"/>
              </w:rPr>
              <w:t>l’ajustement discrétionnaire de la répartition de l’excédent de rendement, c</w:t>
            </w:r>
            <w:r w:rsidRPr="007E6572">
              <w:rPr>
                <w:rFonts w:cs="Calibri"/>
                <w:b w:val="0"/>
                <w:sz w:val="24"/>
                <w:szCs w:val="24"/>
                <w:lang w:eastAsia="fr-CA"/>
              </w:rPr>
              <w:t>onformément à la décision</w:t>
            </w:r>
            <w:r w:rsidRPr="007E6572">
              <w:rPr>
                <w:rStyle w:val="Appelnotedebasdep"/>
                <w:rFonts w:cs="Calibri"/>
                <w:b w:val="0"/>
                <w:sz w:val="24"/>
                <w:szCs w:val="24"/>
              </w:rPr>
              <w:t xml:space="preserve"> </w:t>
            </w:r>
            <w:r w:rsidRPr="007E6572">
              <w:rPr>
                <w:rFonts w:cs="Calibri"/>
                <w:b w:val="0"/>
                <w:sz w:val="24"/>
                <w:szCs w:val="24"/>
              </w:rPr>
              <w:t>D-2019-163</w:t>
            </w:r>
            <w:r>
              <w:rPr>
                <w:rStyle w:val="Appelnotedebasdep"/>
                <w:rFonts w:cs="Calibri"/>
                <w:b w:val="0"/>
                <w:sz w:val="24"/>
                <w:szCs w:val="24"/>
              </w:rPr>
              <w:footnoteReference w:id="31"/>
            </w:r>
            <w:r w:rsidRPr="007E6572">
              <w:rPr>
                <w:rFonts w:cs="Calibri"/>
                <w:b w:val="0"/>
                <w:sz w:val="24"/>
                <w:szCs w:val="24"/>
              </w:rPr>
              <w:t>.</w:t>
            </w:r>
          </w:p>
        </w:tc>
        <w:tc>
          <w:tcPr>
            <w:tcW w:w="381" w:type="pct"/>
            <w:tcBorders>
              <w:bottom w:val="dotted" w:sz="4" w:space="0" w:color="auto"/>
            </w:tcBorders>
          </w:tcPr>
          <w:p w14:paraId="5C2CC30D" w14:textId="77777777" w:rsidR="00BF6A4D" w:rsidRPr="007E6572" w:rsidRDefault="00BF6A4D" w:rsidP="0048198B">
            <w:pPr>
              <w:jc w:val="center"/>
              <w:rPr>
                <w:rFonts w:cs="Calibri"/>
                <w:lang w:eastAsia="fr-CA"/>
              </w:rPr>
            </w:pPr>
          </w:p>
        </w:tc>
        <w:tc>
          <w:tcPr>
            <w:tcW w:w="545" w:type="pct"/>
            <w:tcBorders>
              <w:bottom w:val="dotted" w:sz="4" w:space="0" w:color="auto"/>
            </w:tcBorders>
            <w:shd w:val="clear" w:color="auto" w:fill="auto"/>
            <w:vAlign w:val="center"/>
            <w:hideMark/>
          </w:tcPr>
          <w:p w14:paraId="459F27C2" w14:textId="4EDD8B07" w:rsidR="00BF6A4D" w:rsidRPr="007E6572" w:rsidRDefault="00096E12" w:rsidP="0048198B">
            <w:pPr>
              <w:jc w:val="center"/>
              <w:rPr>
                <w:rFonts w:cs="Calibri"/>
                <w:lang w:eastAsia="fr-CA"/>
              </w:rPr>
            </w:pPr>
            <w:r w:rsidRPr="007E6572">
              <w:rPr>
                <w:rFonts w:cs="Calibri"/>
                <w:lang w:eastAsia="fr-CA"/>
              </w:rPr>
              <w:t>X</w:t>
            </w:r>
          </w:p>
        </w:tc>
        <w:tc>
          <w:tcPr>
            <w:tcW w:w="477" w:type="pct"/>
            <w:tcBorders>
              <w:bottom w:val="dotted" w:sz="4" w:space="0" w:color="auto"/>
            </w:tcBorders>
            <w:shd w:val="clear" w:color="auto" w:fill="auto"/>
            <w:vAlign w:val="center"/>
            <w:hideMark/>
          </w:tcPr>
          <w:p w14:paraId="05C5275B" w14:textId="2F86F628" w:rsidR="00BF6A4D" w:rsidRPr="007E6572" w:rsidRDefault="00096E12" w:rsidP="0048198B">
            <w:pPr>
              <w:jc w:val="center"/>
              <w:rPr>
                <w:rFonts w:cs="Calibri"/>
                <w:lang w:eastAsia="fr-CA"/>
              </w:rPr>
            </w:pPr>
            <w:r w:rsidRPr="007E6572">
              <w:rPr>
                <w:rFonts w:cs="Calibri"/>
                <w:lang w:eastAsia="fr-CA"/>
              </w:rPr>
              <w:t>X</w:t>
            </w:r>
          </w:p>
        </w:tc>
      </w:tr>
      <w:tr w:rsidR="00BF6A4D" w14:paraId="6EBE1069" w14:textId="77777777" w:rsidTr="00F77C47">
        <w:trPr>
          <w:trHeight w:val="255"/>
        </w:trPr>
        <w:tc>
          <w:tcPr>
            <w:tcW w:w="3597" w:type="pct"/>
            <w:tcBorders>
              <w:top w:val="dotted" w:sz="4" w:space="0" w:color="auto"/>
              <w:right w:val="nil"/>
            </w:tcBorders>
            <w:shd w:val="clear" w:color="auto" w:fill="auto"/>
          </w:tcPr>
          <w:p w14:paraId="09162D14" w14:textId="0378A39A" w:rsidR="00BF6A4D" w:rsidRPr="00856C38" w:rsidRDefault="00BF6A4D" w:rsidP="007E2E7B">
            <w:pPr>
              <w:pStyle w:val="Titre2"/>
              <w:keepNext/>
              <w:tabs>
                <w:tab w:val="clear" w:pos="709"/>
                <w:tab w:val="num" w:pos="851"/>
              </w:tabs>
              <w:spacing w:before="360"/>
              <w:ind w:left="851" w:hanging="851"/>
              <w:rPr>
                <w:rFonts w:cs="Calibri"/>
                <w:szCs w:val="24"/>
              </w:rPr>
            </w:pPr>
            <w:bookmarkStart w:id="35" w:name="_Toc124329934"/>
            <w:r w:rsidRPr="00856C38">
              <w:rPr>
                <w:rFonts w:cs="Calibri"/>
                <w:szCs w:val="24"/>
              </w:rPr>
              <w:t>Charges liées au coût du gaz</w:t>
            </w:r>
            <w:bookmarkEnd w:id="35"/>
            <w:r w:rsidR="003035D8">
              <w:rPr>
                <w:rStyle w:val="Appelnotedebasdep"/>
                <w:rFonts w:cs="Calibri"/>
                <w:szCs w:val="24"/>
              </w:rPr>
              <w:footnoteReference w:id="32"/>
            </w:r>
          </w:p>
        </w:tc>
        <w:tc>
          <w:tcPr>
            <w:tcW w:w="381" w:type="pct"/>
            <w:tcBorders>
              <w:top w:val="dotted" w:sz="4" w:space="0" w:color="auto"/>
              <w:left w:val="nil"/>
              <w:right w:val="nil"/>
            </w:tcBorders>
          </w:tcPr>
          <w:p w14:paraId="0DB23147" w14:textId="77777777" w:rsidR="00BF6A4D" w:rsidRPr="00FB2362" w:rsidRDefault="00BF6A4D" w:rsidP="00352626">
            <w:pPr>
              <w:rPr>
                <w:rFonts w:cs="Calibri"/>
                <w:lang w:eastAsia="fr-CA"/>
              </w:rPr>
            </w:pPr>
          </w:p>
        </w:tc>
        <w:tc>
          <w:tcPr>
            <w:tcW w:w="545" w:type="pct"/>
            <w:tcBorders>
              <w:top w:val="dotted" w:sz="4" w:space="0" w:color="auto"/>
              <w:left w:val="nil"/>
              <w:right w:val="nil"/>
            </w:tcBorders>
            <w:shd w:val="clear" w:color="auto" w:fill="auto"/>
          </w:tcPr>
          <w:p w14:paraId="57B4D7A9" w14:textId="77777777" w:rsidR="00BF6A4D" w:rsidRPr="00FB2362" w:rsidRDefault="00BF6A4D" w:rsidP="00352626">
            <w:pPr>
              <w:rPr>
                <w:rFonts w:cs="Calibri"/>
                <w:lang w:eastAsia="fr-CA"/>
              </w:rPr>
            </w:pPr>
          </w:p>
        </w:tc>
        <w:tc>
          <w:tcPr>
            <w:tcW w:w="477" w:type="pct"/>
            <w:tcBorders>
              <w:top w:val="dotted" w:sz="4" w:space="0" w:color="auto"/>
              <w:left w:val="nil"/>
            </w:tcBorders>
            <w:shd w:val="clear" w:color="auto" w:fill="auto"/>
          </w:tcPr>
          <w:p w14:paraId="4FC25EDC" w14:textId="77777777" w:rsidR="00BF6A4D" w:rsidRPr="00FB2362" w:rsidRDefault="00BF6A4D" w:rsidP="00352626">
            <w:pPr>
              <w:rPr>
                <w:rFonts w:cs="Calibri"/>
                <w:lang w:eastAsia="fr-CA"/>
              </w:rPr>
            </w:pPr>
          </w:p>
        </w:tc>
      </w:tr>
      <w:tr w:rsidR="00BF6A4D" w14:paraId="5D7594B2" w14:textId="77777777" w:rsidTr="00F77C47">
        <w:trPr>
          <w:trHeight w:val="255"/>
        </w:trPr>
        <w:tc>
          <w:tcPr>
            <w:tcW w:w="3597" w:type="pct"/>
            <w:shd w:val="clear" w:color="auto" w:fill="auto"/>
            <w:noWrap/>
            <w:vAlign w:val="center"/>
            <w:hideMark/>
          </w:tcPr>
          <w:p w14:paraId="0C887AF8"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L’impact du changement du coût du gaz sur le revenu requis résultant des volumes de l’année témoin projetée.</w:t>
            </w:r>
          </w:p>
        </w:tc>
        <w:tc>
          <w:tcPr>
            <w:tcW w:w="381" w:type="pct"/>
          </w:tcPr>
          <w:p w14:paraId="45B9D1F3"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hideMark/>
          </w:tcPr>
          <w:p w14:paraId="00425CFE" w14:textId="7DAF3213" w:rsidR="00BF6A4D" w:rsidRPr="007E6572" w:rsidRDefault="00096E12" w:rsidP="00BF6A4D">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hideMark/>
          </w:tcPr>
          <w:p w14:paraId="0CF63C57" w14:textId="5AB37874"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350B1218" w14:textId="77777777" w:rsidTr="00F77C47">
        <w:trPr>
          <w:trHeight w:val="255"/>
        </w:trPr>
        <w:tc>
          <w:tcPr>
            <w:tcW w:w="3597" w:type="pct"/>
            <w:shd w:val="clear" w:color="auto" w:fill="auto"/>
            <w:noWrap/>
            <w:vAlign w:val="center"/>
          </w:tcPr>
          <w:p w14:paraId="02D656A3"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 calcul détaillé mensuel du coût total des approvisionnements gaziers pour l’année témoin projetée.</w:t>
            </w:r>
          </w:p>
        </w:tc>
        <w:tc>
          <w:tcPr>
            <w:tcW w:w="381" w:type="pct"/>
          </w:tcPr>
          <w:p w14:paraId="26FC77B2"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1B1A6A43" w14:textId="6E0AF0A1"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5F6B5E3C" w14:textId="34FD417B"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07A3D25E" w14:textId="77777777" w:rsidTr="00F77C47">
        <w:trPr>
          <w:trHeight w:val="255"/>
        </w:trPr>
        <w:tc>
          <w:tcPr>
            <w:tcW w:w="3597" w:type="pct"/>
            <w:shd w:val="clear" w:color="auto" w:fill="auto"/>
            <w:noWrap/>
            <w:vAlign w:val="center"/>
          </w:tcPr>
          <w:p w14:paraId="04C1E496"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 xml:space="preserve">Les coûts et les approvisionnements gaziers pour l’année témoin projetée en vertu de l’application du Tarif 200 d’EGD. </w:t>
            </w:r>
          </w:p>
        </w:tc>
        <w:tc>
          <w:tcPr>
            <w:tcW w:w="381" w:type="pct"/>
          </w:tcPr>
          <w:p w14:paraId="1DA8583B"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2B460F24" w14:textId="049CF28C"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39BFA182" w14:textId="2A0959A0"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7870F671" w14:textId="77777777" w:rsidTr="00F77C47">
        <w:trPr>
          <w:trHeight w:val="255"/>
        </w:trPr>
        <w:tc>
          <w:tcPr>
            <w:tcW w:w="3597" w:type="pct"/>
            <w:shd w:val="clear" w:color="auto" w:fill="auto"/>
            <w:noWrap/>
            <w:vAlign w:val="center"/>
          </w:tcPr>
          <w:p w14:paraId="32CA2755"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 calcul du niveau de gaz perdu budgétisé.</w:t>
            </w:r>
          </w:p>
        </w:tc>
        <w:tc>
          <w:tcPr>
            <w:tcW w:w="381" w:type="pct"/>
          </w:tcPr>
          <w:p w14:paraId="5FA6AAAD"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75B1DEBE" w14:textId="21B366DE"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43BB030E" w14:textId="3AD1415B"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4C1EDE38" w14:textId="77777777" w:rsidTr="00F77C47">
        <w:trPr>
          <w:trHeight w:val="255"/>
        </w:trPr>
        <w:tc>
          <w:tcPr>
            <w:tcW w:w="3597" w:type="pct"/>
            <w:shd w:val="clear" w:color="auto" w:fill="auto"/>
            <w:noWrap/>
            <w:vAlign w:val="center"/>
          </w:tcPr>
          <w:p w14:paraId="20AB3C65" w14:textId="77777777" w:rsidR="00BF6A4D" w:rsidRPr="007E6572" w:rsidRDefault="00BF6A4D" w:rsidP="00352626">
            <w:pPr>
              <w:pStyle w:val="TitreS2"/>
              <w:numPr>
                <w:ilvl w:val="3"/>
                <w:numId w:val="8"/>
              </w:numPr>
              <w:spacing w:before="200" w:after="0"/>
              <w:ind w:left="567" w:hanging="567"/>
              <w:rPr>
                <w:rFonts w:eastAsia="Times New Roman" w:cs="Calibri"/>
                <w:b w:val="0"/>
                <w:color w:val="000000"/>
                <w:sz w:val="24"/>
                <w:szCs w:val="24"/>
                <w:lang w:eastAsia="fr-CA"/>
              </w:rPr>
            </w:pPr>
            <w:r w:rsidRPr="007E6572">
              <w:rPr>
                <w:rFonts w:eastAsia="Times New Roman" w:cs="Calibri"/>
                <w:b w:val="0"/>
                <w:color w:val="000000"/>
                <w:sz w:val="24"/>
                <w:szCs w:val="24"/>
                <w:lang w:eastAsia="fr-CA"/>
              </w:rPr>
              <w:t>Le calcul détaillé mensuel du coût total des approvisionnements gaziers avec les volumes de ventes de l’année témoin projetée et les hypothèses de l’année de base quant au gaz perdu, au volume souscrit et au coût de transports récupérés dans les tarifs en vigueur.</w:t>
            </w:r>
          </w:p>
        </w:tc>
        <w:tc>
          <w:tcPr>
            <w:tcW w:w="381" w:type="pct"/>
          </w:tcPr>
          <w:p w14:paraId="36D60467" w14:textId="77777777" w:rsidR="00BF6A4D" w:rsidRPr="007E6572" w:rsidRDefault="00BF6A4D" w:rsidP="0048198B">
            <w:pPr>
              <w:jc w:val="center"/>
              <w:rPr>
                <w:rFonts w:cs="Calibri"/>
                <w:color w:val="000000"/>
                <w:lang w:eastAsia="fr-CA"/>
              </w:rPr>
            </w:pPr>
          </w:p>
        </w:tc>
        <w:tc>
          <w:tcPr>
            <w:tcW w:w="545" w:type="pct"/>
            <w:shd w:val="clear" w:color="auto" w:fill="auto"/>
            <w:noWrap/>
            <w:vAlign w:val="center"/>
          </w:tcPr>
          <w:p w14:paraId="70FEE040" w14:textId="5C710AED"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shd w:val="clear" w:color="auto" w:fill="auto"/>
            <w:noWrap/>
            <w:vAlign w:val="center"/>
          </w:tcPr>
          <w:p w14:paraId="7CEDDC06" w14:textId="0BA4E80F"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49E40F34" w14:textId="77777777" w:rsidTr="00F77C47">
        <w:trPr>
          <w:trHeight w:val="255"/>
        </w:trPr>
        <w:tc>
          <w:tcPr>
            <w:tcW w:w="3597" w:type="pct"/>
            <w:tcBorders>
              <w:bottom w:val="dotted" w:sz="4" w:space="0" w:color="auto"/>
            </w:tcBorders>
            <w:shd w:val="clear" w:color="auto" w:fill="auto"/>
            <w:noWrap/>
            <w:vAlign w:val="center"/>
          </w:tcPr>
          <w:p w14:paraId="4BF0506A" w14:textId="0CE8A601" w:rsidR="00BF6A4D" w:rsidRPr="00F17E45" w:rsidRDefault="00BF6A4D" w:rsidP="00F17E45">
            <w:pPr>
              <w:pStyle w:val="TitreS2"/>
              <w:numPr>
                <w:ilvl w:val="3"/>
                <w:numId w:val="8"/>
              </w:numPr>
              <w:spacing w:before="200" w:after="0"/>
              <w:ind w:left="567" w:hanging="567"/>
              <w:rPr>
                <w:rFonts w:eastAsia="Times New Roman" w:cs="Calibri"/>
                <w:b w:val="0"/>
                <w:sz w:val="24"/>
                <w:szCs w:val="24"/>
                <w:lang w:eastAsia="fr-CA"/>
              </w:rPr>
            </w:pPr>
            <w:r w:rsidRPr="007E6572">
              <w:rPr>
                <w:rFonts w:eastAsia="Times New Roman" w:cs="Calibri"/>
                <w:b w:val="0"/>
                <w:sz w:val="24"/>
                <w:szCs w:val="24"/>
                <w:lang w:eastAsia="fr-CA"/>
              </w:rPr>
              <w:t>Les coûts et les approvisionnements gaziers en vertu de l’application du Tarif 200 d’EGD.</w:t>
            </w:r>
          </w:p>
        </w:tc>
        <w:tc>
          <w:tcPr>
            <w:tcW w:w="381" w:type="pct"/>
            <w:tcBorders>
              <w:bottom w:val="dotted" w:sz="4" w:space="0" w:color="auto"/>
            </w:tcBorders>
          </w:tcPr>
          <w:p w14:paraId="2E92C84B" w14:textId="77777777" w:rsidR="00BF6A4D" w:rsidRPr="007E6572" w:rsidRDefault="00BF6A4D" w:rsidP="0048198B">
            <w:pPr>
              <w:jc w:val="center"/>
              <w:rPr>
                <w:rFonts w:cs="Calibri"/>
                <w:color w:val="000000"/>
                <w:lang w:eastAsia="fr-CA"/>
              </w:rPr>
            </w:pPr>
          </w:p>
        </w:tc>
        <w:tc>
          <w:tcPr>
            <w:tcW w:w="545" w:type="pct"/>
            <w:tcBorders>
              <w:bottom w:val="dotted" w:sz="4" w:space="0" w:color="auto"/>
            </w:tcBorders>
            <w:shd w:val="clear" w:color="auto" w:fill="auto"/>
            <w:noWrap/>
            <w:vAlign w:val="center"/>
          </w:tcPr>
          <w:p w14:paraId="73F4BB35" w14:textId="2C89656D" w:rsidR="00BF6A4D" w:rsidRPr="007E6572" w:rsidRDefault="00096E12" w:rsidP="0048198B">
            <w:pPr>
              <w:jc w:val="center"/>
              <w:rPr>
                <w:rFonts w:cs="Calibri"/>
                <w:color w:val="000000"/>
                <w:lang w:eastAsia="fr-CA"/>
              </w:rPr>
            </w:pPr>
            <w:r w:rsidRPr="007E6572">
              <w:rPr>
                <w:rFonts w:cs="Calibri"/>
                <w:color w:val="000000"/>
                <w:lang w:eastAsia="fr-CA"/>
              </w:rPr>
              <w:t>X</w:t>
            </w:r>
          </w:p>
        </w:tc>
        <w:tc>
          <w:tcPr>
            <w:tcW w:w="477" w:type="pct"/>
            <w:tcBorders>
              <w:bottom w:val="dotted" w:sz="4" w:space="0" w:color="auto"/>
            </w:tcBorders>
            <w:shd w:val="clear" w:color="auto" w:fill="auto"/>
            <w:noWrap/>
            <w:vAlign w:val="center"/>
          </w:tcPr>
          <w:p w14:paraId="0EBED452" w14:textId="242C9DAF" w:rsidR="00BF6A4D" w:rsidRPr="007E6572" w:rsidRDefault="00096E12" w:rsidP="0048198B">
            <w:pPr>
              <w:jc w:val="center"/>
              <w:rPr>
                <w:rFonts w:cs="Calibri"/>
                <w:color w:val="000000"/>
                <w:lang w:eastAsia="fr-CA"/>
              </w:rPr>
            </w:pPr>
            <w:r w:rsidRPr="007E6572">
              <w:rPr>
                <w:rFonts w:cs="Calibri"/>
                <w:color w:val="000000"/>
                <w:lang w:eastAsia="fr-CA"/>
              </w:rPr>
              <w:t>X</w:t>
            </w:r>
          </w:p>
        </w:tc>
      </w:tr>
      <w:tr w:rsidR="00BF6A4D" w14:paraId="70E3AD8E" w14:textId="77777777" w:rsidTr="00F77C47">
        <w:trPr>
          <w:trHeight w:val="255"/>
        </w:trPr>
        <w:tc>
          <w:tcPr>
            <w:tcW w:w="3597" w:type="pct"/>
            <w:tcBorders>
              <w:top w:val="dotted" w:sz="4" w:space="0" w:color="auto"/>
              <w:right w:val="nil"/>
            </w:tcBorders>
            <w:shd w:val="clear" w:color="auto" w:fill="auto"/>
            <w:noWrap/>
          </w:tcPr>
          <w:p w14:paraId="4D280752" w14:textId="5BC54224" w:rsidR="00BF6A4D" w:rsidRPr="00FB2362" w:rsidRDefault="00BF6A4D" w:rsidP="007E2E7B">
            <w:pPr>
              <w:pStyle w:val="Titre2"/>
              <w:keepNext/>
              <w:tabs>
                <w:tab w:val="clear" w:pos="709"/>
                <w:tab w:val="num" w:pos="851"/>
              </w:tabs>
              <w:spacing w:before="360"/>
              <w:ind w:left="851" w:hanging="851"/>
              <w:rPr>
                <w:rFonts w:cs="Calibri"/>
                <w:szCs w:val="24"/>
              </w:rPr>
            </w:pPr>
            <w:bookmarkStart w:id="36" w:name="_Toc124329935"/>
            <w:r w:rsidRPr="00856C38">
              <w:rPr>
                <w:rFonts w:cs="Calibri"/>
                <w:szCs w:val="24"/>
              </w:rPr>
              <w:lastRenderedPageBreak/>
              <w:t>Programmes commerciaux</w:t>
            </w:r>
            <w:bookmarkEnd w:id="36"/>
          </w:p>
        </w:tc>
        <w:tc>
          <w:tcPr>
            <w:tcW w:w="381" w:type="pct"/>
            <w:tcBorders>
              <w:top w:val="dotted" w:sz="4" w:space="0" w:color="auto"/>
              <w:left w:val="nil"/>
              <w:right w:val="nil"/>
            </w:tcBorders>
          </w:tcPr>
          <w:p w14:paraId="2AB49C9A" w14:textId="77777777" w:rsidR="00BF6A4D" w:rsidRPr="00FB2362" w:rsidRDefault="00BF6A4D" w:rsidP="0048198B">
            <w:pPr>
              <w:jc w:val="center"/>
              <w:rPr>
                <w:rFonts w:cs="Calibri"/>
                <w:lang w:eastAsia="fr-CA"/>
              </w:rPr>
            </w:pPr>
          </w:p>
        </w:tc>
        <w:tc>
          <w:tcPr>
            <w:tcW w:w="545" w:type="pct"/>
            <w:tcBorders>
              <w:top w:val="dotted" w:sz="4" w:space="0" w:color="auto"/>
              <w:left w:val="nil"/>
              <w:right w:val="nil"/>
            </w:tcBorders>
            <w:shd w:val="clear" w:color="auto" w:fill="auto"/>
            <w:noWrap/>
            <w:vAlign w:val="center"/>
          </w:tcPr>
          <w:p w14:paraId="091CA7A6" w14:textId="77777777" w:rsidR="00BF6A4D" w:rsidRPr="00FB2362" w:rsidRDefault="00BF6A4D" w:rsidP="0048198B">
            <w:pPr>
              <w:jc w:val="center"/>
              <w:rPr>
                <w:rFonts w:cs="Calibri"/>
                <w:lang w:eastAsia="fr-CA"/>
              </w:rPr>
            </w:pPr>
          </w:p>
        </w:tc>
        <w:tc>
          <w:tcPr>
            <w:tcW w:w="477" w:type="pct"/>
            <w:tcBorders>
              <w:top w:val="dotted" w:sz="4" w:space="0" w:color="auto"/>
              <w:left w:val="nil"/>
            </w:tcBorders>
            <w:shd w:val="clear" w:color="auto" w:fill="auto"/>
            <w:noWrap/>
            <w:vAlign w:val="center"/>
          </w:tcPr>
          <w:p w14:paraId="2B582DD9" w14:textId="77777777" w:rsidR="00BF6A4D" w:rsidRPr="00FB2362" w:rsidRDefault="00BF6A4D" w:rsidP="0048198B">
            <w:pPr>
              <w:jc w:val="center"/>
              <w:rPr>
                <w:rFonts w:cs="Calibri"/>
                <w:lang w:eastAsia="fr-CA"/>
              </w:rPr>
            </w:pPr>
          </w:p>
        </w:tc>
      </w:tr>
      <w:tr w:rsidR="00BF6A4D" w14:paraId="431CEA4C" w14:textId="77777777" w:rsidTr="00F77C47">
        <w:trPr>
          <w:trHeight w:val="1736"/>
        </w:trPr>
        <w:tc>
          <w:tcPr>
            <w:tcW w:w="3597" w:type="pct"/>
            <w:shd w:val="clear" w:color="auto" w:fill="auto"/>
            <w:vAlign w:val="center"/>
            <w:hideMark/>
          </w:tcPr>
          <w:p w14:paraId="52573A8F" w14:textId="77777777" w:rsidR="00BF6A4D" w:rsidRPr="00257237"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eastAsia="Times New Roman" w:cs="Calibri"/>
                <w:b w:val="0"/>
                <w:sz w:val="24"/>
                <w:szCs w:val="24"/>
                <w:lang w:eastAsia="fr-CA"/>
              </w:rPr>
              <w:t>Le rapport sur la reconduction, le cas échéant, des programmes commerciaux existants ou les modifications, s’il y en a, qui y sont proposées et sur les nouveaux programmes proposés.</w:t>
            </w:r>
          </w:p>
        </w:tc>
        <w:tc>
          <w:tcPr>
            <w:tcW w:w="381" w:type="pct"/>
          </w:tcPr>
          <w:p w14:paraId="0B1E9096" w14:textId="77777777" w:rsidR="00BF6A4D" w:rsidRPr="00257237" w:rsidRDefault="00BF6A4D" w:rsidP="0048198B">
            <w:pPr>
              <w:jc w:val="center"/>
              <w:rPr>
                <w:rFonts w:cs="Calibri"/>
                <w:color w:val="000000"/>
                <w:lang w:eastAsia="fr-CA"/>
              </w:rPr>
            </w:pPr>
          </w:p>
        </w:tc>
        <w:tc>
          <w:tcPr>
            <w:tcW w:w="545" w:type="pct"/>
            <w:shd w:val="clear" w:color="auto" w:fill="auto"/>
            <w:vAlign w:val="center"/>
            <w:hideMark/>
          </w:tcPr>
          <w:p w14:paraId="6120D8EA" w14:textId="2A98449F" w:rsidR="00BF6A4D" w:rsidRPr="00257237" w:rsidRDefault="00096E12" w:rsidP="0048198B">
            <w:pPr>
              <w:jc w:val="center"/>
              <w:rPr>
                <w:rFonts w:cs="Calibri"/>
                <w:color w:val="000000"/>
                <w:lang w:eastAsia="fr-CA"/>
              </w:rPr>
            </w:pPr>
            <w:r w:rsidRPr="00257237">
              <w:rPr>
                <w:rFonts w:cs="Calibri"/>
                <w:color w:val="000000"/>
                <w:lang w:eastAsia="fr-CA"/>
              </w:rPr>
              <w:t>X</w:t>
            </w:r>
          </w:p>
        </w:tc>
        <w:tc>
          <w:tcPr>
            <w:tcW w:w="477" w:type="pct"/>
            <w:shd w:val="clear" w:color="auto" w:fill="auto"/>
            <w:vAlign w:val="center"/>
            <w:hideMark/>
          </w:tcPr>
          <w:p w14:paraId="442E6672" w14:textId="7EC9BAED" w:rsidR="00BF6A4D" w:rsidRPr="00257237" w:rsidRDefault="00096E12" w:rsidP="0048198B">
            <w:pPr>
              <w:jc w:val="center"/>
              <w:rPr>
                <w:rFonts w:cs="Calibri"/>
                <w:color w:val="000000"/>
                <w:lang w:eastAsia="fr-CA"/>
              </w:rPr>
            </w:pPr>
            <w:r w:rsidRPr="00257237" w:rsidDel="00EB7C32">
              <w:rPr>
                <w:rFonts w:cs="Calibri"/>
                <w:color w:val="000000"/>
                <w:lang w:eastAsia="fr-CA"/>
              </w:rPr>
              <w:t>X</w:t>
            </w:r>
          </w:p>
        </w:tc>
      </w:tr>
      <w:tr w:rsidR="001F5DE7" w14:paraId="2B78BB93" w14:textId="77777777" w:rsidTr="001F5DE7">
        <w:trPr>
          <w:trHeight w:val="255"/>
        </w:trPr>
        <w:tc>
          <w:tcPr>
            <w:tcW w:w="5000" w:type="pct"/>
            <w:gridSpan w:val="4"/>
          </w:tcPr>
          <w:p w14:paraId="47553901" w14:textId="52ECAF43" w:rsidR="001F5DE7" w:rsidRPr="00856C38" w:rsidRDefault="001F5DE7" w:rsidP="007E2E7B">
            <w:pPr>
              <w:pStyle w:val="Titre2"/>
              <w:keepNext/>
              <w:tabs>
                <w:tab w:val="clear" w:pos="709"/>
                <w:tab w:val="num" w:pos="851"/>
              </w:tabs>
              <w:spacing w:before="360"/>
              <w:ind w:left="851" w:hanging="851"/>
              <w:rPr>
                <w:rFonts w:cs="Calibri"/>
                <w:szCs w:val="24"/>
              </w:rPr>
            </w:pPr>
            <w:bookmarkStart w:id="37" w:name="_Toc124329936"/>
            <w:r w:rsidRPr="00856C38">
              <w:rPr>
                <w:rFonts w:cs="Calibri"/>
                <w:szCs w:val="24"/>
              </w:rPr>
              <w:t>Système de plafonnement et d’échanges de droits d’émission (SPEDE)</w:t>
            </w:r>
            <w:bookmarkEnd w:id="37"/>
          </w:p>
        </w:tc>
      </w:tr>
      <w:tr w:rsidR="00684E36" w14:paraId="5F4C06D9" w14:textId="77777777" w:rsidTr="00F77C47">
        <w:trPr>
          <w:trHeight w:val="255"/>
        </w:trPr>
        <w:tc>
          <w:tcPr>
            <w:tcW w:w="3597" w:type="pct"/>
            <w:shd w:val="clear" w:color="auto" w:fill="auto"/>
            <w:vAlign w:val="center"/>
            <w:hideMark/>
          </w:tcPr>
          <w:p w14:paraId="51C0B292" w14:textId="3E055417" w:rsidR="00684E36" w:rsidRPr="00257237" w:rsidRDefault="00684E36" w:rsidP="00F620C7">
            <w:pPr>
              <w:pStyle w:val="TitreS2"/>
              <w:numPr>
                <w:ilvl w:val="3"/>
                <w:numId w:val="8"/>
              </w:numPr>
              <w:spacing w:before="200" w:after="0"/>
              <w:ind w:left="567" w:hanging="567"/>
              <w:rPr>
                <w:rFonts w:eastAsia="Times New Roman" w:cs="Calibri"/>
                <w:b w:val="0"/>
                <w:sz w:val="24"/>
                <w:szCs w:val="24"/>
                <w:lang w:eastAsia="fr-CA"/>
              </w:rPr>
            </w:pPr>
            <w:r w:rsidRPr="00257237">
              <w:rPr>
                <w:rFonts w:eastAsia="Times New Roman" w:cs="Calibri"/>
                <w:b w:val="0"/>
                <w:sz w:val="24"/>
                <w:szCs w:val="24"/>
                <w:lang w:eastAsia="fr-CA"/>
              </w:rPr>
              <w:t>La stratégie d’achat que Gazifère propose afin d’assurer sa conformité au SPEDE ainsi que les motifs à son appui</w:t>
            </w:r>
            <w:r>
              <w:rPr>
                <w:rFonts w:eastAsia="Times New Roman" w:cs="Calibri"/>
                <w:b w:val="0"/>
                <w:sz w:val="24"/>
                <w:szCs w:val="24"/>
                <w:lang w:eastAsia="fr-CA"/>
              </w:rPr>
              <w:t>. Si un changement de stratégie est proposé, préciser les problématiques rencontrés dans le cadre de la stratégie actuelle</w:t>
            </w:r>
            <w:r w:rsidRPr="00257237">
              <w:rPr>
                <w:rFonts w:eastAsia="Times New Roman" w:cs="Calibri"/>
                <w:b w:val="0"/>
                <w:sz w:val="24"/>
                <w:szCs w:val="24"/>
                <w:lang w:eastAsia="fr-CA"/>
              </w:rPr>
              <w:t>.</w:t>
            </w:r>
          </w:p>
        </w:tc>
        <w:tc>
          <w:tcPr>
            <w:tcW w:w="381" w:type="pct"/>
          </w:tcPr>
          <w:p w14:paraId="57A02BBA" w14:textId="77777777" w:rsidR="00684E36" w:rsidRPr="00257237" w:rsidRDefault="00684E36" w:rsidP="0048198B">
            <w:pPr>
              <w:jc w:val="center"/>
              <w:rPr>
                <w:rFonts w:cs="Calibri"/>
                <w:color w:val="000000"/>
                <w:lang w:eastAsia="fr-CA"/>
              </w:rPr>
            </w:pPr>
          </w:p>
        </w:tc>
        <w:tc>
          <w:tcPr>
            <w:tcW w:w="545" w:type="pct"/>
            <w:shd w:val="clear" w:color="auto" w:fill="auto"/>
            <w:vAlign w:val="center"/>
          </w:tcPr>
          <w:p w14:paraId="2F605DC4" w14:textId="62F52386" w:rsidR="00684E36" w:rsidRPr="00257237" w:rsidRDefault="00096E12" w:rsidP="0048198B">
            <w:pPr>
              <w:jc w:val="center"/>
              <w:rPr>
                <w:rFonts w:cs="Calibri"/>
                <w:color w:val="000000"/>
                <w:lang w:eastAsia="fr-CA"/>
              </w:rPr>
            </w:pPr>
            <w:r w:rsidRPr="00257237">
              <w:rPr>
                <w:rFonts w:cs="Calibri"/>
                <w:color w:val="000000"/>
                <w:lang w:eastAsia="fr-CA"/>
              </w:rPr>
              <w:t>X</w:t>
            </w:r>
            <w:r>
              <w:rPr>
                <w:rStyle w:val="Appelnotedebasdep"/>
                <w:rFonts w:cs="Calibri"/>
                <w:color w:val="000000"/>
                <w:lang w:eastAsia="fr-CA"/>
              </w:rPr>
              <w:footnoteReference w:id="33"/>
            </w:r>
          </w:p>
        </w:tc>
        <w:tc>
          <w:tcPr>
            <w:tcW w:w="477" w:type="pct"/>
            <w:shd w:val="clear" w:color="auto" w:fill="auto"/>
            <w:vAlign w:val="center"/>
          </w:tcPr>
          <w:p w14:paraId="688F5F68" w14:textId="7E7025A0" w:rsidR="00684E36" w:rsidRPr="00257237" w:rsidRDefault="00684E36" w:rsidP="0048198B">
            <w:pPr>
              <w:jc w:val="center"/>
              <w:rPr>
                <w:rFonts w:cs="Calibri"/>
                <w:color w:val="000000"/>
                <w:lang w:eastAsia="fr-CA"/>
              </w:rPr>
            </w:pPr>
          </w:p>
        </w:tc>
      </w:tr>
      <w:tr w:rsidR="00684E36" w14:paraId="6FBEC774" w14:textId="77777777" w:rsidTr="00F77C47">
        <w:trPr>
          <w:trHeight w:val="255"/>
        </w:trPr>
        <w:tc>
          <w:tcPr>
            <w:tcW w:w="3597" w:type="pct"/>
            <w:shd w:val="clear" w:color="auto" w:fill="auto"/>
            <w:vAlign w:val="center"/>
          </w:tcPr>
          <w:p w14:paraId="02AFAC85" w14:textId="77777777" w:rsidR="00684E36" w:rsidRPr="00257237" w:rsidRDefault="00684E36" w:rsidP="00352626">
            <w:pPr>
              <w:pStyle w:val="TitreS2"/>
              <w:numPr>
                <w:ilvl w:val="3"/>
                <w:numId w:val="8"/>
              </w:numPr>
              <w:spacing w:before="200" w:after="0"/>
              <w:ind w:left="567" w:hanging="567"/>
              <w:rPr>
                <w:rFonts w:eastAsia="Times New Roman" w:cs="Calibri"/>
                <w:b w:val="0"/>
                <w:color w:val="000000"/>
                <w:sz w:val="24"/>
                <w:szCs w:val="24"/>
                <w:lang w:eastAsia="fr-CA"/>
              </w:rPr>
            </w:pPr>
            <w:r w:rsidRPr="00257237">
              <w:rPr>
                <w:rFonts w:eastAsia="Times New Roman" w:cs="Calibri"/>
                <w:b w:val="0"/>
                <w:color w:val="000000"/>
                <w:sz w:val="24"/>
                <w:szCs w:val="24"/>
                <w:lang w:eastAsia="fr-CA"/>
              </w:rPr>
              <w:t>Un tableau des principales composantes relatives à l’acquisition des unités d’émission pour chaque période de conformité concernée.</w:t>
            </w:r>
          </w:p>
        </w:tc>
        <w:tc>
          <w:tcPr>
            <w:tcW w:w="381" w:type="pct"/>
          </w:tcPr>
          <w:p w14:paraId="29EF1701" w14:textId="77777777" w:rsidR="00684E36" w:rsidRPr="00257237" w:rsidRDefault="00684E36" w:rsidP="0048198B">
            <w:pPr>
              <w:jc w:val="center"/>
              <w:rPr>
                <w:rFonts w:cs="Calibri"/>
                <w:color w:val="000000"/>
                <w:lang w:eastAsia="fr-CA"/>
              </w:rPr>
            </w:pPr>
          </w:p>
        </w:tc>
        <w:tc>
          <w:tcPr>
            <w:tcW w:w="545" w:type="pct"/>
            <w:shd w:val="clear" w:color="auto" w:fill="auto"/>
            <w:vAlign w:val="center"/>
          </w:tcPr>
          <w:p w14:paraId="29AD3C4B" w14:textId="24BA857B" w:rsidR="00684E36" w:rsidRPr="00257237" w:rsidRDefault="00096E12" w:rsidP="0048198B">
            <w:pPr>
              <w:jc w:val="center"/>
              <w:rPr>
                <w:rFonts w:cs="Calibri"/>
                <w:color w:val="000000"/>
                <w:lang w:eastAsia="fr-CA"/>
              </w:rPr>
            </w:pPr>
            <w:r w:rsidRPr="00257237">
              <w:rPr>
                <w:rFonts w:cs="Calibri"/>
                <w:color w:val="000000"/>
                <w:lang w:eastAsia="fr-CA"/>
              </w:rPr>
              <w:t>X</w:t>
            </w:r>
          </w:p>
        </w:tc>
        <w:tc>
          <w:tcPr>
            <w:tcW w:w="477" w:type="pct"/>
            <w:shd w:val="clear" w:color="auto" w:fill="auto"/>
            <w:vAlign w:val="center"/>
          </w:tcPr>
          <w:p w14:paraId="287A1D32" w14:textId="79B4D71C" w:rsidR="00684E36" w:rsidRPr="00257237" w:rsidRDefault="00684E36" w:rsidP="0048198B">
            <w:pPr>
              <w:jc w:val="center"/>
              <w:rPr>
                <w:rFonts w:cs="Calibri"/>
                <w:color w:val="000000"/>
                <w:lang w:eastAsia="fr-CA"/>
              </w:rPr>
            </w:pPr>
          </w:p>
        </w:tc>
      </w:tr>
      <w:tr w:rsidR="00BF6A4D" w14:paraId="30A83D1F" w14:textId="77777777" w:rsidTr="00F77C47">
        <w:trPr>
          <w:trHeight w:val="255"/>
        </w:trPr>
        <w:tc>
          <w:tcPr>
            <w:tcW w:w="3597" w:type="pct"/>
            <w:shd w:val="clear" w:color="auto" w:fill="auto"/>
            <w:vAlign w:val="center"/>
            <w:hideMark/>
          </w:tcPr>
          <w:p w14:paraId="04F69824" w14:textId="77777777" w:rsidR="00BF6A4D" w:rsidRPr="00257237"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eastAsia="Times New Roman" w:cs="Calibri"/>
                <w:b w:val="0"/>
                <w:sz w:val="24"/>
                <w:szCs w:val="24"/>
                <w:lang w:eastAsia="fr-CA"/>
              </w:rPr>
              <w:t>Le calcul du taux unitaire pour l’année témoin à être facturé aux clients de Gazifère afin de récupérer les coûts d’acquisition des droits d’émission nécessaires pour couvrir les émissions de gaz à effet de serre de ses clients non assujettis au SPEDE.</w:t>
            </w:r>
          </w:p>
        </w:tc>
        <w:tc>
          <w:tcPr>
            <w:tcW w:w="381" w:type="pct"/>
          </w:tcPr>
          <w:p w14:paraId="7157670D" w14:textId="77777777" w:rsidR="00BF6A4D" w:rsidRPr="00257237" w:rsidRDefault="00BF6A4D" w:rsidP="0048198B">
            <w:pPr>
              <w:jc w:val="center"/>
              <w:rPr>
                <w:rFonts w:cs="Calibri"/>
                <w:color w:val="000000"/>
                <w:lang w:eastAsia="fr-CA"/>
              </w:rPr>
            </w:pPr>
          </w:p>
        </w:tc>
        <w:tc>
          <w:tcPr>
            <w:tcW w:w="545" w:type="pct"/>
            <w:shd w:val="clear" w:color="auto" w:fill="auto"/>
            <w:vAlign w:val="center"/>
            <w:hideMark/>
          </w:tcPr>
          <w:p w14:paraId="7E4D8FE8" w14:textId="5C8A211D" w:rsidR="00BF6A4D" w:rsidRPr="00257237" w:rsidRDefault="00096E12" w:rsidP="0048198B">
            <w:pPr>
              <w:jc w:val="center"/>
              <w:rPr>
                <w:rFonts w:cs="Calibri"/>
                <w:color w:val="000000"/>
                <w:lang w:eastAsia="fr-CA"/>
              </w:rPr>
            </w:pPr>
            <w:r w:rsidRPr="00257237">
              <w:rPr>
                <w:rFonts w:cs="Calibri"/>
                <w:color w:val="000000"/>
                <w:lang w:eastAsia="fr-CA"/>
              </w:rPr>
              <w:t>X</w:t>
            </w:r>
          </w:p>
        </w:tc>
        <w:tc>
          <w:tcPr>
            <w:tcW w:w="477" w:type="pct"/>
            <w:shd w:val="clear" w:color="auto" w:fill="auto"/>
            <w:vAlign w:val="center"/>
            <w:hideMark/>
          </w:tcPr>
          <w:p w14:paraId="0096B4F1" w14:textId="41A27002" w:rsidR="00BF6A4D" w:rsidRPr="00257237" w:rsidRDefault="00096E12" w:rsidP="0048198B">
            <w:pPr>
              <w:jc w:val="center"/>
              <w:rPr>
                <w:rFonts w:cs="Calibri"/>
                <w:color w:val="000000"/>
                <w:lang w:eastAsia="fr-CA"/>
              </w:rPr>
            </w:pPr>
            <w:r w:rsidRPr="00257237">
              <w:rPr>
                <w:rFonts w:cs="Calibri"/>
                <w:color w:val="000000"/>
                <w:lang w:eastAsia="fr-CA"/>
              </w:rPr>
              <w:t>X</w:t>
            </w:r>
          </w:p>
        </w:tc>
      </w:tr>
      <w:tr w:rsidR="001F5DE7" w14:paraId="71FA120F" w14:textId="77777777" w:rsidTr="001F5DE7">
        <w:trPr>
          <w:trHeight w:val="255"/>
        </w:trPr>
        <w:tc>
          <w:tcPr>
            <w:tcW w:w="5000" w:type="pct"/>
            <w:gridSpan w:val="4"/>
          </w:tcPr>
          <w:p w14:paraId="413D9140" w14:textId="7D3D490A" w:rsidR="001F5DE7" w:rsidRPr="00856C38" w:rsidRDefault="001F5DE7" w:rsidP="007E2E7B">
            <w:pPr>
              <w:pStyle w:val="Titre2"/>
              <w:keepNext/>
              <w:tabs>
                <w:tab w:val="clear" w:pos="709"/>
                <w:tab w:val="num" w:pos="851"/>
              </w:tabs>
              <w:spacing w:before="360"/>
              <w:ind w:left="851" w:hanging="851"/>
              <w:rPr>
                <w:rFonts w:cs="Calibri"/>
                <w:szCs w:val="24"/>
              </w:rPr>
            </w:pPr>
            <w:bookmarkStart w:id="38" w:name="_Toc124329937"/>
            <w:r w:rsidRPr="00856C38">
              <w:rPr>
                <w:rFonts w:cs="Calibri"/>
                <w:szCs w:val="24"/>
              </w:rPr>
              <w:lastRenderedPageBreak/>
              <w:t>Pouvoir calorifique</w:t>
            </w:r>
            <w:bookmarkEnd w:id="38"/>
          </w:p>
        </w:tc>
      </w:tr>
      <w:tr w:rsidR="00BF6A4D" w14:paraId="79D82D7F" w14:textId="77777777" w:rsidTr="00F77C47">
        <w:trPr>
          <w:trHeight w:val="255"/>
        </w:trPr>
        <w:tc>
          <w:tcPr>
            <w:tcW w:w="3597" w:type="pct"/>
            <w:tcBorders>
              <w:bottom w:val="dotted" w:sz="4" w:space="0" w:color="auto"/>
            </w:tcBorders>
            <w:shd w:val="clear" w:color="auto" w:fill="auto"/>
            <w:vAlign w:val="center"/>
            <w:hideMark/>
          </w:tcPr>
          <w:p w14:paraId="2193CED3" w14:textId="77777777" w:rsidR="00BF6A4D" w:rsidRPr="00257237" w:rsidRDefault="00BF6A4D" w:rsidP="00352626">
            <w:pPr>
              <w:pStyle w:val="TitreS2"/>
              <w:numPr>
                <w:ilvl w:val="3"/>
                <w:numId w:val="8"/>
              </w:numPr>
              <w:spacing w:before="200" w:after="0"/>
              <w:ind w:left="567" w:hanging="567"/>
              <w:rPr>
                <w:rFonts w:eastAsia="Times New Roman" w:cs="Calibri"/>
                <w:b w:val="0"/>
                <w:sz w:val="24"/>
                <w:szCs w:val="24"/>
                <w:lang w:eastAsia="fr-CA"/>
              </w:rPr>
            </w:pPr>
            <w:r w:rsidRPr="00257237">
              <w:rPr>
                <w:rFonts w:eastAsia="Times New Roman" w:cs="Calibri"/>
                <w:b w:val="0"/>
                <w:sz w:val="24"/>
                <w:szCs w:val="24"/>
                <w:lang w:eastAsia="fr-CA"/>
              </w:rPr>
              <w:t>Le facteur applicable aux fins d’établir le pouvoir calorifique du gaz naturel pour l'année témoin projetée.</w:t>
            </w:r>
          </w:p>
        </w:tc>
        <w:tc>
          <w:tcPr>
            <w:tcW w:w="381" w:type="pct"/>
            <w:tcBorders>
              <w:bottom w:val="dotted" w:sz="4" w:space="0" w:color="auto"/>
            </w:tcBorders>
          </w:tcPr>
          <w:p w14:paraId="7072C513" w14:textId="77777777" w:rsidR="00BF6A4D" w:rsidRPr="00257237" w:rsidRDefault="00BF6A4D" w:rsidP="0048198B">
            <w:pPr>
              <w:jc w:val="center"/>
              <w:rPr>
                <w:rFonts w:cs="Calibri"/>
                <w:color w:val="000000"/>
                <w:lang w:eastAsia="fr-CA"/>
              </w:rPr>
            </w:pPr>
          </w:p>
        </w:tc>
        <w:tc>
          <w:tcPr>
            <w:tcW w:w="545" w:type="pct"/>
            <w:tcBorders>
              <w:bottom w:val="dotted" w:sz="4" w:space="0" w:color="auto"/>
            </w:tcBorders>
            <w:shd w:val="clear" w:color="auto" w:fill="auto"/>
            <w:vAlign w:val="center"/>
            <w:hideMark/>
          </w:tcPr>
          <w:p w14:paraId="3E51B673" w14:textId="4893217D" w:rsidR="00BF6A4D" w:rsidRPr="00257237" w:rsidRDefault="00096E12" w:rsidP="0048198B">
            <w:pPr>
              <w:jc w:val="center"/>
              <w:rPr>
                <w:rFonts w:cs="Calibri"/>
                <w:color w:val="000000"/>
                <w:lang w:eastAsia="fr-CA"/>
              </w:rPr>
            </w:pPr>
            <w:r w:rsidRPr="00257237">
              <w:rPr>
                <w:rFonts w:cs="Calibri"/>
                <w:color w:val="000000"/>
                <w:lang w:eastAsia="fr-CA"/>
              </w:rPr>
              <w:t>X</w:t>
            </w:r>
          </w:p>
        </w:tc>
        <w:tc>
          <w:tcPr>
            <w:tcW w:w="477" w:type="pct"/>
            <w:tcBorders>
              <w:bottom w:val="dotted" w:sz="4" w:space="0" w:color="auto"/>
            </w:tcBorders>
            <w:shd w:val="clear" w:color="auto" w:fill="auto"/>
            <w:vAlign w:val="center"/>
            <w:hideMark/>
          </w:tcPr>
          <w:p w14:paraId="5FD141DA" w14:textId="0DB2B1EE" w:rsidR="00BF6A4D" w:rsidRPr="00257237" w:rsidRDefault="00096E12" w:rsidP="0048198B">
            <w:pPr>
              <w:jc w:val="center"/>
              <w:rPr>
                <w:rFonts w:cs="Calibri"/>
                <w:color w:val="000000"/>
                <w:lang w:eastAsia="fr-CA"/>
              </w:rPr>
            </w:pPr>
            <w:r w:rsidRPr="4BF46A35">
              <w:rPr>
                <w:rFonts w:cs="Calibri"/>
                <w:color w:val="000000" w:themeColor="text1"/>
                <w:lang w:eastAsia="fr-CA"/>
              </w:rPr>
              <w:t>X</w:t>
            </w:r>
          </w:p>
        </w:tc>
      </w:tr>
      <w:tr w:rsidR="00BF6A4D" w14:paraId="0540CA1F" w14:textId="77777777" w:rsidTr="00F77C47">
        <w:trPr>
          <w:trHeight w:val="255"/>
        </w:trPr>
        <w:tc>
          <w:tcPr>
            <w:tcW w:w="3597" w:type="pct"/>
            <w:tcBorders>
              <w:top w:val="dotted" w:sz="4" w:space="0" w:color="auto"/>
              <w:right w:val="nil"/>
            </w:tcBorders>
            <w:shd w:val="clear" w:color="auto" w:fill="auto"/>
            <w:noWrap/>
          </w:tcPr>
          <w:p w14:paraId="75565127" w14:textId="0B0C4A68" w:rsidR="00BF6A4D" w:rsidRPr="00196267" w:rsidRDefault="00BF6A4D" w:rsidP="007E2E7B">
            <w:pPr>
              <w:pStyle w:val="Titre2"/>
              <w:keepNext/>
              <w:tabs>
                <w:tab w:val="clear" w:pos="709"/>
                <w:tab w:val="num" w:pos="851"/>
              </w:tabs>
              <w:spacing w:before="360"/>
              <w:ind w:left="851" w:hanging="851"/>
              <w:rPr>
                <w:rFonts w:cs="Calibri"/>
                <w:szCs w:val="24"/>
              </w:rPr>
            </w:pPr>
            <w:bookmarkStart w:id="39" w:name="_Toc124329938"/>
            <w:r w:rsidRPr="00856C38">
              <w:rPr>
                <w:rFonts w:cs="Calibri"/>
                <w:szCs w:val="24"/>
              </w:rPr>
              <w:t xml:space="preserve">Texte des </w:t>
            </w:r>
            <w:r>
              <w:rPr>
                <w:rFonts w:cs="Calibri"/>
                <w:szCs w:val="24"/>
              </w:rPr>
              <w:t>CST</w:t>
            </w:r>
            <w:bookmarkEnd w:id="39"/>
            <w:r w:rsidR="000D5100">
              <w:rPr>
                <w:rStyle w:val="Appelnotedebasdep"/>
                <w:rFonts w:cs="Calibri"/>
                <w:color w:val="000000"/>
                <w:lang w:eastAsia="fr-CA"/>
              </w:rPr>
              <w:footnoteReference w:id="34"/>
            </w:r>
          </w:p>
        </w:tc>
        <w:tc>
          <w:tcPr>
            <w:tcW w:w="381" w:type="pct"/>
            <w:tcBorders>
              <w:top w:val="dotted" w:sz="4" w:space="0" w:color="auto"/>
              <w:left w:val="nil"/>
              <w:right w:val="nil"/>
            </w:tcBorders>
          </w:tcPr>
          <w:p w14:paraId="46BF4BC9" w14:textId="77777777" w:rsidR="00BF6A4D" w:rsidRPr="00196267" w:rsidRDefault="00BF6A4D" w:rsidP="0048198B">
            <w:pPr>
              <w:jc w:val="center"/>
              <w:rPr>
                <w:rFonts w:cs="Calibri"/>
                <w:lang w:eastAsia="fr-CA"/>
              </w:rPr>
            </w:pPr>
          </w:p>
        </w:tc>
        <w:tc>
          <w:tcPr>
            <w:tcW w:w="545" w:type="pct"/>
            <w:tcBorders>
              <w:top w:val="dotted" w:sz="4" w:space="0" w:color="auto"/>
              <w:left w:val="nil"/>
              <w:right w:val="nil"/>
            </w:tcBorders>
            <w:shd w:val="clear" w:color="auto" w:fill="auto"/>
            <w:noWrap/>
            <w:vAlign w:val="center"/>
          </w:tcPr>
          <w:p w14:paraId="0406BCC0" w14:textId="77777777" w:rsidR="00BF6A4D" w:rsidRPr="00196267" w:rsidRDefault="00BF6A4D" w:rsidP="0048198B">
            <w:pPr>
              <w:jc w:val="center"/>
              <w:rPr>
                <w:rFonts w:cs="Calibri"/>
                <w:lang w:eastAsia="fr-CA"/>
              </w:rPr>
            </w:pPr>
          </w:p>
        </w:tc>
        <w:tc>
          <w:tcPr>
            <w:tcW w:w="477" w:type="pct"/>
            <w:tcBorders>
              <w:top w:val="dotted" w:sz="4" w:space="0" w:color="auto"/>
              <w:left w:val="nil"/>
            </w:tcBorders>
            <w:shd w:val="clear" w:color="auto" w:fill="auto"/>
            <w:noWrap/>
            <w:vAlign w:val="center"/>
          </w:tcPr>
          <w:p w14:paraId="1183B844" w14:textId="77777777" w:rsidR="00BF6A4D" w:rsidRPr="00196267" w:rsidRDefault="00BF6A4D" w:rsidP="0048198B">
            <w:pPr>
              <w:jc w:val="center"/>
              <w:rPr>
                <w:rFonts w:cs="Calibri"/>
                <w:lang w:eastAsia="fr-CA"/>
              </w:rPr>
            </w:pPr>
          </w:p>
        </w:tc>
      </w:tr>
      <w:tr w:rsidR="00BF6A4D" w14:paraId="740C9030" w14:textId="77777777" w:rsidTr="00F77C47">
        <w:trPr>
          <w:trHeight w:val="255"/>
        </w:trPr>
        <w:tc>
          <w:tcPr>
            <w:tcW w:w="3597" w:type="pct"/>
            <w:shd w:val="clear" w:color="auto" w:fill="auto"/>
            <w:noWrap/>
            <w:vAlign w:val="center"/>
          </w:tcPr>
          <w:p w14:paraId="2196AA55" w14:textId="37BEC574" w:rsidR="00BF6A4D" w:rsidRPr="00257237" w:rsidRDefault="00BF6A4D" w:rsidP="00F77C47">
            <w:pPr>
              <w:pStyle w:val="TitreS2"/>
              <w:numPr>
                <w:ilvl w:val="3"/>
                <w:numId w:val="8"/>
              </w:numPr>
              <w:spacing w:before="200" w:after="0"/>
              <w:ind w:left="567" w:hanging="567"/>
              <w:rPr>
                <w:rFonts w:cs="Calibri"/>
                <w:b w:val="0"/>
                <w:i/>
                <w:color w:val="000000"/>
                <w:sz w:val="24"/>
                <w:szCs w:val="24"/>
              </w:rPr>
            </w:pPr>
            <w:r w:rsidRPr="00257237">
              <w:rPr>
                <w:rFonts w:eastAsia="Times New Roman" w:cs="Calibri"/>
                <w:b w:val="0"/>
                <w:sz w:val="24"/>
                <w:szCs w:val="24"/>
                <w:lang w:eastAsia="fr-CA"/>
              </w:rPr>
              <w:t>L</w:t>
            </w:r>
            <w:r>
              <w:rPr>
                <w:rFonts w:eastAsia="Times New Roman" w:cs="Calibri"/>
                <w:b w:val="0"/>
                <w:sz w:val="24"/>
                <w:szCs w:val="24"/>
                <w:lang w:eastAsia="fr-CA"/>
              </w:rPr>
              <w:t>orsqu</w:t>
            </w:r>
            <w:r w:rsidRPr="00257237">
              <w:rPr>
                <w:rFonts w:eastAsia="Times New Roman" w:cs="Calibri"/>
                <w:b w:val="0"/>
                <w:color w:val="000000"/>
                <w:sz w:val="24"/>
                <w:szCs w:val="24"/>
                <w:lang w:eastAsia="fr-CA"/>
              </w:rPr>
              <w:t>e</w:t>
            </w:r>
            <w:r>
              <w:rPr>
                <w:rFonts w:eastAsia="Times New Roman" w:cs="Calibri"/>
                <w:b w:val="0"/>
                <w:color w:val="000000"/>
                <w:sz w:val="24"/>
                <w:szCs w:val="24"/>
                <w:lang w:eastAsia="fr-CA"/>
              </w:rPr>
              <w:t xml:space="preserve"> des modifications sont proposées, fournir les explications en appui, ainsi que le</w:t>
            </w:r>
            <w:r w:rsidRPr="00257237">
              <w:rPr>
                <w:rFonts w:eastAsia="Times New Roman" w:cs="Calibri"/>
                <w:b w:val="0"/>
                <w:color w:val="000000"/>
                <w:sz w:val="24"/>
                <w:szCs w:val="24"/>
                <w:lang w:eastAsia="fr-CA"/>
              </w:rPr>
              <w:t xml:space="preserve"> </w:t>
            </w:r>
            <w:r w:rsidRPr="00D5285C">
              <w:rPr>
                <w:rFonts w:eastAsia="Times New Roman" w:cs="Calibri"/>
                <w:b w:val="0"/>
                <w:color w:val="000000"/>
                <w:sz w:val="24"/>
                <w:szCs w:val="24"/>
                <w:lang w:eastAsia="fr-CA"/>
              </w:rPr>
              <w:t>texte complet des CST</w:t>
            </w:r>
            <w:r>
              <w:rPr>
                <w:rFonts w:eastAsia="Times New Roman" w:cs="Calibri"/>
                <w:b w:val="0"/>
                <w:color w:val="000000"/>
                <w:sz w:val="24"/>
                <w:szCs w:val="24"/>
                <w:lang w:eastAsia="fr-CA"/>
              </w:rPr>
              <w:t xml:space="preserve"> </w:t>
            </w:r>
            <w:r w:rsidR="00096E12">
              <w:rPr>
                <w:rFonts w:eastAsia="Times New Roman" w:cs="Calibri"/>
                <w:b w:val="0"/>
                <w:color w:val="000000"/>
                <w:sz w:val="24"/>
                <w:szCs w:val="24"/>
                <w:lang w:eastAsia="fr-CA"/>
              </w:rPr>
              <w:t>en suivi de</w:t>
            </w:r>
            <w:r>
              <w:rPr>
                <w:rFonts w:eastAsia="Times New Roman" w:cs="Calibri"/>
                <w:b w:val="0"/>
                <w:color w:val="000000"/>
                <w:sz w:val="24"/>
                <w:szCs w:val="24"/>
                <w:lang w:eastAsia="fr-CA"/>
              </w:rPr>
              <w:t xml:space="preserve"> modifications</w:t>
            </w:r>
            <w:r w:rsidRPr="00257237">
              <w:rPr>
                <w:rFonts w:eastAsia="Times New Roman" w:cs="Calibri"/>
                <w:b w:val="0"/>
                <w:color w:val="000000"/>
                <w:sz w:val="24"/>
                <w:szCs w:val="24"/>
                <w:lang w:eastAsia="fr-CA"/>
              </w:rPr>
              <w:t xml:space="preserve"> proposé</w:t>
            </w:r>
            <w:r>
              <w:rPr>
                <w:rFonts w:eastAsia="Times New Roman" w:cs="Calibri"/>
                <w:b w:val="0"/>
                <w:color w:val="000000"/>
                <w:sz w:val="24"/>
                <w:szCs w:val="24"/>
                <w:lang w:eastAsia="fr-CA"/>
              </w:rPr>
              <w:t>e</w:t>
            </w:r>
            <w:r w:rsidRPr="00257237">
              <w:rPr>
                <w:rFonts w:eastAsia="Times New Roman" w:cs="Calibri"/>
                <w:b w:val="0"/>
                <w:color w:val="000000"/>
                <w:sz w:val="24"/>
                <w:szCs w:val="24"/>
                <w:lang w:eastAsia="fr-CA"/>
              </w:rPr>
              <w:t>s pour l’année témoin projetée</w:t>
            </w:r>
            <w:r w:rsidR="00DE1A21">
              <w:rPr>
                <w:rFonts w:eastAsia="Times New Roman" w:cs="Calibri"/>
                <w:b w:val="0"/>
                <w:color w:val="000000"/>
                <w:sz w:val="24"/>
                <w:szCs w:val="24"/>
                <w:lang w:eastAsia="fr-CA"/>
              </w:rPr>
              <w:t xml:space="preserve"> selon les modalités définies à la section 2.3</w:t>
            </w:r>
            <w:r w:rsidRPr="00257237">
              <w:rPr>
                <w:rFonts w:eastAsia="Times New Roman" w:cs="Calibri"/>
                <w:b w:val="0"/>
                <w:color w:val="000000"/>
                <w:sz w:val="24"/>
                <w:szCs w:val="24"/>
                <w:lang w:eastAsia="fr-CA"/>
              </w:rPr>
              <w:t xml:space="preserve">. </w:t>
            </w:r>
          </w:p>
        </w:tc>
        <w:tc>
          <w:tcPr>
            <w:tcW w:w="381" w:type="pct"/>
          </w:tcPr>
          <w:p w14:paraId="15A68A8C" w14:textId="77777777" w:rsidR="00BF6A4D" w:rsidRPr="00257237" w:rsidRDefault="00BF6A4D" w:rsidP="0048198B">
            <w:pPr>
              <w:jc w:val="center"/>
              <w:rPr>
                <w:rFonts w:cs="Calibri"/>
                <w:color w:val="000000"/>
                <w:lang w:eastAsia="fr-CA"/>
              </w:rPr>
            </w:pPr>
          </w:p>
        </w:tc>
        <w:tc>
          <w:tcPr>
            <w:tcW w:w="545" w:type="pct"/>
            <w:shd w:val="clear" w:color="auto" w:fill="auto"/>
            <w:noWrap/>
            <w:vAlign w:val="center"/>
          </w:tcPr>
          <w:p w14:paraId="2AD11E37" w14:textId="22615526" w:rsidR="00BF6A4D" w:rsidRPr="00257237" w:rsidRDefault="00096E12" w:rsidP="0048198B">
            <w:pPr>
              <w:jc w:val="center"/>
              <w:rPr>
                <w:rFonts w:cs="Calibri"/>
                <w:color w:val="000000"/>
                <w:lang w:eastAsia="fr-CA"/>
              </w:rPr>
            </w:pPr>
            <w:r w:rsidRPr="00257237">
              <w:rPr>
                <w:rFonts w:cs="Calibri"/>
                <w:color w:val="000000"/>
                <w:lang w:eastAsia="fr-CA"/>
              </w:rPr>
              <w:t>X</w:t>
            </w:r>
          </w:p>
        </w:tc>
        <w:tc>
          <w:tcPr>
            <w:tcW w:w="477" w:type="pct"/>
            <w:shd w:val="clear" w:color="auto" w:fill="auto"/>
            <w:noWrap/>
            <w:vAlign w:val="center"/>
          </w:tcPr>
          <w:p w14:paraId="3380ECE3" w14:textId="5BD9CFD1" w:rsidR="00BF6A4D" w:rsidRPr="00257237" w:rsidRDefault="00096E12" w:rsidP="0048198B">
            <w:pPr>
              <w:jc w:val="center"/>
              <w:rPr>
                <w:rFonts w:cs="Calibri"/>
                <w:color w:val="000000"/>
                <w:lang w:eastAsia="fr-CA"/>
              </w:rPr>
            </w:pPr>
            <w:r w:rsidRPr="00257237">
              <w:rPr>
                <w:rFonts w:cs="Calibri"/>
                <w:color w:val="000000"/>
                <w:lang w:eastAsia="fr-CA"/>
              </w:rPr>
              <w:t>X</w:t>
            </w:r>
          </w:p>
        </w:tc>
      </w:tr>
    </w:tbl>
    <w:p w14:paraId="21046578" w14:textId="4A1ADF1F" w:rsidR="00196267" w:rsidRDefault="00196267" w:rsidP="00352626">
      <w:pPr>
        <w:spacing w:line="240" w:lineRule="auto"/>
        <w:rPr>
          <w:rFonts w:cs="Calibri"/>
          <w:color w:val="000000"/>
        </w:rPr>
      </w:pPr>
    </w:p>
    <w:p w14:paraId="03EE77D7" w14:textId="77777777" w:rsidR="00435854" w:rsidRDefault="00435854" w:rsidP="00352626">
      <w:pPr>
        <w:spacing w:line="240" w:lineRule="auto"/>
        <w:rPr>
          <w:rFonts w:cs="Calibri"/>
          <w:color w:val="000000"/>
        </w:rPr>
      </w:pPr>
    </w:p>
    <w:p w14:paraId="23465FDF" w14:textId="77777777" w:rsidR="009C44D3" w:rsidRDefault="009C44D3" w:rsidP="00352626">
      <w:pPr>
        <w:pStyle w:val="Titre1"/>
        <w:rPr>
          <w:rFonts w:cs="Calibri"/>
        </w:rPr>
        <w:sectPr w:rsidR="009C44D3" w:rsidSect="009C44D3">
          <w:pgSz w:w="15840" w:h="12240" w:orient="landscape" w:code="119"/>
          <w:pgMar w:top="1417" w:right="1417" w:bottom="1417" w:left="1417" w:header="708" w:footer="708" w:gutter="0"/>
          <w:cols w:space="708"/>
          <w:titlePg/>
          <w:docGrid w:linePitch="360"/>
        </w:sectPr>
      </w:pPr>
    </w:p>
    <w:p w14:paraId="40B572F4" w14:textId="41959A1F" w:rsidR="00EA219D" w:rsidRPr="009C797D" w:rsidRDefault="00AA550E" w:rsidP="00352626">
      <w:pPr>
        <w:pStyle w:val="Titre1"/>
        <w:rPr>
          <w:rFonts w:cs="Calibri"/>
        </w:rPr>
      </w:pPr>
      <w:bookmarkStart w:id="40" w:name="_Toc124329939"/>
      <w:r>
        <w:rPr>
          <w:rFonts w:cs="Calibri"/>
        </w:rPr>
        <w:lastRenderedPageBreak/>
        <w:t xml:space="preserve">Informations spécifiques en lien avec </w:t>
      </w:r>
      <w:r w:rsidR="005576CD">
        <w:rPr>
          <w:rFonts w:cs="Calibri"/>
        </w:rPr>
        <w:t xml:space="preserve">les </w:t>
      </w:r>
      <w:r w:rsidR="005576CD" w:rsidRPr="009C797D">
        <w:rPr>
          <w:rFonts w:cs="Calibri"/>
        </w:rPr>
        <w:t>programmes</w:t>
      </w:r>
      <w:r w:rsidR="000003D9" w:rsidRPr="009C797D">
        <w:rPr>
          <w:rFonts w:cs="Calibri"/>
        </w:rPr>
        <w:t xml:space="preserve"> et mesures en efficacité énergétique </w:t>
      </w:r>
      <w:r>
        <w:rPr>
          <w:rFonts w:cs="Calibri"/>
        </w:rPr>
        <w:t>et leur budget annuel</w:t>
      </w:r>
      <w:bookmarkEnd w:id="40"/>
    </w:p>
    <w:p w14:paraId="0C07C3A0" w14:textId="77777777" w:rsidR="006C55F3" w:rsidRDefault="006C55F3" w:rsidP="00352626">
      <w:pPr>
        <w:rPr>
          <w:rFonts w:cs="Calibri"/>
          <w:b/>
          <w:lang w:val="fr-FR"/>
        </w:rPr>
      </w:pPr>
    </w:p>
    <w:p w14:paraId="20E88175" w14:textId="20632DD1" w:rsidR="001E2D82" w:rsidRDefault="00AA550E" w:rsidP="00352626">
      <w:pPr>
        <w:shd w:val="clear" w:color="auto" w:fill="BDD6EE" w:themeFill="accent1" w:themeFillTint="66"/>
        <w:rPr>
          <w:rStyle w:val="label-section1"/>
          <w:rFonts w:ascii="Calibri" w:hAnsi="Calibri" w:cs="Calibri"/>
          <w:color w:val="0070C0"/>
          <w:sz w:val="26"/>
          <w:szCs w:val="26"/>
          <w:lang w:val="fr-FR"/>
        </w:rPr>
      </w:pPr>
      <w:r w:rsidRPr="009C797D">
        <w:rPr>
          <w:rFonts w:cs="Calibri"/>
          <w:b/>
          <w:color w:val="0070C0"/>
          <w:lang w:val="fr-FR"/>
        </w:rPr>
        <w:t>Article</w:t>
      </w:r>
      <w:r w:rsidR="009B5080">
        <w:rPr>
          <w:rFonts w:cs="Calibri"/>
          <w:b/>
          <w:color w:val="0070C0"/>
          <w:lang w:val="fr-FR"/>
        </w:rPr>
        <w:t>s</w:t>
      </w:r>
      <w:r w:rsidRPr="009C797D">
        <w:rPr>
          <w:rFonts w:cs="Calibri"/>
          <w:b/>
          <w:color w:val="0070C0"/>
          <w:lang w:val="fr-FR"/>
        </w:rPr>
        <w:t xml:space="preserve"> </w:t>
      </w:r>
      <w:hyperlink r:id="rId35" w:history="1">
        <w:r w:rsidRPr="009C797D">
          <w:rPr>
            <w:rStyle w:val="label-section1"/>
            <w:rFonts w:ascii="Calibri" w:hAnsi="Calibri" w:cs="Calibri"/>
            <w:color w:val="0070C0"/>
            <w:sz w:val="26"/>
            <w:szCs w:val="26"/>
            <w:lang w:val="fr-FR"/>
          </w:rPr>
          <w:t>49</w:t>
        </w:r>
      </w:hyperlink>
      <w:r w:rsidR="009B5080">
        <w:rPr>
          <w:rStyle w:val="label-section1"/>
          <w:rFonts w:ascii="Calibri" w:hAnsi="Calibri" w:cs="Calibri"/>
          <w:color w:val="0070C0"/>
          <w:sz w:val="26"/>
          <w:szCs w:val="26"/>
          <w:lang w:val="fr-FR"/>
        </w:rPr>
        <w:t>, 85.41 et 13</w:t>
      </w:r>
    </w:p>
    <w:p w14:paraId="12BB1F0D" w14:textId="77777777" w:rsidR="00D05E4B" w:rsidRPr="009C797D" w:rsidRDefault="00D05E4B" w:rsidP="00352626">
      <w:pPr>
        <w:rPr>
          <w:rFonts w:cs="Calibri"/>
          <w:color w:val="0070C0"/>
          <w:lang w:val="fr-FR"/>
        </w:rPr>
      </w:pPr>
    </w:p>
    <w:p w14:paraId="2FA2FC62" w14:textId="77777777" w:rsidR="00EA219D" w:rsidRPr="009C797D" w:rsidRDefault="00AA550E" w:rsidP="00352626">
      <w:pPr>
        <w:pStyle w:val="Titre2"/>
        <w:keepNext/>
        <w:tabs>
          <w:tab w:val="clear" w:pos="709"/>
          <w:tab w:val="num" w:pos="851"/>
        </w:tabs>
        <w:ind w:left="851" w:hanging="851"/>
        <w:rPr>
          <w:rFonts w:cs="Calibri"/>
        </w:rPr>
      </w:pPr>
      <w:bookmarkStart w:id="41" w:name="_Toc124329940"/>
      <w:r w:rsidRPr="00856C38">
        <w:rPr>
          <w:rFonts w:cs="Calibri"/>
          <w:szCs w:val="24"/>
        </w:rPr>
        <w:t>Contexte : mise en œuvre des Plans directeurs en transition, innovation et ef</w:t>
      </w:r>
      <w:r w:rsidR="00D05E4B" w:rsidRPr="00856C38">
        <w:rPr>
          <w:rFonts w:cs="Calibri"/>
          <w:szCs w:val="24"/>
        </w:rPr>
        <w:t>ficacité</w:t>
      </w:r>
      <w:r w:rsidR="00D05E4B">
        <w:rPr>
          <w:rFonts w:cs="Calibri"/>
        </w:rPr>
        <w:t xml:space="preserve"> énergétiques du Québec</w:t>
      </w:r>
      <w:bookmarkEnd w:id="41"/>
    </w:p>
    <w:p w14:paraId="1AB8FA18" w14:textId="77777777" w:rsidR="00EA219D" w:rsidRPr="00D05E4B" w:rsidRDefault="00EA219D" w:rsidP="00352626">
      <w:pPr>
        <w:pStyle w:val="Default"/>
        <w:spacing w:before="60" w:after="60" w:line="264" w:lineRule="auto"/>
        <w:jc w:val="both"/>
        <w:rPr>
          <w:rFonts w:ascii="Calibri" w:hAnsi="Calibri" w:cs="Calibri"/>
          <w:bCs/>
          <w:color w:val="auto"/>
        </w:rPr>
      </w:pPr>
    </w:p>
    <w:p w14:paraId="455F30ED" w14:textId="3A3847ED" w:rsidR="00196267" w:rsidRPr="00547E68" w:rsidRDefault="00AA550E" w:rsidP="00352626">
      <w:pPr>
        <w:pStyle w:val="Default"/>
        <w:spacing w:before="60" w:after="60" w:line="264" w:lineRule="auto"/>
        <w:jc w:val="both"/>
        <w:rPr>
          <w:rFonts w:asciiTheme="minorHAnsi" w:hAnsiTheme="minorHAnsi" w:cstheme="minorHAnsi"/>
          <w:bCs/>
          <w:color w:val="auto"/>
        </w:rPr>
      </w:pPr>
      <w:r w:rsidRPr="00D05E4B">
        <w:rPr>
          <w:rFonts w:ascii="Calibri" w:hAnsi="Calibri" w:cs="Calibri"/>
          <w:bCs/>
          <w:color w:val="auto"/>
        </w:rPr>
        <w:t>Conformément aux articles 85.41 et 13 de la</w:t>
      </w:r>
      <w:r w:rsidR="00257F1C" w:rsidRPr="00D05E4B">
        <w:rPr>
          <w:rFonts w:ascii="Calibri" w:hAnsi="Calibri" w:cs="Calibri"/>
          <w:bCs/>
          <w:color w:val="auto"/>
        </w:rPr>
        <w:t xml:space="preserve"> Loi</w:t>
      </w:r>
      <w:r w:rsidR="00257F1C" w:rsidRPr="00D05E4B">
        <w:rPr>
          <w:rFonts w:ascii="Calibri" w:hAnsi="Calibri" w:cs="Calibri"/>
          <w:color w:val="auto"/>
          <w:lang w:eastAsia="fr-CA"/>
        </w:rPr>
        <w:t xml:space="preserve"> </w:t>
      </w:r>
      <w:r w:rsidRPr="00196267">
        <w:rPr>
          <w:rFonts w:asciiTheme="minorHAnsi" w:hAnsiTheme="minorHAnsi" w:cstheme="minorHAnsi"/>
          <w:bCs/>
          <w:color w:val="auto"/>
        </w:rPr>
        <w:t xml:space="preserve">et </w:t>
      </w:r>
      <w:r w:rsidR="00547E68">
        <w:rPr>
          <w:rFonts w:asciiTheme="minorHAnsi" w:hAnsiTheme="minorHAnsi" w:cstheme="minorHAnsi"/>
          <w:bCs/>
          <w:color w:val="auto"/>
        </w:rPr>
        <w:t>à</w:t>
      </w:r>
      <w:r w:rsidRPr="00196267">
        <w:rPr>
          <w:rFonts w:asciiTheme="minorHAnsi" w:hAnsiTheme="minorHAnsi" w:cstheme="minorHAnsi"/>
          <w:bCs/>
          <w:color w:val="auto"/>
        </w:rPr>
        <w:t xml:space="preserve"> </w:t>
      </w:r>
      <w:r w:rsidRPr="00196267">
        <w:rPr>
          <w:rFonts w:asciiTheme="minorHAnsi" w:hAnsiTheme="minorHAnsi" w:cstheme="minorHAnsi"/>
          <w:lang w:val="fr-FR"/>
        </w:rPr>
        <w:t xml:space="preserve">la section II.0.1 de la </w:t>
      </w:r>
      <w:hyperlink r:id="rId36" w:history="1">
        <w:r w:rsidRPr="00196267">
          <w:rPr>
            <w:rStyle w:val="Lienhypertexte"/>
            <w:rFonts w:asciiTheme="minorHAnsi" w:hAnsiTheme="minorHAnsi" w:cstheme="minorHAnsi"/>
            <w:i/>
          </w:rPr>
          <w:t>Loi sur le ministère des Ressources naturelles et de la Faune</w:t>
        </w:r>
      </w:hyperlink>
      <w:r w:rsidR="00547E68">
        <w:rPr>
          <w:rFonts w:asciiTheme="minorHAnsi" w:hAnsiTheme="minorHAnsi" w:cstheme="minorHAnsi"/>
        </w:rPr>
        <w:t>, tel</w:t>
      </w:r>
      <w:r w:rsidRPr="00196267">
        <w:rPr>
          <w:rFonts w:asciiTheme="minorHAnsi" w:hAnsiTheme="minorHAnsi" w:cstheme="minorHAnsi"/>
        </w:rPr>
        <w:t>s que modifiés par la</w:t>
      </w:r>
      <w:r>
        <w:rPr>
          <w:rFonts w:asciiTheme="minorHAnsi" w:hAnsiTheme="minorHAnsi" w:cstheme="minorHAnsi"/>
        </w:rPr>
        <w:t xml:space="preserve"> </w:t>
      </w:r>
      <w:hyperlink r:id="rId37" w:history="1">
        <w:r w:rsidRPr="00196267">
          <w:rPr>
            <w:rStyle w:val="Lienhypertexte"/>
            <w:rFonts w:asciiTheme="minorHAnsi" w:hAnsiTheme="minorHAnsi" w:cstheme="minorHAnsi"/>
            <w:i/>
            <w:lang w:val="fr-FR"/>
          </w:rPr>
          <w:t>Loi visant principalement la gouvernance efficace de la lutte contre les changements climatiques et à favoriser l’électrification</w:t>
        </w:r>
      </w:hyperlink>
      <w:r w:rsidR="00547E68" w:rsidRPr="00547E68">
        <w:rPr>
          <w:rFonts w:ascii="Calibri" w:hAnsi="Calibri" w:cs="Calibri"/>
          <w:iCs/>
          <w:color w:val="auto"/>
          <w:lang w:eastAsia="fr-CA"/>
        </w:rPr>
        <w:t xml:space="preserve"> </w:t>
      </w:r>
      <w:r w:rsidR="006C326A">
        <w:rPr>
          <w:rFonts w:ascii="Calibri" w:hAnsi="Calibri" w:cs="Calibri"/>
          <w:iCs/>
          <w:color w:val="auto"/>
          <w:lang w:eastAsia="fr-CA"/>
        </w:rPr>
        <w:t xml:space="preserve">(Loi 19) </w:t>
      </w:r>
      <w:r w:rsidR="00547E68" w:rsidRPr="00D05E4B">
        <w:rPr>
          <w:rFonts w:ascii="Calibri" w:hAnsi="Calibri" w:cs="Calibri"/>
          <w:iCs/>
          <w:color w:val="auto"/>
          <w:lang w:eastAsia="fr-CA"/>
        </w:rPr>
        <w:t xml:space="preserve">la </w:t>
      </w:r>
      <w:r w:rsidR="00547E68" w:rsidRPr="00547E68">
        <w:rPr>
          <w:rFonts w:asciiTheme="minorHAnsi" w:hAnsiTheme="minorHAnsi" w:cstheme="minorHAnsi"/>
          <w:iCs/>
          <w:color w:val="auto"/>
          <w:lang w:eastAsia="fr-CA"/>
        </w:rPr>
        <w:t>Régie approuve les programmes et mesures</w:t>
      </w:r>
      <w:r w:rsidR="00547E68" w:rsidRPr="00547E68">
        <w:rPr>
          <w:rFonts w:asciiTheme="minorHAnsi" w:hAnsiTheme="minorHAnsi" w:cstheme="minorHAnsi"/>
          <w:bCs/>
          <w:color w:val="auto"/>
        </w:rPr>
        <w:t xml:space="preserve"> </w:t>
      </w:r>
      <w:r w:rsidR="00547E68" w:rsidRPr="00FF2349">
        <w:rPr>
          <w:rFonts w:asciiTheme="minorHAnsi" w:hAnsiTheme="minorHAnsi" w:cstheme="minorHAnsi"/>
          <w:bCs/>
          <w:color w:val="auto"/>
        </w:rPr>
        <w:t>du</w:t>
      </w:r>
      <w:r w:rsidR="004E6445">
        <w:rPr>
          <w:rFonts w:asciiTheme="minorHAnsi" w:hAnsiTheme="minorHAnsi" w:cstheme="minorHAnsi"/>
          <w:bCs/>
          <w:color w:val="auto"/>
        </w:rPr>
        <w:t xml:space="preserve"> </w:t>
      </w:r>
      <w:r w:rsidR="004E6445" w:rsidRPr="00880FBF">
        <w:rPr>
          <w:i/>
        </w:rPr>
        <w:t>Plan directeur</w:t>
      </w:r>
      <w:r w:rsidR="004E6445">
        <w:t xml:space="preserve"> </w:t>
      </w:r>
      <w:r w:rsidR="00547E68" w:rsidRPr="00FF2349">
        <w:rPr>
          <w:rFonts w:asciiTheme="minorHAnsi" w:hAnsiTheme="minorHAnsi" w:cstheme="minorHAnsi"/>
        </w:rPr>
        <w:t>qui</w:t>
      </w:r>
      <w:r w:rsidR="00547E68">
        <w:rPr>
          <w:rFonts w:asciiTheme="minorHAnsi" w:hAnsiTheme="minorHAnsi" w:cstheme="minorHAnsi"/>
        </w:rPr>
        <w:t xml:space="preserve"> sont </w:t>
      </w:r>
      <w:r w:rsidR="00547E68" w:rsidRPr="00D05E4B">
        <w:rPr>
          <w:rStyle w:val="texte-courant1"/>
          <w:rFonts w:ascii="Calibri" w:hAnsi="Calibri" w:cs="Calibri"/>
          <w:color w:val="auto"/>
          <w:lang w:val="fr-FR"/>
        </w:rPr>
        <w:t>sous la responsabilité des distributeurs d’énergie, ainsi que l’apport financier nécessaire, réparti par forme d’énergi</w:t>
      </w:r>
      <w:r w:rsidR="00547E68">
        <w:rPr>
          <w:rStyle w:val="texte-courant1"/>
          <w:rFonts w:ascii="Calibri" w:hAnsi="Calibri" w:cs="Calibri"/>
          <w:color w:val="auto"/>
          <w:lang w:val="fr-FR"/>
        </w:rPr>
        <w:t>e, à la réalisation de ceux-ci.</w:t>
      </w:r>
    </w:p>
    <w:p w14:paraId="6FE4D580" w14:textId="77777777" w:rsidR="006C326A" w:rsidRDefault="006C326A" w:rsidP="00352626">
      <w:pPr>
        <w:autoSpaceDE w:val="0"/>
        <w:autoSpaceDN w:val="0"/>
        <w:adjustRightInd w:val="0"/>
        <w:rPr>
          <w:rFonts w:cs="Calibri"/>
          <w:szCs w:val="24"/>
          <w:lang w:eastAsia="fr-CA"/>
        </w:rPr>
      </w:pPr>
    </w:p>
    <w:p w14:paraId="38DF94CC" w14:textId="77777777" w:rsidR="00EA219D" w:rsidRPr="00D05E4B" w:rsidRDefault="00AA550E" w:rsidP="00352626">
      <w:pPr>
        <w:autoSpaceDE w:val="0"/>
        <w:autoSpaceDN w:val="0"/>
        <w:adjustRightInd w:val="0"/>
        <w:rPr>
          <w:rFonts w:cs="Calibri"/>
          <w:szCs w:val="24"/>
          <w:lang w:eastAsia="fr-CA"/>
        </w:rPr>
      </w:pPr>
      <w:r w:rsidRPr="00D05E4B">
        <w:rPr>
          <w:rFonts w:cs="Calibri"/>
          <w:szCs w:val="24"/>
          <w:lang w:eastAsia="fr-CA"/>
        </w:rPr>
        <w:t xml:space="preserve">La décision D-2019-088 porte notamment sur l’approbation des programmes et mesures de Gazifère, </w:t>
      </w:r>
      <w:r w:rsidRPr="00D05E4B">
        <w:rPr>
          <w:rStyle w:val="texte-courant1"/>
          <w:rFonts w:cs="Calibri"/>
          <w:szCs w:val="24"/>
        </w:rPr>
        <w:t>ainsi que</w:t>
      </w:r>
      <w:r w:rsidR="006C326A">
        <w:rPr>
          <w:rStyle w:val="texte-courant1"/>
          <w:rFonts w:cs="Calibri"/>
          <w:szCs w:val="24"/>
        </w:rPr>
        <w:t xml:space="preserve"> sur </w:t>
      </w:r>
      <w:r w:rsidRPr="00D05E4B">
        <w:rPr>
          <w:rStyle w:val="texte-courant1"/>
          <w:rFonts w:cs="Calibri"/>
          <w:szCs w:val="24"/>
        </w:rPr>
        <w:t>l’apport financier nécessaire à la réalisation de ceux-ci, pour la période 2018-2023</w:t>
      </w:r>
      <w:r>
        <w:rPr>
          <w:rStyle w:val="Appelnotedebasdep"/>
          <w:rFonts w:cs="Calibri"/>
          <w:szCs w:val="24"/>
        </w:rPr>
        <w:footnoteReference w:id="35"/>
      </w:r>
      <w:r w:rsidRPr="00D05E4B">
        <w:rPr>
          <w:rFonts w:cs="Calibri"/>
          <w:szCs w:val="24"/>
          <w:lang w:eastAsia="fr-CA"/>
        </w:rPr>
        <w:t>.</w:t>
      </w:r>
    </w:p>
    <w:p w14:paraId="745C3557" w14:textId="77777777" w:rsidR="00D05E4B" w:rsidRPr="00D05E4B" w:rsidRDefault="00D05E4B" w:rsidP="00352626">
      <w:pPr>
        <w:autoSpaceDE w:val="0"/>
        <w:autoSpaceDN w:val="0"/>
        <w:adjustRightInd w:val="0"/>
        <w:rPr>
          <w:rFonts w:cs="Calibri"/>
          <w:szCs w:val="24"/>
          <w:lang w:eastAsia="fr-CA"/>
        </w:rPr>
      </w:pPr>
    </w:p>
    <w:p w14:paraId="107745A4" w14:textId="02D28821" w:rsidR="006C326A" w:rsidRPr="00DF240C" w:rsidRDefault="00AA550E" w:rsidP="00352626">
      <w:pPr>
        <w:autoSpaceDE w:val="0"/>
        <w:autoSpaceDN w:val="0"/>
        <w:adjustRightInd w:val="0"/>
        <w:rPr>
          <w:rFonts w:cstheme="minorHAnsi"/>
          <w:color w:val="000000"/>
        </w:rPr>
      </w:pPr>
      <w:r>
        <w:rPr>
          <w:rFonts w:cs="Calibri"/>
          <w:color w:val="000000"/>
          <w:szCs w:val="24"/>
          <w:lang w:eastAsia="fr-CA"/>
        </w:rPr>
        <w:t>La Loi 19,</w:t>
      </w:r>
      <w:r w:rsidRPr="009C797D">
        <w:rPr>
          <w:rFonts w:cs="Calibri"/>
        </w:rPr>
        <w:t xml:space="preserve"> qui </w:t>
      </w:r>
      <w:r>
        <w:rPr>
          <w:rFonts w:cs="Calibri"/>
        </w:rPr>
        <w:t>abroge la Loi sur Transition énergétique Québec (</w:t>
      </w:r>
      <w:r w:rsidRPr="009C797D">
        <w:rPr>
          <w:rFonts w:cs="Calibri"/>
          <w:iCs/>
          <w:color w:val="000000"/>
        </w:rPr>
        <w:t>TEQ</w:t>
      </w:r>
      <w:r>
        <w:rPr>
          <w:rFonts w:cs="Calibri"/>
          <w:iCs/>
          <w:color w:val="000000"/>
        </w:rPr>
        <w:t>)</w:t>
      </w:r>
      <w:r w:rsidRPr="009C797D">
        <w:rPr>
          <w:rFonts w:cs="Calibri"/>
          <w:iCs/>
          <w:color w:val="000000"/>
        </w:rPr>
        <w:t xml:space="preserve"> et confie</w:t>
      </w:r>
      <w:r>
        <w:rPr>
          <w:rFonts w:cs="Calibri"/>
          <w:iCs/>
          <w:color w:val="000000"/>
        </w:rPr>
        <w:t xml:space="preserve"> </w:t>
      </w:r>
      <w:r w:rsidRPr="00FF2349">
        <w:rPr>
          <w:rFonts w:cs="Calibri"/>
          <w:iCs/>
          <w:color w:val="000000"/>
        </w:rPr>
        <w:t xml:space="preserve">le </w:t>
      </w:r>
      <w:r w:rsidRPr="00880FBF">
        <w:rPr>
          <w:i/>
        </w:rPr>
        <w:t>Plan directeur</w:t>
      </w:r>
      <w:r w:rsidRPr="00FF2349">
        <w:rPr>
          <w:rFonts w:cs="Calibri"/>
          <w:iCs/>
          <w:color w:val="000000"/>
        </w:rPr>
        <w:t xml:space="preserve"> au ministre de l’Énergie et des Ressources naturelles prévoit que le </w:t>
      </w:r>
      <w:r w:rsidRPr="00880FBF">
        <w:rPr>
          <w:i/>
        </w:rPr>
        <w:t>Plan directeur</w:t>
      </w:r>
      <w:r w:rsidRPr="00FF2349">
        <w:rPr>
          <w:rFonts w:cs="Calibri"/>
          <w:iCs/>
          <w:color w:val="000000"/>
        </w:rPr>
        <w:t xml:space="preserve"> </w:t>
      </w:r>
      <w:r w:rsidRPr="00FF2349">
        <w:rPr>
          <w:rFonts w:cstheme="minorHAnsi"/>
          <w:color w:val="000000"/>
        </w:rPr>
        <w:t>élaboré</w:t>
      </w:r>
      <w:r w:rsidRPr="00DF240C">
        <w:rPr>
          <w:rFonts w:cstheme="minorHAnsi"/>
          <w:color w:val="000000"/>
        </w:rPr>
        <w:t xml:space="preserve"> par T</w:t>
      </w:r>
      <w:r>
        <w:rPr>
          <w:rFonts w:cstheme="minorHAnsi"/>
          <w:color w:val="000000"/>
        </w:rPr>
        <w:t>EQ</w:t>
      </w:r>
      <w:r w:rsidRPr="00DF240C">
        <w:rPr>
          <w:rFonts w:cstheme="minorHAnsi"/>
          <w:color w:val="000000"/>
        </w:rPr>
        <w:t xml:space="preserve"> est maintenu jusqu’au 31 mars 2026, en y apportant les adaptations nécessaires. Le ministre de l’Énergie et des Ressources naturelles élabore un nouveau </w:t>
      </w:r>
      <w:r w:rsidRPr="00880FBF">
        <w:rPr>
          <w:rFonts w:cstheme="minorHAnsi"/>
          <w:i/>
          <w:color w:val="000000"/>
        </w:rPr>
        <w:t>Plan directeur</w:t>
      </w:r>
      <w:r w:rsidRPr="00DF240C">
        <w:rPr>
          <w:rFonts w:cstheme="minorHAnsi"/>
          <w:color w:val="000000"/>
        </w:rPr>
        <w:t xml:space="preserve"> pour une période de cinq ans à partir du 1</w:t>
      </w:r>
      <w:r w:rsidRPr="00C235FF">
        <w:rPr>
          <w:rFonts w:cstheme="minorHAnsi"/>
          <w:color w:val="000000"/>
          <w:vertAlign w:val="superscript"/>
        </w:rPr>
        <w:t>er</w:t>
      </w:r>
      <w:r w:rsidRPr="00DF240C">
        <w:rPr>
          <w:rFonts w:cstheme="minorHAnsi"/>
          <w:color w:val="000000"/>
        </w:rPr>
        <w:t xml:space="preserve"> avril 2026</w:t>
      </w:r>
      <w:r>
        <w:rPr>
          <w:rFonts w:cstheme="minorHAnsi"/>
          <w:color w:val="000000"/>
        </w:rPr>
        <w:t xml:space="preserve"> (article 91).</w:t>
      </w:r>
    </w:p>
    <w:p w14:paraId="783551AF" w14:textId="46DF25C7" w:rsidR="00E44E9C" w:rsidRDefault="00E44E9C" w:rsidP="00352626">
      <w:pPr>
        <w:pStyle w:val="Titre5"/>
        <w:numPr>
          <w:ilvl w:val="0"/>
          <w:numId w:val="0"/>
        </w:numPr>
        <w:ind w:left="1009" w:hanging="1009"/>
        <w:rPr>
          <w:rFonts w:cs="Calibri"/>
          <w:b w:val="0"/>
          <w:iCs w:val="0"/>
          <w:smallCaps/>
          <w:color w:val="000000"/>
          <w:szCs w:val="28"/>
        </w:rPr>
      </w:pPr>
    </w:p>
    <w:p w14:paraId="79B9205A" w14:textId="77777777" w:rsidR="005003C2" w:rsidRPr="005003C2" w:rsidRDefault="005003C2" w:rsidP="005003C2"/>
    <w:p w14:paraId="308B9F6F" w14:textId="77777777" w:rsidR="001E2D82" w:rsidRPr="009C797D" w:rsidRDefault="00AA550E" w:rsidP="00352626">
      <w:pPr>
        <w:pStyle w:val="Titre2"/>
        <w:keepNext/>
        <w:tabs>
          <w:tab w:val="clear" w:pos="709"/>
          <w:tab w:val="num" w:pos="851"/>
        </w:tabs>
        <w:ind w:left="851" w:hanging="851"/>
        <w:rPr>
          <w:rFonts w:cs="Calibri"/>
        </w:rPr>
      </w:pPr>
      <w:bookmarkStart w:id="42" w:name="_Toc124329941"/>
      <w:r w:rsidRPr="009C797D">
        <w:rPr>
          <w:rFonts w:cs="Calibri"/>
        </w:rPr>
        <w:t>Exigences de dépôt</w:t>
      </w:r>
      <w:bookmarkEnd w:id="42"/>
    </w:p>
    <w:p w14:paraId="77703EB6" w14:textId="77777777" w:rsidR="001E2D82" w:rsidRPr="009C797D" w:rsidRDefault="001E2D82" w:rsidP="00352626">
      <w:pPr>
        <w:rPr>
          <w:rFonts w:cs="Calibri"/>
          <w:b/>
        </w:rPr>
      </w:pPr>
    </w:p>
    <w:p w14:paraId="5847AB81" w14:textId="493F3E1B" w:rsidR="001E2D82" w:rsidRPr="005576CD" w:rsidRDefault="00AA550E" w:rsidP="00352626">
      <w:pPr>
        <w:pStyle w:val="TitreS2"/>
        <w:numPr>
          <w:ilvl w:val="3"/>
          <w:numId w:val="8"/>
        </w:numPr>
        <w:spacing w:before="200" w:after="0"/>
        <w:ind w:left="567" w:hanging="567"/>
        <w:rPr>
          <w:rFonts w:cs="Calibri"/>
          <w:b w:val="0"/>
          <w:color w:val="000000"/>
          <w:sz w:val="24"/>
          <w:szCs w:val="24"/>
          <w:lang w:eastAsia="fr-CA"/>
        </w:rPr>
      </w:pPr>
      <w:r w:rsidRPr="005576CD">
        <w:rPr>
          <w:rFonts w:cs="Calibri"/>
          <w:b w:val="0"/>
          <w:color w:val="000000"/>
          <w:sz w:val="24"/>
          <w:szCs w:val="26"/>
          <w:lang w:eastAsia="fr-CA"/>
        </w:rPr>
        <w:t xml:space="preserve">Le cas </w:t>
      </w:r>
      <w:r w:rsidRPr="005576CD">
        <w:rPr>
          <w:rFonts w:cs="Calibri"/>
          <w:b w:val="0"/>
          <w:color w:val="000000"/>
          <w:sz w:val="24"/>
          <w:szCs w:val="24"/>
          <w:lang w:eastAsia="fr-CA"/>
        </w:rPr>
        <w:t xml:space="preserve">échéant, déposer toute demande d’approbation des budgets annuels </w:t>
      </w:r>
      <w:r w:rsidR="00DE1A21">
        <w:rPr>
          <w:rFonts w:cs="Calibri"/>
          <w:b w:val="0"/>
          <w:color w:val="000000"/>
          <w:sz w:val="24"/>
          <w:szCs w:val="24"/>
          <w:lang w:eastAsia="fr-CA"/>
        </w:rPr>
        <w:t>relatifs au</w:t>
      </w:r>
      <w:r w:rsidR="00DE1A21" w:rsidRPr="005576CD">
        <w:rPr>
          <w:rFonts w:cs="Calibri"/>
          <w:b w:val="0"/>
          <w:color w:val="000000"/>
          <w:sz w:val="24"/>
          <w:szCs w:val="24"/>
          <w:lang w:eastAsia="fr-CA"/>
        </w:rPr>
        <w:t xml:space="preserve"> PGEÉ</w:t>
      </w:r>
      <w:r w:rsidR="00DE1A21">
        <w:rPr>
          <w:rFonts w:cs="Calibri"/>
          <w:b w:val="0"/>
          <w:color w:val="000000"/>
          <w:sz w:val="24"/>
          <w:szCs w:val="24"/>
          <w:lang w:eastAsia="fr-CA"/>
        </w:rPr>
        <w:t>.</w:t>
      </w:r>
      <w:r w:rsidR="00DE1A21" w:rsidRPr="005576CD" w:rsidDel="00DE1A21">
        <w:rPr>
          <w:rFonts w:cs="Calibri"/>
          <w:b w:val="0"/>
          <w:color w:val="000000"/>
          <w:sz w:val="24"/>
          <w:szCs w:val="24"/>
          <w:lang w:eastAsia="fr-CA"/>
        </w:rPr>
        <w:t xml:space="preserve"> </w:t>
      </w:r>
    </w:p>
    <w:p w14:paraId="508B6634" w14:textId="77777777" w:rsidR="001E2D82" w:rsidRPr="005576CD" w:rsidRDefault="00AA550E" w:rsidP="00352626">
      <w:pPr>
        <w:pStyle w:val="TitreS2"/>
        <w:numPr>
          <w:ilvl w:val="3"/>
          <w:numId w:val="8"/>
        </w:numPr>
        <w:spacing w:before="200" w:after="0"/>
        <w:ind w:left="567" w:hanging="567"/>
        <w:rPr>
          <w:rFonts w:cs="Calibri"/>
          <w:b w:val="0"/>
          <w:color w:val="000000"/>
          <w:sz w:val="24"/>
          <w:szCs w:val="24"/>
          <w:lang w:eastAsia="fr-CA"/>
        </w:rPr>
      </w:pPr>
      <w:r w:rsidRPr="005576CD">
        <w:rPr>
          <w:rFonts w:cs="Calibri"/>
          <w:b w:val="0"/>
          <w:color w:val="000000"/>
          <w:sz w:val="24"/>
          <w:szCs w:val="24"/>
          <w:lang w:eastAsia="fr-CA"/>
        </w:rPr>
        <w:lastRenderedPageBreak/>
        <w:t>Documenter les tests économiques utilisés (formules détaillées de calcul, description des intrants, hypothèses retenues)</w:t>
      </w:r>
      <w:r>
        <w:rPr>
          <w:rStyle w:val="Appelnotedebasdep"/>
          <w:rFonts w:cs="Calibri"/>
          <w:b w:val="0"/>
          <w:sz w:val="24"/>
          <w:szCs w:val="24"/>
          <w:lang w:eastAsia="fr-CA"/>
        </w:rPr>
        <w:footnoteReference w:id="36"/>
      </w:r>
      <w:r w:rsidRPr="005576CD">
        <w:rPr>
          <w:rFonts w:cs="Calibri"/>
          <w:b w:val="0"/>
          <w:color w:val="000000"/>
          <w:sz w:val="24"/>
          <w:szCs w:val="24"/>
          <w:lang w:eastAsia="fr-CA"/>
        </w:rPr>
        <w:t>. Fournir les références pertinentes avec des liens hypertexte.</w:t>
      </w:r>
    </w:p>
    <w:p w14:paraId="0EDCB9C7" w14:textId="5D7D39E3" w:rsidR="001E2D82" w:rsidRPr="005576CD" w:rsidRDefault="00AA550E" w:rsidP="00352626">
      <w:pPr>
        <w:pStyle w:val="TitreS2"/>
        <w:numPr>
          <w:ilvl w:val="3"/>
          <w:numId w:val="8"/>
        </w:numPr>
        <w:spacing w:before="200" w:after="0"/>
        <w:ind w:left="567" w:hanging="567"/>
        <w:rPr>
          <w:rFonts w:cs="Calibri"/>
          <w:b w:val="0"/>
          <w:color w:val="000000"/>
          <w:sz w:val="24"/>
          <w:szCs w:val="24"/>
          <w:lang w:eastAsia="fr-CA"/>
        </w:rPr>
      </w:pPr>
      <w:r w:rsidRPr="005576CD">
        <w:rPr>
          <w:rFonts w:cs="Calibri"/>
          <w:b w:val="0"/>
          <w:color w:val="000000"/>
          <w:sz w:val="24"/>
          <w:szCs w:val="24"/>
          <w:lang w:eastAsia="fr-CA"/>
        </w:rPr>
        <w:t xml:space="preserve">Présenter et référencer </w:t>
      </w:r>
      <w:r w:rsidR="00AA0215" w:rsidRPr="005576CD">
        <w:rPr>
          <w:rFonts w:cs="Calibri"/>
          <w:b w:val="0"/>
          <w:color w:val="000000"/>
          <w:sz w:val="24"/>
          <w:szCs w:val="24"/>
          <w:lang w:eastAsia="fr-CA"/>
        </w:rPr>
        <w:t xml:space="preserve">adéquatement </w:t>
      </w:r>
      <w:r w:rsidRPr="005576CD">
        <w:rPr>
          <w:rFonts w:cs="Calibri"/>
          <w:b w:val="0"/>
          <w:color w:val="000000"/>
          <w:sz w:val="24"/>
          <w:szCs w:val="24"/>
          <w:lang w:eastAsia="fr-CA"/>
        </w:rPr>
        <w:t>les coûts évités de gaz (base et chauffage) ainsi que les coûts évités d’autres formes d’énergie autorisées par la Régie</w:t>
      </w:r>
      <w:r>
        <w:rPr>
          <w:rStyle w:val="Appelnotedebasdep"/>
          <w:rFonts w:cs="Calibri"/>
          <w:b w:val="0"/>
          <w:color w:val="000000"/>
          <w:sz w:val="24"/>
          <w:szCs w:val="24"/>
          <w:lang w:eastAsia="fr-CA"/>
        </w:rPr>
        <w:footnoteReference w:id="37"/>
      </w:r>
      <w:r w:rsidRPr="005576CD">
        <w:rPr>
          <w:rFonts w:cs="Calibri"/>
          <w:b w:val="0"/>
          <w:color w:val="000000"/>
          <w:sz w:val="24"/>
          <w:szCs w:val="24"/>
          <w:lang w:eastAsia="fr-CA"/>
        </w:rPr>
        <w:t xml:space="preserve"> (exemple : kWh d’électricité), les plus récents.</w:t>
      </w:r>
    </w:p>
    <w:p w14:paraId="44CFB573" w14:textId="77777777" w:rsidR="00021F53" w:rsidRPr="005576CD" w:rsidRDefault="00AA550E" w:rsidP="00352626">
      <w:pPr>
        <w:pStyle w:val="TitreS2"/>
        <w:numPr>
          <w:ilvl w:val="3"/>
          <w:numId w:val="8"/>
        </w:numPr>
        <w:spacing w:before="200" w:after="0"/>
        <w:ind w:left="567" w:hanging="567"/>
        <w:rPr>
          <w:rFonts w:cs="Calibri"/>
          <w:b w:val="0"/>
          <w:color w:val="000000"/>
          <w:sz w:val="24"/>
          <w:szCs w:val="24"/>
          <w:lang w:eastAsia="fr-CA"/>
        </w:rPr>
      </w:pPr>
      <w:r w:rsidRPr="005576CD">
        <w:rPr>
          <w:rFonts w:cs="Calibri"/>
          <w:b w:val="0"/>
          <w:color w:val="000000"/>
          <w:sz w:val="24"/>
          <w:szCs w:val="24"/>
          <w:lang w:eastAsia="fr-CA"/>
        </w:rPr>
        <w:t>Indiquer les taux d’actualisation retenus.</w:t>
      </w:r>
    </w:p>
    <w:p w14:paraId="56454450" w14:textId="1CA37AFB" w:rsidR="001E2D82" w:rsidRPr="005576CD" w:rsidRDefault="00AA550E" w:rsidP="00352626">
      <w:pPr>
        <w:pStyle w:val="TitreS2"/>
        <w:numPr>
          <w:ilvl w:val="3"/>
          <w:numId w:val="8"/>
        </w:numPr>
        <w:spacing w:before="200" w:after="0"/>
        <w:ind w:left="567" w:hanging="567"/>
        <w:rPr>
          <w:rFonts w:cs="Calibri"/>
          <w:b w:val="0"/>
          <w:color w:val="000000"/>
          <w:sz w:val="24"/>
          <w:szCs w:val="24"/>
          <w:lang w:eastAsia="fr-CA"/>
        </w:rPr>
      </w:pPr>
      <w:r w:rsidRPr="005576CD">
        <w:rPr>
          <w:rFonts w:cs="Calibri"/>
          <w:b w:val="0"/>
          <w:color w:val="000000"/>
          <w:sz w:val="24"/>
          <w:szCs w:val="24"/>
          <w:lang w:eastAsia="fr-CA"/>
        </w:rPr>
        <w:t xml:space="preserve">Le cas échéant, déposer toute évaluation (impact, processus, marché et transformation de marché) ou toute étude connexe (révision périodique des coûts évités de gaz), en fonction du calendrier </w:t>
      </w:r>
      <w:r w:rsidR="00DE1A21">
        <w:rPr>
          <w:rFonts w:cs="Calibri"/>
          <w:b w:val="0"/>
          <w:color w:val="000000"/>
          <w:sz w:val="24"/>
          <w:szCs w:val="24"/>
          <w:lang w:eastAsia="fr-CA"/>
        </w:rPr>
        <w:t xml:space="preserve">d’évaluation du PGEÉ </w:t>
      </w:r>
      <w:r w:rsidR="00DE1A21" w:rsidRPr="005576CD">
        <w:rPr>
          <w:rFonts w:cs="Calibri"/>
          <w:b w:val="0"/>
          <w:color w:val="000000"/>
          <w:sz w:val="24"/>
          <w:szCs w:val="24"/>
          <w:lang w:eastAsia="fr-CA"/>
        </w:rPr>
        <w:t>approuvé</w:t>
      </w:r>
      <w:r w:rsidR="00DE1A21">
        <w:rPr>
          <w:rFonts w:cs="Calibri"/>
          <w:b w:val="0"/>
          <w:color w:val="000000"/>
          <w:sz w:val="24"/>
          <w:szCs w:val="24"/>
          <w:lang w:eastAsia="fr-CA"/>
        </w:rPr>
        <w:t xml:space="preserve"> par la Régie dans le cadre du dossier tarifaire</w:t>
      </w:r>
      <w:r w:rsidRPr="005576CD">
        <w:rPr>
          <w:rFonts w:cs="Calibri"/>
          <w:b w:val="0"/>
          <w:color w:val="000000"/>
          <w:sz w:val="24"/>
          <w:szCs w:val="24"/>
          <w:lang w:eastAsia="fr-CA"/>
        </w:rPr>
        <w:t>.</w:t>
      </w:r>
    </w:p>
    <w:p w14:paraId="3A5A8B34" w14:textId="6A5E46CA" w:rsidR="001E2D82" w:rsidRPr="005576CD" w:rsidRDefault="00AA550E" w:rsidP="00352626">
      <w:pPr>
        <w:pStyle w:val="TitreS2"/>
        <w:numPr>
          <w:ilvl w:val="3"/>
          <w:numId w:val="8"/>
        </w:numPr>
        <w:spacing w:before="200" w:after="0"/>
        <w:ind w:left="567" w:hanging="567"/>
        <w:rPr>
          <w:rFonts w:cs="Calibri"/>
          <w:b w:val="0"/>
          <w:sz w:val="24"/>
          <w:szCs w:val="24"/>
          <w:lang w:eastAsia="fr-CA"/>
        </w:rPr>
      </w:pPr>
      <w:r w:rsidRPr="005576CD">
        <w:rPr>
          <w:rFonts w:cs="Calibri"/>
          <w:b w:val="0"/>
          <w:sz w:val="24"/>
          <w:szCs w:val="24"/>
          <w:lang w:eastAsia="fr-CA"/>
        </w:rPr>
        <w:t xml:space="preserve">Le cas </w:t>
      </w:r>
      <w:r w:rsidRPr="005576CD">
        <w:rPr>
          <w:rFonts w:cs="Calibri"/>
          <w:b w:val="0"/>
          <w:color w:val="000000"/>
          <w:sz w:val="24"/>
          <w:szCs w:val="24"/>
          <w:lang w:eastAsia="fr-CA"/>
        </w:rPr>
        <w:t>échéant</w:t>
      </w:r>
      <w:r w:rsidRPr="005576CD">
        <w:rPr>
          <w:rFonts w:cs="Calibri"/>
          <w:b w:val="0"/>
          <w:sz w:val="24"/>
          <w:szCs w:val="24"/>
          <w:lang w:eastAsia="fr-CA"/>
        </w:rPr>
        <w:t xml:space="preserve">, fournir tout suivi de décision pertinent à l’examen de modifications effectuées aux prévisions </w:t>
      </w:r>
      <w:r w:rsidR="00DE1A21">
        <w:rPr>
          <w:rFonts w:cs="Calibri"/>
          <w:b w:val="0"/>
          <w:sz w:val="24"/>
          <w:szCs w:val="24"/>
          <w:lang w:eastAsia="fr-CA"/>
        </w:rPr>
        <w:t>du PGEÉ</w:t>
      </w:r>
      <w:r w:rsidRPr="005576CD">
        <w:rPr>
          <w:rFonts w:cs="Calibri"/>
          <w:b w:val="0"/>
          <w:sz w:val="24"/>
          <w:szCs w:val="24"/>
          <w:lang w:eastAsia="fr-CA"/>
        </w:rPr>
        <w:t>.</w:t>
      </w:r>
    </w:p>
    <w:p w14:paraId="3E9B1113" w14:textId="46BFFF1C" w:rsidR="001E2D82" w:rsidRPr="005576CD" w:rsidRDefault="00DE1A21" w:rsidP="00352626">
      <w:pPr>
        <w:pStyle w:val="TitreS2"/>
        <w:numPr>
          <w:ilvl w:val="3"/>
          <w:numId w:val="8"/>
        </w:numPr>
        <w:spacing w:before="200" w:after="0"/>
        <w:ind w:left="567" w:hanging="567"/>
        <w:rPr>
          <w:rFonts w:cs="Calibri"/>
          <w:b w:val="0"/>
          <w:sz w:val="24"/>
          <w:szCs w:val="24"/>
          <w:lang w:eastAsia="fr-CA"/>
        </w:rPr>
      </w:pPr>
      <w:r>
        <w:rPr>
          <w:rFonts w:cs="Calibri"/>
          <w:b w:val="0"/>
          <w:sz w:val="24"/>
          <w:szCs w:val="24"/>
          <w:lang w:eastAsia="fr-CA"/>
        </w:rPr>
        <w:t>Dépos</w:t>
      </w:r>
      <w:r w:rsidRPr="005576CD">
        <w:rPr>
          <w:rFonts w:cs="Calibri"/>
          <w:b w:val="0"/>
          <w:sz w:val="24"/>
          <w:szCs w:val="24"/>
          <w:lang w:eastAsia="fr-CA"/>
        </w:rPr>
        <w:t xml:space="preserve">er </w:t>
      </w:r>
      <w:r>
        <w:rPr>
          <w:rFonts w:cs="Calibri"/>
          <w:b w:val="0"/>
          <w:sz w:val="24"/>
          <w:szCs w:val="24"/>
          <w:lang w:eastAsia="fr-CA"/>
        </w:rPr>
        <w:t xml:space="preserve">sous forme de tableau(x) les composantes du PGEÉ, </w:t>
      </w:r>
      <w:r w:rsidRPr="005576CD">
        <w:rPr>
          <w:rFonts w:cs="Calibri"/>
          <w:b w:val="0"/>
          <w:sz w:val="24"/>
          <w:szCs w:val="24"/>
          <w:lang w:eastAsia="fr-CA"/>
        </w:rPr>
        <w:t xml:space="preserve">ventilées par programme, </w:t>
      </w:r>
      <w:r>
        <w:rPr>
          <w:rFonts w:cs="Calibri"/>
          <w:b w:val="0"/>
          <w:sz w:val="24"/>
          <w:szCs w:val="24"/>
          <w:lang w:eastAsia="fr-CA"/>
        </w:rPr>
        <w:t>volets</w:t>
      </w:r>
      <w:r w:rsidRPr="005576CD">
        <w:rPr>
          <w:rFonts w:cs="Calibri"/>
          <w:b w:val="0"/>
          <w:sz w:val="24"/>
          <w:szCs w:val="24"/>
          <w:lang w:eastAsia="fr-CA"/>
        </w:rPr>
        <w:t xml:space="preserve"> et mesure</w:t>
      </w:r>
      <w:r>
        <w:rPr>
          <w:rFonts w:cs="Calibri"/>
          <w:b w:val="0"/>
          <w:sz w:val="24"/>
          <w:szCs w:val="24"/>
          <w:lang w:eastAsia="fr-CA"/>
        </w:rPr>
        <w:t>s</w:t>
      </w:r>
      <w:r w:rsidR="00AA550E" w:rsidRPr="005576CD">
        <w:rPr>
          <w:rFonts w:cs="Calibri"/>
          <w:b w:val="0"/>
          <w:sz w:val="24"/>
          <w:szCs w:val="24"/>
          <w:lang w:eastAsia="fr-CA"/>
        </w:rPr>
        <w:t>. Ci-dessous une liste non limitative de données :</w:t>
      </w:r>
    </w:p>
    <w:p w14:paraId="5DEACECE" w14:textId="77777777" w:rsidR="001E2D82" w:rsidRPr="005576CD" w:rsidRDefault="00AA550E" w:rsidP="00352626">
      <w:pPr>
        <w:numPr>
          <w:ilvl w:val="1"/>
          <w:numId w:val="9"/>
        </w:numPr>
        <w:ind w:left="851" w:right="6" w:hanging="283"/>
        <w:rPr>
          <w:rFonts w:cs="Calibri"/>
          <w:szCs w:val="24"/>
          <w:lang w:eastAsia="fr-CA"/>
        </w:rPr>
      </w:pPr>
      <w:r w:rsidRPr="005576CD">
        <w:rPr>
          <w:rFonts w:cs="Calibri"/>
          <w:szCs w:val="24"/>
          <w:lang w:eastAsia="fr-CA"/>
        </w:rPr>
        <w:t>Budget total annuel requis ($)</w:t>
      </w:r>
      <w:r w:rsidR="00021F53" w:rsidRPr="005576CD">
        <w:rPr>
          <w:rFonts w:cs="Calibri"/>
          <w:szCs w:val="24"/>
          <w:lang w:eastAsia="fr-CA"/>
        </w:rPr>
        <w:t>;</w:t>
      </w:r>
    </w:p>
    <w:p w14:paraId="140CAAED" w14:textId="77777777" w:rsidR="001E2D82" w:rsidRPr="005576CD" w:rsidRDefault="00AA550E" w:rsidP="00352626">
      <w:pPr>
        <w:numPr>
          <w:ilvl w:val="1"/>
          <w:numId w:val="9"/>
        </w:numPr>
        <w:ind w:left="851" w:right="6" w:hanging="283"/>
        <w:rPr>
          <w:rFonts w:cs="Calibri"/>
          <w:szCs w:val="24"/>
          <w:lang w:eastAsia="fr-CA"/>
        </w:rPr>
      </w:pPr>
      <w:r w:rsidRPr="005576CD">
        <w:rPr>
          <w:rFonts w:cs="Calibri"/>
          <w:szCs w:val="24"/>
          <w:lang w:eastAsia="fr-CA"/>
        </w:rPr>
        <w:t>Aides financières ($)</w:t>
      </w:r>
      <w:r w:rsidR="00021F53" w:rsidRPr="005576CD">
        <w:rPr>
          <w:rFonts w:cs="Calibri"/>
          <w:szCs w:val="24"/>
          <w:lang w:eastAsia="fr-CA"/>
        </w:rPr>
        <w:t>;</w:t>
      </w:r>
    </w:p>
    <w:p w14:paraId="450603C3" w14:textId="77777777" w:rsidR="001E2D82" w:rsidRPr="005576CD" w:rsidRDefault="00AA550E" w:rsidP="00352626">
      <w:pPr>
        <w:numPr>
          <w:ilvl w:val="1"/>
          <w:numId w:val="9"/>
        </w:numPr>
        <w:ind w:left="851" w:right="6" w:hanging="283"/>
        <w:rPr>
          <w:rFonts w:cs="Calibri"/>
          <w:szCs w:val="24"/>
          <w:lang w:eastAsia="fr-CA"/>
        </w:rPr>
      </w:pPr>
      <w:r w:rsidRPr="005576CD">
        <w:rPr>
          <w:rFonts w:cs="Calibri"/>
          <w:szCs w:val="24"/>
          <w:lang w:eastAsia="fr-CA"/>
        </w:rPr>
        <w:t>Économies nettes totales de gaz naturel (m</w:t>
      </w:r>
      <w:r w:rsidRPr="005576CD">
        <w:rPr>
          <w:rFonts w:cs="Calibri"/>
          <w:szCs w:val="24"/>
          <w:vertAlign w:val="superscript"/>
          <w:lang w:eastAsia="fr-CA"/>
        </w:rPr>
        <w:t>3</w:t>
      </w:r>
      <w:r w:rsidRPr="005576CD">
        <w:rPr>
          <w:rFonts w:cs="Calibri"/>
          <w:szCs w:val="24"/>
          <w:lang w:eastAsia="fr-CA"/>
        </w:rPr>
        <w:t>)</w:t>
      </w:r>
      <w:r w:rsidR="00021F53" w:rsidRPr="005576CD">
        <w:rPr>
          <w:rFonts w:cs="Calibri"/>
          <w:szCs w:val="24"/>
          <w:lang w:eastAsia="fr-CA"/>
        </w:rPr>
        <w:t>;</w:t>
      </w:r>
    </w:p>
    <w:p w14:paraId="19DC496D" w14:textId="675C7F19" w:rsidR="001E2D82" w:rsidRPr="005F787B" w:rsidRDefault="00AA550E" w:rsidP="005F787B">
      <w:pPr>
        <w:numPr>
          <w:ilvl w:val="1"/>
          <w:numId w:val="9"/>
        </w:numPr>
        <w:ind w:left="851" w:right="6" w:hanging="283"/>
        <w:rPr>
          <w:rFonts w:cs="Calibri"/>
          <w:szCs w:val="24"/>
        </w:rPr>
      </w:pPr>
      <w:r w:rsidRPr="005F787B">
        <w:rPr>
          <w:rFonts w:cs="Calibri"/>
          <w:szCs w:val="24"/>
          <w:lang w:eastAsia="fr-CA"/>
        </w:rPr>
        <w:t>Émissions de CO</w:t>
      </w:r>
      <w:r w:rsidRPr="005F787B">
        <w:rPr>
          <w:rFonts w:cs="Calibri"/>
          <w:szCs w:val="24"/>
          <w:vertAlign w:val="subscript"/>
          <w:lang w:eastAsia="fr-CA"/>
        </w:rPr>
        <w:t>2</w:t>
      </w:r>
      <w:r w:rsidRPr="005F787B">
        <w:rPr>
          <w:rFonts w:cs="Calibri"/>
          <w:szCs w:val="24"/>
          <w:lang w:eastAsia="fr-CA"/>
        </w:rPr>
        <w:t xml:space="preserve"> évitées annuelles (</w:t>
      </w:r>
      <w:r w:rsidR="00F058A5" w:rsidRPr="005F787B">
        <w:rPr>
          <w:rFonts w:cs="Calibri"/>
          <w:color w:val="000000"/>
          <w:szCs w:val="24"/>
        </w:rPr>
        <w:t>tCO</w:t>
      </w:r>
      <w:r w:rsidR="00F058A5" w:rsidRPr="005F787B">
        <w:rPr>
          <w:rFonts w:cs="Calibri"/>
          <w:color w:val="000000"/>
          <w:szCs w:val="24"/>
          <w:vertAlign w:val="subscript"/>
        </w:rPr>
        <w:t>2</w:t>
      </w:r>
      <w:r w:rsidR="00F058A5" w:rsidRPr="005F787B">
        <w:rPr>
          <w:rFonts w:cs="Calibri"/>
          <w:color w:val="000000"/>
          <w:szCs w:val="24"/>
        </w:rPr>
        <w:t>e</w:t>
      </w:r>
      <w:r w:rsidRPr="005F787B">
        <w:rPr>
          <w:rFonts w:cs="Calibri"/>
          <w:szCs w:val="24"/>
        </w:rPr>
        <w:t>)</w:t>
      </w:r>
      <w:r w:rsidR="00021F53" w:rsidRPr="005F787B">
        <w:rPr>
          <w:rFonts w:cs="Calibri"/>
          <w:szCs w:val="24"/>
        </w:rPr>
        <w:t>.</w:t>
      </w:r>
    </w:p>
    <w:p w14:paraId="2AF19EE5" w14:textId="77777777" w:rsidR="004A13D6" w:rsidRDefault="004A13D6" w:rsidP="00352626">
      <w:pPr>
        <w:rPr>
          <w:rFonts w:cs="Calibri"/>
          <w:szCs w:val="24"/>
          <w:lang w:eastAsia="fr-CA"/>
        </w:rPr>
      </w:pPr>
    </w:p>
    <w:p w14:paraId="12698160" w14:textId="22170DCF" w:rsidR="001E2D82" w:rsidRPr="00A743D8" w:rsidRDefault="00AA550E" w:rsidP="00352626">
      <w:pPr>
        <w:pStyle w:val="Titre2"/>
        <w:keepNext/>
        <w:tabs>
          <w:tab w:val="clear" w:pos="709"/>
          <w:tab w:val="num" w:pos="851"/>
        </w:tabs>
        <w:ind w:left="851" w:hanging="851"/>
        <w:rPr>
          <w:rFonts w:cs="Calibri"/>
          <w:szCs w:val="24"/>
        </w:rPr>
      </w:pPr>
      <w:bookmarkStart w:id="43" w:name="_Toc124329942"/>
      <w:r w:rsidRPr="00A743D8">
        <w:rPr>
          <w:rFonts w:cs="Calibri"/>
          <w:szCs w:val="24"/>
        </w:rPr>
        <w:t xml:space="preserve">Proposition de programmes, volets et mesures </w:t>
      </w:r>
      <w:r w:rsidR="00137EB4">
        <w:rPr>
          <w:rFonts w:cs="Calibri"/>
          <w:szCs w:val="24"/>
        </w:rPr>
        <w:t>du PGEÉ</w:t>
      </w:r>
      <w:bookmarkEnd w:id="43"/>
    </w:p>
    <w:p w14:paraId="7494EC9B" w14:textId="77777777" w:rsidR="001E2D82" w:rsidRPr="00021F53" w:rsidRDefault="001E2D82" w:rsidP="00352626">
      <w:pPr>
        <w:rPr>
          <w:rFonts w:cs="Calibri"/>
          <w:b/>
          <w:szCs w:val="24"/>
          <w:lang w:eastAsia="fr-CA"/>
        </w:rPr>
      </w:pPr>
    </w:p>
    <w:p w14:paraId="1045E102"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Informations générales</w:t>
      </w:r>
    </w:p>
    <w:p w14:paraId="63D5D660" w14:textId="77777777" w:rsidR="001E2D82" w:rsidRPr="003C02A0" w:rsidRDefault="00AA550E" w:rsidP="00352626">
      <w:pPr>
        <w:pStyle w:val="TitreS2"/>
        <w:numPr>
          <w:ilvl w:val="3"/>
          <w:numId w:val="8"/>
        </w:numPr>
        <w:spacing w:before="200" w:after="0"/>
        <w:ind w:left="567" w:hanging="567"/>
        <w:rPr>
          <w:rFonts w:cs="Calibri"/>
          <w:b w:val="0"/>
          <w:color w:val="000000"/>
          <w:sz w:val="24"/>
          <w:szCs w:val="24"/>
          <w:lang w:eastAsia="fr-CA"/>
        </w:rPr>
      </w:pPr>
      <w:r w:rsidRPr="003C02A0">
        <w:rPr>
          <w:rFonts w:cs="Calibri"/>
          <w:b w:val="0"/>
          <w:color w:val="000000"/>
          <w:sz w:val="24"/>
          <w:szCs w:val="24"/>
          <w:lang w:eastAsia="fr-CA"/>
        </w:rPr>
        <w:t>Pour chaque nouveau programme, composante de programme ou mesure présenter le titre, une brève description, les objectifs, le(s) type(s) d’appareil(s) ou de(s) projet(s) ciblé(s) ainsi que l’avantage de sa mise en application.</w:t>
      </w:r>
    </w:p>
    <w:p w14:paraId="1D8E1A1D" w14:textId="77777777" w:rsidR="001E2D82" w:rsidRPr="005E2BD4" w:rsidRDefault="001E2D82" w:rsidP="00352626">
      <w:pPr>
        <w:rPr>
          <w:rFonts w:cs="Calibri"/>
          <w:color w:val="000000"/>
          <w:szCs w:val="24"/>
          <w:lang w:eastAsia="fr-CA"/>
        </w:rPr>
      </w:pPr>
    </w:p>
    <w:p w14:paraId="6F8C79F6"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Définition des hypothèses</w:t>
      </w:r>
    </w:p>
    <w:p w14:paraId="7B2FD1BE" w14:textId="77777777" w:rsidR="001E2D82" w:rsidRPr="003C02A0" w:rsidRDefault="00AA550E" w:rsidP="00352626">
      <w:pPr>
        <w:pStyle w:val="TitreS2"/>
        <w:numPr>
          <w:ilvl w:val="3"/>
          <w:numId w:val="8"/>
        </w:numPr>
        <w:spacing w:before="200" w:after="0"/>
        <w:ind w:left="567" w:hanging="567"/>
        <w:rPr>
          <w:rFonts w:cs="Calibri"/>
          <w:b w:val="0"/>
          <w:color w:val="000000"/>
          <w:sz w:val="24"/>
          <w:szCs w:val="24"/>
          <w:lang w:eastAsia="fr-CA"/>
        </w:rPr>
      </w:pPr>
      <w:r w:rsidRPr="003C02A0">
        <w:rPr>
          <w:rFonts w:cs="Calibri"/>
          <w:b w:val="0"/>
          <w:color w:val="000000"/>
          <w:sz w:val="24"/>
          <w:szCs w:val="24"/>
          <w:lang w:eastAsia="fr-CA"/>
        </w:rPr>
        <w:t xml:space="preserve">Documenter le choix du marché ou du secteur visé, des critères d’admissibilité, de la calibration/limitation des montants d’aide financière, de la base de référence, du coût de </w:t>
      </w:r>
      <w:r w:rsidRPr="003C02A0">
        <w:rPr>
          <w:rFonts w:cs="Calibri"/>
          <w:b w:val="0"/>
          <w:color w:val="000000"/>
          <w:sz w:val="24"/>
          <w:szCs w:val="24"/>
          <w:lang w:eastAsia="fr-CA"/>
        </w:rPr>
        <w:lastRenderedPageBreak/>
        <w:t>l’appareil efficace ou du projet proposé versus le coût de la base de référence, des économies unitaires brutes, de la durée de vie, des effets de distorsion et du taux de pénétration de marché.</w:t>
      </w:r>
    </w:p>
    <w:p w14:paraId="748E5E21" w14:textId="77777777" w:rsidR="001E2D82" w:rsidRPr="003C02A0" w:rsidRDefault="00AA550E" w:rsidP="00352626">
      <w:pPr>
        <w:pStyle w:val="TitreS2"/>
        <w:numPr>
          <w:ilvl w:val="3"/>
          <w:numId w:val="8"/>
        </w:numPr>
        <w:spacing w:before="200" w:after="0"/>
        <w:ind w:left="567" w:hanging="567"/>
        <w:rPr>
          <w:rFonts w:cs="Calibri"/>
          <w:b w:val="0"/>
          <w:color w:val="000000"/>
          <w:sz w:val="24"/>
          <w:szCs w:val="24"/>
          <w:lang w:eastAsia="fr-CA"/>
        </w:rPr>
      </w:pPr>
      <w:r w:rsidRPr="003C02A0">
        <w:rPr>
          <w:rFonts w:cs="Calibri"/>
          <w:b w:val="0"/>
          <w:color w:val="000000"/>
          <w:sz w:val="24"/>
          <w:szCs w:val="24"/>
          <w:lang w:eastAsia="fr-CA"/>
        </w:rPr>
        <w:t xml:space="preserve">S’assurer de présenter les dernières informations disponibles lorsque ces choix prennent comme référence la </w:t>
      </w:r>
      <w:r w:rsidR="004D2AEF" w:rsidRPr="003C02A0">
        <w:rPr>
          <w:rFonts w:cs="Calibri"/>
          <w:b w:val="0"/>
          <w:color w:val="000000"/>
          <w:sz w:val="24"/>
          <w:szCs w:val="24"/>
          <w:lang w:eastAsia="fr-CA"/>
        </w:rPr>
        <w:t>Doc</w:t>
      </w:r>
      <w:r w:rsidR="00044551" w:rsidRPr="003C02A0">
        <w:rPr>
          <w:rFonts w:cs="Calibri"/>
          <w:b w:val="0"/>
          <w:color w:val="000000"/>
          <w:sz w:val="24"/>
          <w:szCs w:val="24"/>
          <w:lang w:eastAsia="fr-CA"/>
        </w:rPr>
        <w:t>ument</w:t>
      </w:r>
      <w:r w:rsidRPr="003C02A0">
        <w:rPr>
          <w:rFonts w:cs="Calibri"/>
          <w:b w:val="0"/>
          <w:color w:val="000000"/>
          <w:sz w:val="24"/>
          <w:szCs w:val="24"/>
          <w:lang w:eastAsia="fr-CA"/>
        </w:rPr>
        <w:t>ation des programmes d’autres distributeurs, ou celle des anciennes initiatives de Gazifère (par exemple, évaluations des programmes).</w:t>
      </w:r>
    </w:p>
    <w:p w14:paraId="14BE1ECA" w14:textId="77777777" w:rsidR="001E2D82" w:rsidRPr="003C02A0" w:rsidRDefault="00AA550E" w:rsidP="00352626">
      <w:pPr>
        <w:pStyle w:val="TitreS2"/>
        <w:numPr>
          <w:ilvl w:val="3"/>
          <w:numId w:val="8"/>
        </w:numPr>
        <w:spacing w:before="200" w:after="0"/>
        <w:ind w:left="567" w:hanging="567"/>
        <w:rPr>
          <w:rFonts w:cs="Calibri"/>
          <w:b w:val="0"/>
          <w:color w:val="000000"/>
          <w:sz w:val="24"/>
          <w:szCs w:val="24"/>
          <w:lang w:eastAsia="fr-CA"/>
        </w:rPr>
      </w:pPr>
      <w:r w:rsidRPr="003C02A0">
        <w:rPr>
          <w:rFonts w:cs="Calibri"/>
          <w:b w:val="0"/>
          <w:color w:val="000000"/>
          <w:sz w:val="24"/>
          <w:szCs w:val="24"/>
          <w:lang w:eastAsia="fr-CA"/>
        </w:rPr>
        <w:t>Présenter, dans tous les cas, les références pertinentes avec leur lien hypertexte.</w:t>
      </w:r>
    </w:p>
    <w:p w14:paraId="5CAFD62A" w14:textId="77777777" w:rsidR="001E2D82" w:rsidRPr="005E2BD4" w:rsidRDefault="001E2D82" w:rsidP="00352626">
      <w:pPr>
        <w:rPr>
          <w:rFonts w:cs="Calibri"/>
          <w:color w:val="000000"/>
          <w:szCs w:val="24"/>
          <w:lang w:eastAsia="fr-CA"/>
        </w:rPr>
      </w:pPr>
    </w:p>
    <w:p w14:paraId="60B7FE98"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Fiches détaillées des programmes, de ses composantes et des mesures</w:t>
      </w:r>
    </w:p>
    <w:p w14:paraId="0DAEF84B" w14:textId="77777777" w:rsidR="001E2D82" w:rsidRPr="003C02A0" w:rsidRDefault="00AA550E" w:rsidP="00352626">
      <w:pPr>
        <w:pStyle w:val="TitreS2"/>
        <w:numPr>
          <w:ilvl w:val="3"/>
          <w:numId w:val="8"/>
        </w:numPr>
        <w:spacing w:before="200" w:after="0"/>
        <w:ind w:left="567" w:hanging="567"/>
        <w:rPr>
          <w:rFonts w:cs="Calibri"/>
          <w:b w:val="0"/>
          <w:color w:val="000000"/>
          <w:sz w:val="24"/>
          <w:szCs w:val="24"/>
          <w:lang w:eastAsia="fr-CA"/>
        </w:rPr>
      </w:pPr>
      <w:r w:rsidRPr="003C02A0">
        <w:rPr>
          <w:rFonts w:cs="Calibri"/>
          <w:b w:val="0"/>
          <w:color w:val="000000"/>
          <w:sz w:val="24"/>
          <w:szCs w:val="24"/>
          <w:lang w:eastAsia="fr-CA"/>
        </w:rPr>
        <w:t>Déposer une fiche détaillée contenant les informations suivantes</w:t>
      </w:r>
      <w:r w:rsidR="004A13D6" w:rsidRPr="003C02A0">
        <w:rPr>
          <w:rFonts w:cs="Calibri"/>
          <w:b w:val="0"/>
          <w:color w:val="000000"/>
          <w:sz w:val="24"/>
          <w:szCs w:val="24"/>
          <w:lang w:eastAsia="fr-CA"/>
        </w:rPr>
        <w:t xml:space="preserve"> </w:t>
      </w:r>
      <w:r w:rsidRPr="003C02A0">
        <w:rPr>
          <w:rFonts w:cs="Calibri"/>
          <w:b w:val="0"/>
          <w:color w:val="000000"/>
          <w:sz w:val="24"/>
          <w:szCs w:val="24"/>
          <w:lang w:eastAsia="fr-CA"/>
        </w:rPr>
        <w:t>(liste non exhaustive)</w:t>
      </w:r>
      <w:r w:rsidR="00021F53" w:rsidRPr="003C02A0">
        <w:rPr>
          <w:rFonts w:cs="Calibri"/>
          <w:b w:val="0"/>
          <w:color w:val="000000"/>
          <w:sz w:val="24"/>
          <w:szCs w:val="24"/>
          <w:lang w:eastAsia="fr-CA"/>
        </w:rPr>
        <w:t> </w:t>
      </w:r>
      <w:r w:rsidRPr="003C02A0">
        <w:rPr>
          <w:rFonts w:cs="Calibri"/>
          <w:b w:val="0"/>
          <w:color w:val="000000"/>
          <w:sz w:val="24"/>
          <w:szCs w:val="24"/>
          <w:lang w:eastAsia="fr-CA"/>
        </w:rPr>
        <w:t>:</w:t>
      </w:r>
    </w:p>
    <w:p w14:paraId="0C781E61" w14:textId="77777777" w:rsidR="001E2D82" w:rsidRPr="005E2BD4" w:rsidRDefault="00AA550E" w:rsidP="00352626">
      <w:pPr>
        <w:numPr>
          <w:ilvl w:val="1"/>
          <w:numId w:val="9"/>
        </w:numPr>
        <w:ind w:left="851" w:right="6" w:hanging="284"/>
        <w:rPr>
          <w:rFonts w:cs="Calibri"/>
          <w:color w:val="000000"/>
          <w:szCs w:val="24"/>
          <w:lang w:eastAsia="fr-CA"/>
        </w:rPr>
      </w:pPr>
      <w:r w:rsidRPr="005E2BD4">
        <w:rPr>
          <w:rFonts w:cs="Calibri"/>
          <w:color w:val="000000"/>
          <w:szCs w:val="24"/>
          <w:lang w:eastAsia="fr-CA"/>
        </w:rPr>
        <w:t xml:space="preserve">Titre, </w:t>
      </w:r>
      <w:r w:rsidRPr="005E2BD4">
        <w:rPr>
          <w:rFonts w:cs="Calibri"/>
          <w:szCs w:val="24"/>
          <w:lang w:eastAsia="fr-CA"/>
        </w:rPr>
        <w:t>paramètres</w:t>
      </w:r>
      <w:r w:rsidRPr="005E2BD4">
        <w:rPr>
          <w:rFonts w:cs="Calibri"/>
          <w:color w:val="000000"/>
          <w:szCs w:val="24"/>
          <w:lang w:eastAsia="fr-CA"/>
        </w:rPr>
        <w:t xml:space="preserve"> les plus importants définissant la base de référence et le marché cible, coûts évité de gaz naturel et, le cas échéant, coûts évités d’autre forme d’énergie autorisé par la Régie ($),</w:t>
      </w:r>
    </w:p>
    <w:p w14:paraId="77322D80" w14:textId="77777777" w:rsidR="001E2D82" w:rsidRPr="005E2BD4" w:rsidRDefault="00AA550E" w:rsidP="00352626">
      <w:pPr>
        <w:numPr>
          <w:ilvl w:val="1"/>
          <w:numId w:val="9"/>
        </w:numPr>
        <w:ind w:left="851" w:right="6" w:hanging="284"/>
        <w:rPr>
          <w:rFonts w:cs="Calibri"/>
          <w:color w:val="000000"/>
          <w:szCs w:val="24"/>
          <w:lang w:eastAsia="fr-CA"/>
        </w:rPr>
      </w:pPr>
      <w:r w:rsidRPr="005E2BD4">
        <w:rPr>
          <w:rFonts w:cs="Calibri"/>
          <w:color w:val="000000"/>
          <w:szCs w:val="24"/>
          <w:lang w:eastAsia="fr-CA"/>
        </w:rPr>
        <w:t>Paramètres du cas-type. Les paramètres du cas-type devront être associés à une note de bas de page explicative qui devra inclure la(les) référence(s) appropriée(s) (suivi, évaluation, étude, autre) avec son(leurs) liens hypertexte</w:t>
      </w:r>
      <w:r w:rsidR="00021F53">
        <w:rPr>
          <w:rFonts w:cs="Calibri"/>
          <w:color w:val="000000"/>
          <w:szCs w:val="24"/>
          <w:lang w:eastAsia="fr-CA"/>
        </w:rPr>
        <w:t> </w:t>
      </w:r>
      <w:r w:rsidRPr="005E2BD4">
        <w:rPr>
          <w:rFonts w:cs="Calibri"/>
          <w:color w:val="000000"/>
          <w:szCs w:val="24"/>
          <w:lang w:eastAsia="fr-CA"/>
        </w:rPr>
        <w:t>:</w:t>
      </w:r>
    </w:p>
    <w:p w14:paraId="5B088587"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eastAsia="Times New Roman" w:cs="Calibri"/>
          <w:color w:val="000000"/>
          <w:sz w:val="24"/>
          <w:szCs w:val="24"/>
          <w:lang w:eastAsia="fr-CA"/>
        </w:rPr>
        <w:t>Économies</w:t>
      </w:r>
      <w:r w:rsidRPr="005E2BD4">
        <w:rPr>
          <w:rFonts w:cs="Calibri"/>
          <w:color w:val="000000"/>
          <w:sz w:val="24"/>
          <w:szCs w:val="24"/>
          <w:lang w:eastAsia="fr-CA"/>
        </w:rPr>
        <w:t xml:space="preserve"> unitaires brutes de gaz (m</w:t>
      </w:r>
      <w:r w:rsidRPr="005E2BD4">
        <w:rPr>
          <w:rFonts w:cs="Calibri"/>
          <w:color w:val="000000"/>
          <w:sz w:val="24"/>
          <w:szCs w:val="24"/>
          <w:vertAlign w:val="superscript"/>
          <w:lang w:eastAsia="fr-CA"/>
        </w:rPr>
        <w:t>3</w:t>
      </w:r>
      <w:r w:rsidRPr="005E2BD4">
        <w:rPr>
          <w:rFonts w:cs="Calibri"/>
          <w:color w:val="000000"/>
          <w:sz w:val="24"/>
          <w:szCs w:val="24"/>
          <w:lang w:eastAsia="fr-CA"/>
        </w:rPr>
        <w:t>);</w:t>
      </w:r>
    </w:p>
    <w:p w14:paraId="70F779F6"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sz w:val="24"/>
          <w:szCs w:val="24"/>
          <w:lang w:eastAsia="fr-CA"/>
        </w:rPr>
      </w:pPr>
      <w:r w:rsidRPr="005E2BD4">
        <w:rPr>
          <w:rFonts w:eastAsia="Times New Roman" w:cs="Calibri"/>
          <w:color w:val="000000"/>
          <w:sz w:val="24"/>
          <w:szCs w:val="24"/>
          <w:lang w:eastAsia="fr-CA"/>
        </w:rPr>
        <w:t>Gains</w:t>
      </w:r>
      <w:r w:rsidRPr="005E2BD4">
        <w:rPr>
          <w:rFonts w:cs="Calibri"/>
          <w:color w:val="000000"/>
          <w:sz w:val="24"/>
          <w:szCs w:val="24"/>
          <w:lang w:eastAsia="fr-CA"/>
        </w:rPr>
        <w:t xml:space="preserve"> unitaires </w:t>
      </w:r>
      <w:r w:rsidRPr="005E2BD4">
        <w:rPr>
          <w:rFonts w:cs="Calibri"/>
          <w:sz w:val="24"/>
          <w:szCs w:val="24"/>
          <w:lang w:eastAsia="fr-CA"/>
        </w:rPr>
        <w:t>bruts de gaz (m</w:t>
      </w:r>
      <w:r w:rsidRPr="005E2BD4">
        <w:rPr>
          <w:rFonts w:cs="Calibri"/>
          <w:sz w:val="24"/>
          <w:szCs w:val="24"/>
          <w:vertAlign w:val="superscript"/>
          <w:lang w:eastAsia="fr-CA"/>
        </w:rPr>
        <w:t>3</w:t>
      </w:r>
      <w:r w:rsidRPr="005E2BD4">
        <w:rPr>
          <w:rFonts w:cs="Calibri"/>
          <w:sz w:val="24"/>
          <w:szCs w:val="24"/>
          <w:lang w:eastAsia="fr-CA"/>
        </w:rPr>
        <w:t>/btu/hr);</w:t>
      </w:r>
    </w:p>
    <w:p w14:paraId="610EBE1D"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sz w:val="24"/>
          <w:szCs w:val="24"/>
          <w:lang w:eastAsia="fr-CA"/>
        </w:rPr>
      </w:pPr>
      <w:r w:rsidRPr="005E2BD4">
        <w:rPr>
          <w:rFonts w:eastAsia="Times New Roman" w:cs="Calibri"/>
          <w:color w:val="000000"/>
          <w:sz w:val="24"/>
          <w:szCs w:val="24"/>
          <w:lang w:eastAsia="fr-CA"/>
        </w:rPr>
        <w:t>Capacité</w:t>
      </w:r>
      <w:r w:rsidRPr="005E2BD4">
        <w:rPr>
          <w:rFonts w:cs="Calibri"/>
          <w:color w:val="000000"/>
          <w:sz w:val="24"/>
          <w:szCs w:val="24"/>
          <w:lang w:eastAsia="fr-CA"/>
        </w:rPr>
        <w:t xml:space="preserve"> moyenne des appareils à gaz </w:t>
      </w:r>
      <w:r w:rsidRPr="005E2BD4">
        <w:rPr>
          <w:rFonts w:cs="Calibri"/>
          <w:sz w:val="24"/>
          <w:szCs w:val="24"/>
          <w:lang w:eastAsia="fr-CA"/>
        </w:rPr>
        <w:t>(btu/hr);</w:t>
      </w:r>
    </w:p>
    <w:p w14:paraId="0DA0402C"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sz w:val="24"/>
          <w:szCs w:val="24"/>
          <w:lang w:eastAsia="fr-CA"/>
        </w:rPr>
      </w:pPr>
      <w:r w:rsidRPr="005E2BD4">
        <w:rPr>
          <w:rFonts w:eastAsia="Times New Roman" w:cs="Calibri"/>
          <w:color w:val="000000"/>
          <w:sz w:val="24"/>
          <w:szCs w:val="24"/>
          <w:lang w:eastAsia="fr-CA"/>
        </w:rPr>
        <w:t>Économies</w:t>
      </w:r>
      <w:r w:rsidRPr="005E2BD4">
        <w:rPr>
          <w:rFonts w:cs="Calibri"/>
          <w:color w:val="000000"/>
          <w:sz w:val="24"/>
          <w:szCs w:val="24"/>
          <w:lang w:eastAsia="fr-CA"/>
        </w:rPr>
        <w:t xml:space="preserve"> ou pertes unitaires d’autres formes d’énergie autorisées par la Régie et considérées exclusivement dans le calcul des tests économiques (par exemple : kWh</w:t>
      </w:r>
      <w:r w:rsidRPr="005E2BD4">
        <w:rPr>
          <w:rFonts w:cs="Calibri"/>
          <w:sz w:val="24"/>
          <w:szCs w:val="24"/>
          <w:lang w:eastAsia="fr-CA"/>
        </w:rPr>
        <w:t>), tenant compte des principes de la décision D-2019-088</w:t>
      </w:r>
      <w:r>
        <w:rPr>
          <w:rStyle w:val="Appelnotedebasdep"/>
          <w:rFonts w:cs="Calibri"/>
          <w:sz w:val="24"/>
          <w:szCs w:val="24"/>
          <w:lang w:eastAsia="fr-CA"/>
        </w:rPr>
        <w:footnoteReference w:id="38"/>
      </w:r>
      <w:r w:rsidRPr="005E2BD4">
        <w:rPr>
          <w:rFonts w:cs="Calibri"/>
          <w:sz w:val="24"/>
          <w:szCs w:val="24"/>
          <w:lang w:eastAsia="fr-CA"/>
        </w:rPr>
        <w:t>;</w:t>
      </w:r>
    </w:p>
    <w:p w14:paraId="57CA7F19"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cs="Calibri"/>
          <w:color w:val="000000"/>
          <w:sz w:val="24"/>
          <w:szCs w:val="24"/>
          <w:lang w:eastAsia="fr-CA"/>
        </w:rPr>
        <w:t>Coût incrémental ($);</w:t>
      </w:r>
    </w:p>
    <w:p w14:paraId="0E7AB4E2"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cs="Calibri"/>
          <w:color w:val="000000"/>
          <w:sz w:val="24"/>
          <w:szCs w:val="24"/>
          <w:lang w:eastAsia="fr-CA"/>
        </w:rPr>
        <w:t>Aide financière unitaire ($);</w:t>
      </w:r>
    </w:p>
    <w:p w14:paraId="1479EA91"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cs="Calibri"/>
          <w:color w:val="000000"/>
          <w:sz w:val="24"/>
          <w:szCs w:val="24"/>
          <w:lang w:eastAsia="fr-CA"/>
        </w:rPr>
        <w:t>Contribution du participant ($);</w:t>
      </w:r>
    </w:p>
    <w:p w14:paraId="3EE1D426" w14:textId="711B777E" w:rsidR="001E2D82" w:rsidRPr="005E2BD4" w:rsidRDefault="00AA550E" w:rsidP="00137EB4">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cs="Calibri"/>
          <w:color w:val="000000"/>
          <w:sz w:val="24"/>
          <w:szCs w:val="24"/>
          <w:lang w:eastAsia="fr-CA"/>
        </w:rPr>
        <w:t xml:space="preserve">Effets de distorsion considérés ventilés par type. </w:t>
      </w:r>
    </w:p>
    <w:p w14:paraId="789499AE" w14:textId="77777777" w:rsidR="001E2D82" w:rsidRPr="005E2BD4" w:rsidRDefault="00AA550E" w:rsidP="00352626">
      <w:pPr>
        <w:pStyle w:val="Paragraphedeliste"/>
        <w:numPr>
          <w:ilvl w:val="2"/>
          <w:numId w:val="10"/>
        </w:numPr>
        <w:spacing w:after="60" w:line="264" w:lineRule="auto"/>
        <w:ind w:left="1134" w:right="6" w:hanging="283"/>
        <w:contextualSpacing w:val="0"/>
        <w:jc w:val="both"/>
        <w:rPr>
          <w:rFonts w:cs="Calibri"/>
          <w:color w:val="000000"/>
          <w:sz w:val="24"/>
          <w:szCs w:val="24"/>
          <w:lang w:eastAsia="fr-CA"/>
        </w:rPr>
      </w:pPr>
      <w:r w:rsidRPr="005E2BD4">
        <w:rPr>
          <w:rFonts w:cs="Calibri"/>
          <w:color w:val="000000"/>
          <w:sz w:val="24"/>
          <w:szCs w:val="24"/>
          <w:lang w:eastAsia="fr-CA"/>
        </w:rPr>
        <w:t>Durée de vie (années);</w:t>
      </w:r>
    </w:p>
    <w:p w14:paraId="77D8AD48" w14:textId="77777777" w:rsidR="001E2D82" w:rsidRPr="005E2BD4" w:rsidRDefault="00AA550E" w:rsidP="00352626">
      <w:pPr>
        <w:numPr>
          <w:ilvl w:val="1"/>
          <w:numId w:val="9"/>
        </w:numPr>
        <w:ind w:left="1418" w:right="6" w:hanging="283"/>
        <w:rPr>
          <w:rFonts w:cs="Calibri"/>
          <w:color w:val="000000"/>
          <w:szCs w:val="24"/>
          <w:lang w:eastAsia="fr-CA"/>
        </w:rPr>
      </w:pPr>
      <w:r>
        <w:rPr>
          <w:rFonts w:cs="Calibri"/>
          <w:color w:val="000000"/>
          <w:szCs w:val="24"/>
          <w:lang w:eastAsia="fr-CA"/>
        </w:rPr>
        <w:t>Autres données/</w:t>
      </w:r>
      <w:r w:rsidRPr="005E2BD4">
        <w:rPr>
          <w:rFonts w:cs="Calibri"/>
          <w:color w:val="000000"/>
          <w:szCs w:val="24"/>
          <w:lang w:eastAsia="fr-CA"/>
        </w:rPr>
        <w:t>paramètres utilisés pour le calcul des projections</w:t>
      </w:r>
      <w:r>
        <w:rPr>
          <w:rFonts w:cs="Calibri"/>
          <w:color w:val="000000"/>
          <w:szCs w:val="24"/>
          <w:lang w:eastAsia="fr-CA"/>
        </w:rPr>
        <w:t> </w:t>
      </w:r>
      <w:r w:rsidRPr="005E2BD4">
        <w:rPr>
          <w:rFonts w:cs="Calibri"/>
          <w:color w:val="000000"/>
          <w:szCs w:val="24"/>
          <w:lang w:eastAsia="fr-CA"/>
        </w:rPr>
        <w:t>:</w:t>
      </w:r>
    </w:p>
    <w:p w14:paraId="6C02D628" w14:textId="77777777" w:rsidR="00137EB4" w:rsidRDefault="00137EB4" w:rsidP="00352626">
      <w:pPr>
        <w:pStyle w:val="Paragraphedeliste"/>
        <w:numPr>
          <w:ilvl w:val="2"/>
          <w:numId w:val="10"/>
        </w:numPr>
        <w:spacing w:after="60" w:line="264" w:lineRule="auto"/>
        <w:ind w:left="1701" w:right="6" w:hanging="283"/>
        <w:contextualSpacing w:val="0"/>
        <w:jc w:val="both"/>
        <w:rPr>
          <w:rFonts w:cs="Calibri"/>
          <w:color w:val="000000"/>
          <w:sz w:val="24"/>
          <w:szCs w:val="24"/>
          <w:lang w:eastAsia="fr-CA"/>
        </w:rPr>
      </w:pPr>
      <w:r>
        <w:rPr>
          <w:rFonts w:cs="Calibri"/>
          <w:color w:val="000000"/>
          <w:sz w:val="24"/>
          <w:szCs w:val="24"/>
          <w:lang w:eastAsia="fr-CA"/>
        </w:rPr>
        <w:t>Nombre de participants;</w:t>
      </w:r>
    </w:p>
    <w:p w14:paraId="1C3DED12" w14:textId="1415C150" w:rsidR="001E2D82" w:rsidRPr="005E2BD4" w:rsidRDefault="00AA550E" w:rsidP="00352626">
      <w:pPr>
        <w:pStyle w:val="Paragraphedeliste"/>
        <w:numPr>
          <w:ilvl w:val="2"/>
          <w:numId w:val="10"/>
        </w:numPr>
        <w:spacing w:after="60" w:line="264" w:lineRule="auto"/>
        <w:ind w:left="1701" w:right="6" w:hanging="283"/>
        <w:contextualSpacing w:val="0"/>
        <w:jc w:val="both"/>
        <w:rPr>
          <w:rFonts w:cs="Calibri"/>
          <w:color w:val="000000"/>
          <w:sz w:val="24"/>
          <w:szCs w:val="24"/>
          <w:lang w:eastAsia="fr-CA"/>
        </w:rPr>
      </w:pPr>
      <w:r w:rsidRPr="005E2BD4">
        <w:rPr>
          <w:rFonts w:cs="Calibri"/>
          <w:color w:val="000000"/>
          <w:sz w:val="24"/>
          <w:szCs w:val="24"/>
          <w:lang w:eastAsia="fr-CA"/>
        </w:rPr>
        <w:t>Économies de gaz brutes et nettes totales de gaz (m</w:t>
      </w:r>
      <w:r w:rsidRPr="005E2BD4">
        <w:rPr>
          <w:rFonts w:cs="Calibri"/>
          <w:color w:val="000000"/>
          <w:sz w:val="24"/>
          <w:szCs w:val="24"/>
          <w:vertAlign w:val="superscript"/>
          <w:lang w:eastAsia="fr-CA"/>
        </w:rPr>
        <w:t>3</w:t>
      </w:r>
      <w:r w:rsidRPr="005E2BD4">
        <w:rPr>
          <w:rFonts w:cs="Calibri"/>
          <w:color w:val="000000"/>
          <w:sz w:val="24"/>
          <w:szCs w:val="24"/>
          <w:lang w:eastAsia="fr-CA"/>
        </w:rPr>
        <w:t>);</w:t>
      </w:r>
    </w:p>
    <w:p w14:paraId="0EBC92B9" w14:textId="77777777" w:rsidR="001E2D82" w:rsidRPr="005E2BD4" w:rsidRDefault="00AA550E" w:rsidP="00352626">
      <w:pPr>
        <w:pStyle w:val="Paragraphedeliste"/>
        <w:numPr>
          <w:ilvl w:val="2"/>
          <w:numId w:val="10"/>
        </w:numPr>
        <w:spacing w:after="60" w:line="264" w:lineRule="auto"/>
        <w:ind w:left="1701" w:right="6" w:hanging="283"/>
        <w:contextualSpacing w:val="0"/>
        <w:jc w:val="both"/>
        <w:rPr>
          <w:rFonts w:cs="Calibri"/>
          <w:color w:val="000000"/>
          <w:sz w:val="24"/>
          <w:szCs w:val="24"/>
          <w:lang w:eastAsia="fr-CA"/>
        </w:rPr>
      </w:pPr>
      <w:r w:rsidRPr="005E2BD4">
        <w:rPr>
          <w:rFonts w:cs="Calibri"/>
          <w:color w:val="000000"/>
          <w:sz w:val="24"/>
          <w:szCs w:val="24"/>
          <w:lang w:eastAsia="fr-CA"/>
        </w:rPr>
        <w:t>Économies ou pertes d’autres formes d’énergie autorisées (par exemple : kWh);</w:t>
      </w:r>
    </w:p>
    <w:p w14:paraId="73558C1C" w14:textId="77777777" w:rsidR="001E2D82" w:rsidRPr="005E2BD4" w:rsidRDefault="00AA550E" w:rsidP="00352626">
      <w:pPr>
        <w:pStyle w:val="Paragraphedeliste"/>
        <w:numPr>
          <w:ilvl w:val="2"/>
          <w:numId w:val="10"/>
        </w:numPr>
        <w:spacing w:after="60" w:line="264" w:lineRule="auto"/>
        <w:ind w:left="1701" w:right="6" w:hanging="283"/>
        <w:contextualSpacing w:val="0"/>
        <w:jc w:val="both"/>
        <w:rPr>
          <w:rFonts w:cs="Calibri"/>
          <w:color w:val="000000"/>
          <w:sz w:val="24"/>
          <w:szCs w:val="24"/>
          <w:lang w:eastAsia="fr-CA"/>
        </w:rPr>
      </w:pPr>
      <w:r w:rsidRPr="005E2BD4">
        <w:rPr>
          <w:rFonts w:cs="Calibri"/>
          <w:color w:val="000000"/>
          <w:sz w:val="24"/>
          <w:szCs w:val="24"/>
          <w:lang w:eastAsia="fr-CA"/>
        </w:rPr>
        <w:lastRenderedPageBreak/>
        <w:t>Aides financières totales ($);</w:t>
      </w:r>
    </w:p>
    <w:p w14:paraId="33ED0443" w14:textId="77777777" w:rsidR="001E2D82" w:rsidRPr="005E2BD4" w:rsidRDefault="00AA550E" w:rsidP="00352626">
      <w:pPr>
        <w:pStyle w:val="Paragraphedeliste"/>
        <w:numPr>
          <w:ilvl w:val="2"/>
          <w:numId w:val="10"/>
        </w:numPr>
        <w:spacing w:after="60" w:line="264" w:lineRule="auto"/>
        <w:ind w:left="1701" w:right="6" w:hanging="283"/>
        <w:contextualSpacing w:val="0"/>
        <w:jc w:val="both"/>
        <w:rPr>
          <w:rFonts w:cs="Calibri"/>
          <w:color w:val="000000"/>
          <w:sz w:val="24"/>
          <w:szCs w:val="24"/>
          <w:lang w:eastAsia="fr-CA"/>
        </w:rPr>
      </w:pPr>
      <w:r w:rsidRPr="005E2BD4">
        <w:rPr>
          <w:rFonts w:cs="Calibri"/>
          <w:color w:val="000000"/>
          <w:sz w:val="24"/>
          <w:szCs w:val="24"/>
          <w:lang w:eastAsia="fr-CA"/>
        </w:rPr>
        <w:t>Frais d’exploitation ventilés ($). Dans le cas où les frais d’exploitation ne puissent pas être départagés par programme, composante de programme ou mesure, la Régie a demandé à Gazifère de les inclure dans le calcul des tests économiques, au prorata des économies d’énergie, à moins que Gazifère propose une meilleure approche</w:t>
      </w:r>
      <w:r>
        <w:rPr>
          <w:rStyle w:val="Appelnotedebasdep"/>
          <w:rFonts w:cs="Calibri"/>
          <w:color w:val="000000"/>
          <w:sz w:val="24"/>
          <w:szCs w:val="24"/>
          <w:lang w:eastAsia="fr-CA"/>
        </w:rPr>
        <w:footnoteReference w:id="39"/>
      </w:r>
      <w:r w:rsidRPr="005E2BD4">
        <w:rPr>
          <w:rFonts w:cs="Calibri"/>
          <w:color w:val="000000"/>
          <w:sz w:val="24"/>
          <w:szCs w:val="24"/>
          <w:lang w:eastAsia="fr-CA"/>
        </w:rPr>
        <w:t>.</w:t>
      </w:r>
    </w:p>
    <w:p w14:paraId="26C93C02" w14:textId="02395360" w:rsidR="001E2D82" w:rsidRDefault="00AA550E" w:rsidP="00352626">
      <w:pPr>
        <w:numPr>
          <w:ilvl w:val="1"/>
          <w:numId w:val="9"/>
        </w:numPr>
        <w:ind w:left="851" w:right="6" w:hanging="283"/>
        <w:rPr>
          <w:rFonts w:cs="Calibri"/>
          <w:szCs w:val="24"/>
          <w:lang w:eastAsia="fr-CA"/>
        </w:rPr>
      </w:pPr>
      <w:r w:rsidRPr="005E2BD4">
        <w:rPr>
          <w:rFonts w:cs="Calibri"/>
          <w:color w:val="000000"/>
          <w:szCs w:val="24"/>
          <w:lang w:eastAsia="fr-CA"/>
        </w:rPr>
        <w:t xml:space="preserve">Tests de </w:t>
      </w:r>
      <w:r w:rsidRPr="005E2BD4">
        <w:rPr>
          <w:rFonts w:cs="Calibri"/>
          <w:szCs w:val="24"/>
          <w:lang w:eastAsia="fr-CA"/>
        </w:rPr>
        <w:t>rentabilité (TCTR, TP et TNT, ou tout autre test autorisé par la Régie sous forme monétaire ($) et sous d’un ratio). Les calculs des prévisions des tests économiques devront être basés sur les consignes</w:t>
      </w:r>
      <w:r w:rsidR="00F81924">
        <w:rPr>
          <w:rFonts w:cs="Calibri"/>
          <w:szCs w:val="24"/>
          <w:lang w:eastAsia="fr-CA"/>
        </w:rPr>
        <w:t xml:space="preserve"> de la version la plus récente</w:t>
      </w:r>
      <w:r w:rsidRPr="005E2BD4">
        <w:rPr>
          <w:rFonts w:cs="Calibri"/>
          <w:szCs w:val="24"/>
          <w:lang w:eastAsia="fr-CA"/>
        </w:rPr>
        <w:t xml:space="preserve"> du </w:t>
      </w:r>
      <w:r w:rsidRPr="005E2BD4">
        <w:rPr>
          <w:rFonts w:cs="Calibri"/>
          <w:i/>
          <w:szCs w:val="24"/>
          <w:lang w:eastAsia="fr-CA"/>
        </w:rPr>
        <w:t>National</w:t>
      </w:r>
      <w:r w:rsidR="00FD57FF">
        <w:rPr>
          <w:rFonts w:cs="Calibri"/>
          <w:i/>
          <w:szCs w:val="24"/>
          <w:lang w:eastAsia="fr-CA"/>
        </w:rPr>
        <w:t> </w:t>
      </w:r>
      <w:r w:rsidRPr="005E2BD4">
        <w:rPr>
          <w:rFonts w:cs="Calibri"/>
          <w:i/>
          <w:szCs w:val="24"/>
          <w:lang w:eastAsia="fr-CA"/>
        </w:rPr>
        <w:t>Standard</w:t>
      </w:r>
      <w:r w:rsidR="00FD57FF">
        <w:rPr>
          <w:rFonts w:cs="Calibri"/>
          <w:i/>
          <w:szCs w:val="24"/>
          <w:lang w:eastAsia="fr-CA"/>
        </w:rPr>
        <w:t> </w:t>
      </w:r>
      <w:r w:rsidRPr="005E2BD4">
        <w:rPr>
          <w:rFonts w:cs="Calibri"/>
          <w:i/>
          <w:szCs w:val="24"/>
          <w:lang w:eastAsia="fr-CA"/>
        </w:rPr>
        <w:t>Practice</w:t>
      </w:r>
      <w:r w:rsidR="00FD57FF">
        <w:rPr>
          <w:rFonts w:cs="Calibri"/>
          <w:i/>
          <w:szCs w:val="24"/>
          <w:lang w:eastAsia="fr-CA"/>
        </w:rPr>
        <w:t> </w:t>
      </w:r>
      <w:r w:rsidRPr="005E2BD4">
        <w:rPr>
          <w:rFonts w:cs="Calibri"/>
          <w:i/>
          <w:szCs w:val="24"/>
          <w:lang w:eastAsia="fr-CA"/>
        </w:rPr>
        <w:t>Manual</w:t>
      </w:r>
      <w:r w:rsidR="00FD57FF">
        <w:rPr>
          <w:rFonts w:cs="Calibri"/>
          <w:i/>
          <w:szCs w:val="24"/>
          <w:lang w:eastAsia="fr-CA"/>
        </w:rPr>
        <w:t> </w:t>
      </w:r>
      <w:r w:rsidRPr="005E2BD4">
        <w:rPr>
          <w:rFonts w:cs="Calibri"/>
          <w:i/>
          <w:szCs w:val="24"/>
          <w:lang w:eastAsia="fr-CA"/>
        </w:rPr>
        <w:t>for</w:t>
      </w:r>
      <w:r w:rsidR="00FD57FF">
        <w:rPr>
          <w:rFonts w:cs="Calibri"/>
          <w:i/>
          <w:szCs w:val="24"/>
          <w:lang w:eastAsia="fr-CA"/>
        </w:rPr>
        <w:t> </w:t>
      </w:r>
      <w:r w:rsidRPr="005E2BD4">
        <w:rPr>
          <w:rFonts w:cs="Calibri"/>
          <w:i/>
          <w:szCs w:val="24"/>
          <w:lang w:eastAsia="fr-CA"/>
        </w:rPr>
        <w:t>Assessing</w:t>
      </w:r>
      <w:r w:rsidR="00FD57FF">
        <w:rPr>
          <w:rFonts w:cs="Calibri"/>
          <w:i/>
          <w:szCs w:val="24"/>
          <w:lang w:eastAsia="fr-CA"/>
        </w:rPr>
        <w:t> </w:t>
      </w:r>
      <w:r w:rsidRPr="005E2BD4">
        <w:rPr>
          <w:rFonts w:cs="Calibri"/>
          <w:i/>
          <w:szCs w:val="24"/>
          <w:lang w:eastAsia="fr-CA"/>
        </w:rPr>
        <w:t>Cost</w:t>
      </w:r>
      <w:r w:rsidR="00FD57FF">
        <w:rPr>
          <w:rFonts w:cs="Calibri"/>
          <w:i/>
          <w:szCs w:val="24"/>
          <w:lang w:eastAsia="fr-CA"/>
        </w:rPr>
        <w:noBreakHyphen/>
      </w:r>
      <w:r w:rsidRPr="005E2BD4">
        <w:rPr>
          <w:rFonts w:cs="Calibri"/>
          <w:i/>
          <w:szCs w:val="24"/>
          <w:lang w:eastAsia="fr-CA"/>
        </w:rPr>
        <w:t>effectiveness</w:t>
      </w:r>
      <w:r w:rsidR="00FD57FF">
        <w:rPr>
          <w:rFonts w:cs="Calibri"/>
          <w:i/>
          <w:szCs w:val="24"/>
          <w:lang w:eastAsia="fr-CA"/>
        </w:rPr>
        <w:t> </w:t>
      </w:r>
      <w:r w:rsidRPr="005E2BD4">
        <w:rPr>
          <w:rFonts w:cs="Calibri"/>
          <w:i/>
          <w:szCs w:val="24"/>
          <w:lang w:eastAsia="fr-CA"/>
        </w:rPr>
        <w:t>of</w:t>
      </w:r>
      <w:r w:rsidR="00FD57FF">
        <w:rPr>
          <w:rFonts w:cs="Calibri"/>
          <w:i/>
          <w:szCs w:val="24"/>
          <w:lang w:eastAsia="fr-CA"/>
        </w:rPr>
        <w:t> </w:t>
      </w:r>
      <w:r w:rsidRPr="005E2BD4">
        <w:rPr>
          <w:rFonts w:cs="Calibri"/>
          <w:i/>
          <w:szCs w:val="24"/>
          <w:lang w:eastAsia="fr-CA"/>
        </w:rPr>
        <w:t>Energy</w:t>
      </w:r>
      <w:r w:rsidR="00FD57FF">
        <w:rPr>
          <w:rFonts w:cs="Calibri"/>
          <w:i/>
          <w:szCs w:val="24"/>
          <w:lang w:eastAsia="fr-CA"/>
        </w:rPr>
        <w:t> </w:t>
      </w:r>
      <w:r w:rsidRPr="005E2BD4">
        <w:rPr>
          <w:rFonts w:cs="Calibri"/>
          <w:i/>
          <w:szCs w:val="24"/>
          <w:lang w:eastAsia="fr-CA"/>
        </w:rPr>
        <w:t>Efficiency</w:t>
      </w:r>
      <w:r w:rsidR="00FD57FF">
        <w:rPr>
          <w:rFonts w:cs="Calibri"/>
          <w:i/>
          <w:szCs w:val="24"/>
          <w:lang w:eastAsia="fr-CA"/>
        </w:rPr>
        <w:t> </w:t>
      </w:r>
      <w:r w:rsidRPr="005E2BD4">
        <w:rPr>
          <w:rFonts w:cs="Calibri"/>
          <w:i/>
          <w:szCs w:val="24"/>
          <w:lang w:eastAsia="fr-CA"/>
        </w:rPr>
        <w:t>Ressources</w:t>
      </w:r>
      <w:r w:rsidRPr="005E2BD4">
        <w:rPr>
          <w:rFonts w:cs="Calibri"/>
          <w:szCs w:val="24"/>
          <w:lang w:eastAsia="fr-CA"/>
        </w:rPr>
        <w:t>, notamment quant aux coûts et bénéfices liés aux opportunistes, aux bénévoles et aux clients «</w:t>
      </w:r>
      <w:r w:rsidR="008F1D2B">
        <w:rPr>
          <w:rFonts w:cs="Calibri"/>
          <w:szCs w:val="24"/>
          <w:lang w:eastAsia="fr-CA"/>
        </w:rPr>
        <w:t> </w:t>
      </w:r>
      <w:r w:rsidRPr="005E2BD4">
        <w:rPr>
          <w:rFonts w:cs="Calibri"/>
          <w:szCs w:val="24"/>
          <w:lang w:eastAsia="fr-CA"/>
        </w:rPr>
        <w:t>entraînés</w:t>
      </w:r>
      <w:r w:rsidR="008F1D2B">
        <w:rPr>
          <w:rFonts w:cs="Calibri"/>
          <w:szCs w:val="24"/>
          <w:lang w:eastAsia="fr-CA"/>
        </w:rPr>
        <w:t> </w:t>
      </w:r>
      <w:r w:rsidRPr="005E2BD4">
        <w:rPr>
          <w:rFonts w:cs="Calibri"/>
          <w:szCs w:val="24"/>
          <w:lang w:eastAsia="fr-CA"/>
        </w:rPr>
        <w:t>»</w:t>
      </w:r>
      <w:r>
        <w:rPr>
          <w:rStyle w:val="Appelnotedebasdep"/>
          <w:rFonts w:cs="Calibri"/>
          <w:szCs w:val="24"/>
          <w:lang w:eastAsia="fr-CA"/>
        </w:rPr>
        <w:footnoteReference w:id="40"/>
      </w:r>
      <w:r w:rsidR="008F1D2B">
        <w:rPr>
          <w:rFonts w:cs="Calibri"/>
          <w:szCs w:val="24"/>
          <w:lang w:eastAsia="fr-CA"/>
        </w:rPr>
        <w:t>.</w:t>
      </w:r>
    </w:p>
    <w:p w14:paraId="7DB37B82" w14:textId="77777777" w:rsidR="001E2D82" w:rsidRPr="00C21C44" w:rsidRDefault="001E2D82" w:rsidP="00352626">
      <w:pPr>
        <w:rPr>
          <w:rFonts w:cs="Calibri"/>
          <w:b/>
          <w:lang w:eastAsia="fr-CA"/>
        </w:rPr>
      </w:pPr>
    </w:p>
    <w:p w14:paraId="69961AC4"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Modifications aux modalités des programmes et mesures</w:t>
      </w:r>
    </w:p>
    <w:p w14:paraId="3E8DCAD0" w14:textId="77777777" w:rsidR="001E2D82" w:rsidRPr="003C02A0" w:rsidRDefault="00AA550E" w:rsidP="00352626">
      <w:pPr>
        <w:pStyle w:val="TitreS2"/>
        <w:numPr>
          <w:ilvl w:val="3"/>
          <w:numId w:val="8"/>
        </w:numPr>
        <w:spacing w:before="200" w:after="0"/>
        <w:ind w:left="567" w:hanging="567"/>
        <w:rPr>
          <w:rFonts w:cs="Calibri"/>
          <w:b w:val="0"/>
          <w:color w:val="000000"/>
          <w:sz w:val="24"/>
          <w:szCs w:val="26"/>
          <w:lang w:eastAsia="fr-CA"/>
        </w:rPr>
      </w:pPr>
      <w:r w:rsidRPr="003C02A0">
        <w:rPr>
          <w:rFonts w:cs="Calibri"/>
          <w:b w:val="0"/>
          <w:color w:val="000000"/>
          <w:sz w:val="24"/>
          <w:szCs w:val="26"/>
          <w:lang w:eastAsia="fr-CA"/>
        </w:rPr>
        <w:t>Documenter et justifier les modifications proposées aux modalités des programmes et chacun de ses composants ainsi qu’aux mesures, en présentant les critères appliqués ou le cas échéant, les études de référence avec leurs liens hypertexte.</w:t>
      </w:r>
    </w:p>
    <w:p w14:paraId="60AA5FD5" w14:textId="77777777" w:rsidR="00C21C44" w:rsidRPr="00C21C44" w:rsidRDefault="00C21C44" w:rsidP="00352626">
      <w:pPr>
        <w:rPr>
          <w:rFonts w:cs="Calibri"/>
          <w:color w:val="000000"/>
          <w:lang w:eastAsia="fr-CA"/>
        </w:rPr>
      </w:pPr>
    </w:p>
    <w:p w14:paraId="032B5928"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Modifications aux paramètres, données et coûts des programmes et mesures</w:t>
      </w:r>
    </w:p>
    <w:p w14:paraId="310800CA" w14:textId="3C482626" w:rsidR="001E2D82" w:rsidRPr="00D5285C" w:rsidRDefault="00AA550E" w:rsidP="00352626">
      <w:pPr>
        <w:pStyle w:val="TitreS2"/>
        <w:numPr>
          <w:ilvl w:val="3"/>
          <w:numId w:val="8"/>
        </w:numPr>
        <w:spacing w:before="200" w:after="0"/>
        <w:ind w:left="567" w:hanging="567"/>
        <w:rPr>
          <w:rFonts w:cs="Calibri"/>
          <w:b w:val="0"/>
          <w:color w:val="000000"/>
          <w:sz w:val="24"/>
          <w:szCs w:val="26"/>
          <w:lang w:eastAsia="fr-CA"/>
        </w:rPr>
      </w:pPr>
      <w:r w:rsidRPr="00D5285C">
        <w:rPr>
          <w:rFonts w:cs="Calibri"/>
          <w:b w:val="0"/>
          <w:color w:val="000000"/>
          <w:sz w:val="24"/>
          <w:szCs w:val="26"/>
          <w:lang w:eastAsia="fr-CA"/>
        </w:rPr>
        <w:t xml:space="preserve">Déposer une fiche détaillée pour chaque programme, </w:t>
      </w:r>
      <w:r w:rsidR="004E1652" w:rsidRPr="00D5285C">
        <w:rPr>
          <w:rFonts w:cs="Calibri"/>
          <w:b w:val="0"/>
          <w:color w:val="000000"/>
          <w:sz w:val="24"/>
          <w:szCs w:val="26"/>
          <w:lang w:eastAsia="fr-CA"/>
        </w:rPr>
        <w:t>volet</w:t>
      </w:r>
      <w:r w:rsidRPr="00D5285C">
        <w:rPr>
          <w:rFonts w:cs="Calibri"/>
          <w:b w:val="0"/>
          <w:color w:val="000000"/>
          <w:sz w:val="24"/>
          <w:szCs w:val="26"/>
          <w:lang w:eastAsia="fr-CA"/>
        </w:rPr>
        <w:t>s et mesure</w:t>
      </w:r>
      <w:r w:rsidR="004E1652" w:rsidRPr="00D5285C">
        <w:rPr>
          <w:rFonts w:cs="Calibri"/>
          <w:b w:val="0"/>
          <w:color w:val="000000"/>
          <w:sz w:val="24"/>
          <w:szCs w:val="26"/>
          <w:lang w:eastAsia="fr-CA"/>
        </w:rPr>
        <w:t>s</w:t>
      </w:r>
      <w:r w:rsidRPr="00D5285C">
        <w:rPr>
          <w:rFonts w:cs="Calibri"/>
          <w:b w:val="0"/>
          <w:color w:val="000000"/>
          <w:sz w:val="24"/>
          <w:szCs w:val="26"/>
          <w:lang w:eastAsia="fr-CA"/>
        </w:rPr>
        <w:t xml:space="preserve"> à l’image de celle décrite </w:t>
      </w:r>
      <w:r w:rsidR="00187F33" w:rsidRPr="00D5285C">
        <w:rPr>
          <w:rFonts w:cs="Calibri"/>
          <w:b w:val="0"/>
          <w:color w:val="000000"/>
          <w:sz w:val="24"/>
          <w:szCs w:val="26"/>
          <w:lang w:eastAsia="fr-CA"/>
        </w:rPr>
        <w:t xml:space="preserve">au point </w:t>
      </w:r>
      <w:r w:rsidR="004E1652" w:rsidRPr="00D5285C">
        <w:rPr>
          <w:rFonts w:cs="Calibri"/>
          <w:b w:val="0"/>
          <w:color w:val="000000"/>
          <w:sz w:val="24"/>
          <w:szCs w:val="26"/>
          <w:lang w:eastAsia="fr-CA"/>
        </w:rPr>
        <w:t>71</w:t>
      </w:r>
      <w:r w:rsidRPr="00D5285C">
        <w:rPr>
          <w:rFonts w:cs="Calibri"/>
          <w:b w:val="0"/>
          <w:color w:val="000000"/>
          <w:sz w:val="24"/>
          <w:szCs w:val="26"/>
          <w:lang w:eastAsia="fr-CA"/>
        </w:rPr>
        <w:t>, de façon à</w:t>
      </w:r>
      <w:r w:rsidR="00C21C44" w:rsidRPr="00D5285C">
        <w:rPr>
          <w:rFonts w:cs="Calibri"/>
          <w:b w:val="0"/>
          <w:color w:val="000000"/>
          <w:sz w:val="24"/>
          <w:szCs w:val="26"/>
          <w:lang w:eastAsia="fr-CA"/>
        </w:rPr>
        <w:t xml:space="preserve"> </w:t>
      </w:r>
      <w:r w:rsidRPr="00D5285C">
        <w:rPr>
          <w:rFonts w:cs="Calibri"/>
          <w:b w:val="0"/>
          <w:color w:val="000000"/>
          <w:sz w:val="24"/>
          <w:szCs w:val="26"/>
          <w:lang w:eastAsia="fr-CA"/>
        </w:rPr>
        <w:t>permettre la comparaison entre les prévisions annuelles du dossier tarifaire et celles approuvées par la Régie lors du dossier d’examen du</w:t>
      </w:r>
      <w:r w:rsidR="00C21C44" w:rsidRPr="00D5285C">
        <w:rPr>
          <w:rFonts w:cs="Calibri"/>
          <w:b w:val="0"/>
          <w:color w:val="000000"/>
          <w:sz w:val="24"/>
          <w:szCs w:val="26"/>
          <w:lang w:eastAsia="fr-CA"/>
        </w:rPr>
        <w:t xml:space="preserve"> </w:t>
      </w:r>
      <w:r w:rsidR="00FF2349" w:rsidRPr="00D5285C">
        <w:rPr>
          <w:rFonts w:cs="Calibri"/>
          <w:b w:val="0"/>
          <w:bCs w:val="0"/>
          <w:i/>
          <w:sz w:val="24"/>
          <w:szCs w:val="24"/>
        </w:rPr>
        <w:t>Plan directeur</w:t>
      </w:r>
      <w:r w:rsidR="00C21C44" w:rsidRPr="00D5285C">
        <w:rPr>
          <w:rFonts w:cs="Calibri"/>
          <w:b w:val="0"/>
          <w:color w:val="000000"/>
          <w:sz w:val="24"/>
          <w:szCs w:val="26"/>
          <w:lang w:eastAsia="fr-CA"/>
        </w:rPr>
        <w:t xml:space="preserve"> en vigueur.</w:t>
      </w:r>
    </w:p>
    <w:p w14:paraId="1B131423" w14:textId="77777777" w:rsidR="001E2D82" w:rsidRPr="003C02A0" w:rsidRDefault="001E2D82" w:rsidP="00352626">
      <w:pPr>
        <w:rPr>
          <w:rFonts w:cs="Calibri"/>
          <w:color w:val="000000"/>
          <w:lang w:eastAsia="fr-CA"/>
        </w:rPr>
      </w:pPr>
    </w:p>
    <w:p w14:paraId="45F84986" w14:textId="77777777" w:rsidR="001E2D82" w:rsidRPr="005003C2" w:rsidRDefault="00AA550E" w:rsidP="005003C2">
      <w:pPr>
        <w:pStyle w:val="TitreS2"/>
        <w:keepNext/>
        <w:spacing w:before="200" w:after="0"/>
        <w:rPr>
          <w:rFonts w:cs="Calibri"/>
          <w:i/>
          <w:sz w:val="28"/>
          <w:szCs w:val="28"/>
          <w:lang w:eastAsia="fr-CA"/>
        </w:rPr>
      </w:pPr>
      <w:r w:rsidRPr="005003C2">
        <w:rPr>
          <w:rFonts w:cs="Calibri"/>
          <w:i/>
          <w:sz w:val="28"/>
          <w:szCs w:val="28"/>
          <w:lang w:eastAsia="fr-CA"/>
        </w:rPr>
        <w:t>Justification des ajustements à la marge</w:t>
      </w:r>
    </w:p>
    <w:p w14:paraId="6129661B" w14:textId="10429EA6" w:rsidR="001E2D82" w:rsidRPr="003C02A0" w:rsidRDefault="00AA550E" w:rsidP="00352626">
      <w:pPr>
        <w:pStyle w:val="TitreS2"/>
        <w:numPr>
          <w:ilvl w:val="3"/>
          <w:numId w:val="8"/>
        </w:numPr>
        <w:spacing w:before="200" w:after="0"/>
        <w:ind w:left="567" w:hanging="567"/>
        <w:rPr>
          <w:rFonts w:cs="Calibri"/>
          <w:b w:val="0"/>
          <w:color w:val="000000"/>
          <w:sz w:val="24"/>
          <w:szCs w:val="26"/>
          <w:lang w:eastAsia="fr-CA"/>
        </w:rPr>
      </w:pPr>
      <w:r w:rsidRPr="003C02A0">
        <w:rPr>
          <w:rFonts w:cs="Calibri"/>
          <w:b w:val="0"/>
          <w:color w:val="000000"/>
          <w:sz w:val="24"/>
          <w:szCs w:val="26"/>
          <w:lang w:eastAsia="fr-CA"/>
        </w:rPr>
        <w:t xml:space="preserve">Fournir </w:t>
      </w:r>
      <w:r w:rsidRPr="003C02A0">
        <w:rPr>
          <w:rFonts w:cs="Calibri"/>
          <w:b w:val="0"/>
          <w:color w:val="000000"/>
          <w:sz w:val="24"/>
          <w:szCs w:val="26"/>
          <w:lang w:val="fr-FR" w:eastAsia="fr-CA"/>
        </w:rPr>
        <w:t>des</w:t>
      </w:r>
      <w:r w:rsidRPr="003C02A0">
        <w:rPr>
          <w:rFonts w:cs="Calibri"/>
          <w:b w:val="0"/>
          <w:color w:val="000000"/>
          <w:sz w:val="24"/>
          <w:szCs w:val="26"/>
          <w:lang w:eastAsia="fr-CA"/>
        </w:rPr>
        <w:t xml:space="preserve"> explications à l’égard des ajustements à la marge effectuées en faisant le lien </w:t>
      </w:r>
      <w:r w:rsidR="004E1652">
        <w:rPr>
          <w:rFonts w:cs="Calibri"/>
          <w:b w:val="0"/>
          <w:color w:val="000000"/>
          <w:sz w:val="24"/>
          <w:szCs w:val="26"/>
          <w:lang w:eastAsia="fr-CA"/>
        </w:rPr>
        <w:t xml:space="preserve">avec les modifications telles que présentées </w:t>
      </w:r>
      <w:r w:rsidRPr="003C02A0">
        <w:rPr>
          <w:rFonts w:cs="Calibri"/>
          <w:b w:val="0"/>
          <w:color w:val="000000"/>
          <w:sz w:val="24"/>
          <w:szCs w:val="26"/>
          <w:lang w:eastAsia="fr-CA"/>
        </w:rPr>
        <w:t xml:space="preserve">aux fiches </w:t>
      </w:r>
      <w:r w:rsidR="00187F33" w:rsidRPr="00352626">
        <w:rPr>
          <w:rFonts w:cs="Calibri"/>
          <w:b w:val="0"/>
          <w:color w:val="000000"/>
          <w:sz w:val="24"/>
          <w:szCs w:val="26"/>
          <w:lang w:eastAsia="fr-CA"/>
        </w:rPr>
        <w:t xml:space="preserve">au point </w:t>
      </w:r>
      <w:r w:rsidR="004E1652">
        <w:rPr>
          <w:rFonts w:cs="Calibri"/>
          <w:b w:val="0"/>
          <w:color w:val="000000"/>
          <w:sz w:val="24"/>
          <w:szCs w:val="26"/>
          <w:lang w:eastAsia="fr-CA"/>
        </w:rPr>
        <w:t>précédent</w:t>
      </w:r>
      <w:r w:rsidRPr="003C02A0">
        <w:rPr>
          <w:rFonts w:cs="Calibri"/>
          <w:b w:val="0"/>
          <w:color w:val="000000"/>
          <w:sz w:val="24"/>
          <w:szCs w:val="26"/>
          <w:lang w:eastAsia="fr-CA"/>
        </w:rPr>
        <w:t>.</w:t>
      </w:r>
    </w:p>
    <w:p w14:paraId="0C3EFE24" w14:textId="77777777" w:rsidR="00DE3724" w:rsidRPr="007A380D" w:rsidRDefault="00DE3724" w:rsidP="00352626">
      <w:pPr>
        <w:rPr>
          <w:rFonts w:cs="Calibri"/>
          <w:bCs/>
          <w:color w:val="000000"/>
          <w:highlight w:val="lightGray"/>
        </w:rPr>
      </w:pPr>
    </w:p>
    <w:p w14:paraId="427F50E7" w14:textId="086B20AA" w:rsidR="00E65694" w:rsidRPr="009C797D" w:rsidRDefault="00AA550E" w:rsidP="005003C2">
      <w:pPr>
        <w:pStyle w:val="Titre1"/>
        <w:keepNext/>
        <w:rPr>
          <w:rFonts w:cs="Calibri"/>
        </w:rPr>
      </w:pPr>
      <w:bookmarkStart w:id="44" w:name="_Toc124329943"/>
      <w:r>
        <w:rPr>
          <w:rFonts w:cs="Calibri"/>
        </w:rPr>
        <w:lastRenderedPageBreak/>
        <w:t>Informations spécifiques en lien avec les p</w:t>
      </w:r>
      <w:r w:rsidRPr="009C797D">
        <w:rPr>
          <w:rFonts w:cs="Calibri"/>
        </w:rPr>
        <w:t>rojets d’investissement</w:t>
      </w:r>
      <w:bookmarkEnd w:id="44"/>
    </w:p>
    <w:p w14:paraId="294F8A3B" w14:textId="62EE6E0C" w:rsidR="007A380D" w:rsidRDefault="007A380D" w:rsidP="005003C2">
      <w:pPr>
        <w:keepNext/>
        <w:rPr>
          <w:rFonts w:cs="Calibri"/>
          <w:lang w:val="fr-FR"/>
        </w:rPr>
      </w:pPr>
    </w:p>
    <w:p w14:paraId="5C9BFEFB" w14:textId="2784B286" w:rsidR="00294A7E" w:rsidRPr="00325D53" w:rsidRDefault="00AA550E" w:rsidP="005003C2">
      <w:pPr>
        <w:pStyle w:val="Titre2"/>
        <w:keepNext/>
        <w:spacing w:before="200" w:after="0"/>
      </w:pPr>
      <w:bookmarkStart w:id="45" w:name="_Toc117263159"/>
      <w:bookmarkStart w:id="46" w:name="_Toc124329944"/>
      <w:r w:rsidRPr="00325D53">
        <w:t>Contexte juridique et r</w:t>
      </w:r>
      <w:r>
        <w:t>è</w:t>
      </w:r>
      <w:r w:rsidRPr="00325D53">
        <w:t>glementaire</w:t>
      </w:r>
      <w:bookmarkEnd w:id="45"/>
      <w:bookmarkEnd w:id="46"/>
    </w:p>
    <w:p w14:paraId="70009D9F" w14:textId="77777777" w:rsidR="00294A7E" w:rsidRPr="007A380D" w:rsidRDefault="00294A7E" w:rsidP="005003C2">
      <w:pPr>
        <w:keepNext/>
        <w:rPr>
          <w:rFonts w:cs="Calibri"/>
          <w:lang w:val="fr-FR"/>
        </w:rPr>
      </w:pPr>
    </w:p>
    <w:p w14:paraId="3086C93B" w14:textId="0948C608" w:rsidR="00503C51" w:rsidRPr="00325D53" w:rsidRDefault="00AA550E" w:rsidP="005003C2">
      <w:pPr>
        <w:keepNext/>
        <w:spacing w:before="200" w:after="0"/>
        <w:rPr>
          <w:rFonts w:cs="Calibri"/>
          <w:szCs w:val="24"/>
          <w:lang w:eastAsia="fr-CA"/>
        </w:rPr>
      </w:pPr>
      <w:r w:rsidRPr="00325D53">
        <w:rPr>
          <w:rFonts w:cs="Calibri"/>
          <w:szCs w:val="24"/>
          <w:lang w:eastAsia="fr-CA"/>
        </w:rPr>
        <w:t>Les articles 33, 73 et 114 de la</w:t>
      </w:r>
      <w:r>
        <w:rPr>
          <w:rFonts w:cs="Calibri"/>
          <w:szCs w:val="24"/>
          <w:lang w:eastAsia="fr-CA"/>
        </w:rPr>
        <w:t xml:space="preserve"> Loi, ainsi que le</w:t>
      </w:r>
      <w:r w:rsidRPr="00325D53">
        <w:rPr>
          <w:rFonts w:cs="Calibri"/>
          <w:color w:val="333333"/>
          <w:szCs w:val="24"/>
          <w:lang w:val="fr-FR"/>
        </w:rPr>
        <w:t xml:space="preserve"> </w:t>
      </w:r>
      <w:hyperlink r:id="rId38" w:history="1">
        <w:r w:rsidR="00AB0E3E" w:rsidRPr="004E6445">
          <w:rPr>
            <w:rFonts w:cs="Calibri"/>
            <w:bCs/>
            <w:i/>
            <w:szCs w:val="24"/>
            <w:lang w:val="fr-FR"/>
          </w:rPr>
          <w:t>Règlement sur les conditions</w:t>
        </w:r>
      </w:hyperlink>
      <w:r w:rsidRPr="00325D53">
        <w:rPr>
          <w:rFonts w:cs="Calibri"/>
          <w:b/>
          <w:i/>
          <w:szCs w:val="24"/>
        </w:rPr>
        <w:t xml:space="preserve"> </w:t>
      </w:r>
      <w:r w:rsidRPr="00BF4E69">
        <w:rPr>
          <w:rFonts w:cs="Calibri"/>
          <w:szCs w:val="24"/>
          <w:lang w:val="fr-FR"/>
        </w:rPr>
        <w:t xml:space="preserve">encadrent les </w:t>
      </w:r>
      <w:r>
        <w:rPr>
          <w:rFonts w:cs="Calibri"/>
          <w:szCs w:val="24"/>
          <w:lang w:val="fr-FR"/>
        </w:rPr>
        <w:t xml:space="preserve">demandes d’autorisation des </w:t>
      </w:r>
      <w:r w:rsidRPr="00BF4E69">
        <w:rPr>
          <w:rFonts w:cs="Calibri"/>
          <w:szCs w:val="24"/>
          <w:lang w:val="fr-FR"/>
        </w:rPr>
        <w:t>projets d’investissement.</w:t>
      </w:r>
      <w:r w:rsidRPr="003576F1">
        <w:rPr>
          <w:rFonts w:cs="Calibri"/>
          <w:szCs w:val="24"/>
          <w:lang w:eastAsia="fr-CA"/>
        </w:rPr>
        <w:t xml:space="preserve"> </w:t>
      </w:r>
      <w:r w:rsidR="004E1652">
        <w:rPr>
          <w:rFonts w:cs="Calibri"/>
          <w:szCs w:val="24"/>
          <w:lang w:eastAsia="fr-CA"/>
        </w:rPr>
        <w:t>L</w:t>
      </w:r>
      <w:r w:rsidR="004E1652" w:rsidRPr="00325D53">
        <w:rPr>
          <w:rFonts w:cs="Calibri"/>
          <w:szCs w:val="24"/>
          <w:lang w:eastAsia="fr-CA"/>
        </w:rPr>
        <w:t xml:space="preserve">a Régie doit </w:t>
      </w:r>
      <w:r w:rsidR="004E1652">
        <w:rPr>
          <w:rFonts w:cs="Calibri"/>
          <w:szCs w:val="24"/>
          <w:lang w:eastAsia="fr-CA"/>
        </w:rPr>
        <w:t>notamment</w:t>
      </w:r>
      <w:r w:rsidR="004E1652" w:rsidRPr="00325D53">
        <w:rPr>
          <w:rFonts w:cs="Calibri"/>
          <w:szCs w:val="24"/>
          <w:lang w:eastAsia="fr-CA"/>
        </w:rPr>
        <w:t xml:space="preserve"> obtenir un avis de la Commission de protection du territoire agricole du Québec</w:t>
      </w:r>
      <w:r w:rsidRPr="00325D53">
        <w:rPr>
          <w:rFonts w:cs="Calibri"/>
          <w:szCs w:val="24"/>
          <w:lang w:eastAsia="fr-CA"/>
        </w:rPr>
        <w:t xml:space="preserve"> avant de rendre une décision qui peut modifier l’utilisation d’un immeuble situé dans une aire retenue pour fins de contrôle ou dans une zone agricole établie suivant la </w:t>
      </w:r>
      <w:r w:rsidRPr="004E6445">
        <w:rPr>
          <w:rFonts w:cs="Calibri"/>
          <w:i/>
          <w:szCs w:val="24"/>
          <w:lang w:eastAsia="fr-CA"/>
        </w:rPr>
        <w:t>Loi sur la protection du territoire et des activités agricoles</w:t>
      </w:r>
      <w:r>
        <w:rPr>
          <w:rStyle w:val="Appelnotedebasdep"/>
          <w:rFonts w:cs="Calibri"/>
          <w:szCs w:val="24"/>
          <w:lang w:eastAsia="fr-CA"/>
        </w:rPr>
        <w:footnoteReference w:id="41"/>
      </w:r>
      <w:r w:rsidRPr="00325D53">
        <w:rPr>
          <w:rFonts w:cs="Calibri"/>
          <w:szCs w:val="24"/>
          <w:lang w:eastAsia="fr-CA"/>
        </w:rPr>
        <w:t>,.</w:t>
      </w:r>
    </w:p>
    <w:p w14:paraId="3DE2B500" w14:textId="30134472" w:rsidR="00503C51" w:rsidRDefault="00AA550E" w:rsidP="00352626">
      <w:pPr>
        <w:spacing w:before="200" w:after="0"/>
        <w:rPr>
          <w:rFonts w:cs="Calibri"/>
          <w:szCs w:val="24"/>
        </w:rPr>
      </w:pPr>
      <w:r w:rsidRPr="00325D53">
        <w:rPr>
          <w:rFonts w:cs="Calibri"/>
          <w:szCs w:val="24"/>
          <w:lang w:eastAsia="fr-CA"/>
        </w:rPr>
        <w:t>Une autorisation de la Régie est requise pour</w:t>
      </w:r>
      <w:r>
        <w:rPr>
          <w:rFonts w:cs="Calibri"/>
          <w:szCs w:val="24"/>
          <w:lang w:eastAsia="fr-CA"/>
        </w:rPr>
        <w:t xml:space="preserve"> </w:t>
      </w:r>
      <w:r w:rsidRPr="00325D53">
        <w:rPr>
          <w:rFonts w:cs="Calibri"/>
          <w:szCs w:val="24"/>
          <w:lang w:eastAsia="fr-CA"/>
        </w:rPr>
        <w:t>acquérir, construire ou disposer des im</w:t>
      </w:r>
      <w:r>
        <w:rPr>
          <w:rFonts w:cs="Calibri"/>
          <w:szCs w:val="24"/>
          <w:lang w:eastAsia="fr-CA"/>
        </w:rPr>
        <w:t xml:space="preserve">meubles ou des actifs destinés </w:t>
      </w:r>
      <w:r w:rsidRPr="00325D53">
        <w:rPr>
          <w:rFonts w:cs="Calibri"/>
          <w:szCs w:val="24"/>
          <w:lang w:eastAsia="fr-CA"/>
        </w:rPr>
        <w:t xml:space="preserve">à la distribution ainsi que pour étendre, modifier ou changer l’utilisation du réseau de distribution dans le cadre d’un projet </w:t>
      </w:r>
      <w:r w:rsidRPr="00325D53">
        <w:rPr>
          <w:rFonts w:cs="Calibri"/>
          <w:szCs w:val="24"/>
        </w:rPr>
        <w:t>d’investissement d’un coût</w:t>
      </w:r>
      <w:r>
        <w:rPr>
          <w:rFonts w:cs="Calibri"/>
          <w:szCs w:val="24"/>
        </w:rPr>
        <w:t xml:space="preserve"> égal ou</w:t>
      </w:r>
      <w:r w:rsidRPr="00325D53">
        <w:rPr>
          <w:rFonts w:cs="Calibri"/>
          <w:szCs w:val="24"/>
        </w:rPr>
        <w:t xml:space="preserve"> supérieur à </w:t>
      </w:r>
      <w:r>
        <w:rPr>
          <w:rFonts w:cs="Calibri"/>
          <w:szCs w:val="24"/>
        </w:rPr>
        <w:t>1</w:t>
      </w:r>
      <w:r w:rsidR="004E1652">
        <w:rPr>
          <w:rFonts w:cs="Calibri"/>
          <w:szCs w:val="24"/>
        </w:rPr>
        <w:t>,</w:t>
      </w:r>
      <w:r>
        <w:rPr>
          <w:rFonts w:cs="Calibri"/>
          <w:szCs w:val="24"/>
        </w:rPr>
        <w:t>2</w:t>
      </w:r>
      <w:r w:rsidR="004E1652">
        <w:rPr>
          <w:rFonts w:cs="Calibri"/>
          <w:szCs w:val="24"/>
        </w:rPr>
        <w:t xml:space="preserve"> M</w:t>
      </w:r>
      <w:r>
        <w:rPr>
          <w:rFonts w:cs="Calibri"/>
          <w:szCs w:val="24"/>
        </w:rPr>
        <w:t>$.</w:t>
      </w:r>
      <w:r w:rsidRPr="00304740">
        <w:rPr>
          <w:rFonts w:ascii="Arial" w:hAnsi="Arial"/>
          <w:color w:val="333333"/>
          <w:sz w:val="22"/>
          <w:szCs w:val="22"/>
          <w:shd w:val="clear" w:color="auto" w:fill="FFFFFF"/>
        </w:rPr>
        <w:t xml:space="preserve"> </w:t>
      </w:r>
      <w:r w:rsidRPr="00304740">
        <w:rPr>
          <w:rFonts w:cs="Calibri"/>
          <w:szCs w:val="24"/>
        </w:rPr>
        <w:t xml:space="preserve">Une autorisation est également requise pour les projets dont le coût est inférieur </w:t>
      </w:r>
      <w:r>
        <w:rPr>
          <w:rFonts w:cs="Calibri"/>
          <w:szCs w:val="24"/>
        </w:rPr>
        <w:t>à ce seuil</w:t>
      </w:r>
      <w:r w:rsidRPr="00304740">
        <w:rPr>
          <w:rFonts w:cs="Calibri"/>
          <w:szCs w:val="24"/>
        </w:rPr>
        <w:t xml:space="preserve"> et qui n’ont pas encore été reconnus prudemment acquis et utiles pour l’exploitation du réseau </w:t>
      </w:r>
      <w:r>
        <w:rPr>
          <w:rFonts w:cs="Calibri"/>
          <w:szCs w:val="24"/>
        </w:rPr>
        <w:t xml:space="preserve">de </w:t>
      </w:r>
      <w:r w:rsidRPr="00304740">
        <w:rPr>
          <w:rFonts w:cs="Calibri"/>
          <w:szCs w:val="24"/>
        </w:rPr>
        <w:t>gaz naturel en vertu de l’article 49 de la Loi</w:t>
      </w:r>
      <w:r>
        <w:rPr>
          <w:rFonts w:cs="Calibri"/>
          <w:szCs w:val="24"/>
        </w:rPr>
        <w:t>.</w:t>
      </w:r>
    </w:p>
    <w:p w14:paraId="3D468F4D" w14:textId="0D6872BC" w:rsidR="00503C51" w:rsidRDefault="00503C51" w:rsidP="00352626">
      <w:pPr>
        <w:rPr>
          <w:rFonts w:cs="Calibri"/>
          <w:szCs w:val="24"/>
        </w:rPr>
      </w:pPr>
    </w:p>
    <w:p w14:paraId="4EEDCBB9" w14:textId="77777777" w:rsidR="00E65694" w:rsidRPr="002B37B5" w:rsidRDefault="00E65694" w:rsidP="00352626">
      <w:pPr>
        <w:pStyle w:val="Paragraphedeliste"/>
        <w:spacing w:after="60" w:line="264" w:lineRule="auto"/>
        <w:ind w:left="0"/>
        <w:contextualSpacing w:val="0"/>
        <w:jc w:val="both"/>
        <w:rPr>
          <w:rFonts w:cs="Calibri"/>
          <w:sz w:val="24"/>
          <w:szCs w:val="24"/>
        </w:rPr>
      </w:pPr>
    </w:p>
    <w:p w14:paraId="280613C5" w14:textId="55B288EF" w:rsidR="00E65694" w:rsidRPr="009C797D" w:rsidRDefault="00AA550E" w:rsidP="00352626">
      <w:pPr>
        <w:pStyle w:val="Titre2"/>
        <w:keepNext/>
        <w:tabs>
          <w:tab w:val="clear" w:pos="709"/>
          <w:tab w:val="num" w:pos="851"/>
        </w:tabs>
        <w:ind w:left="851" w:hanging="851"/>
        <w:rPr>
          <w:rFonts w:cs="Calibri"/>
        </w:rPr>
      </w:pPr>
      <w:bookmarkStart w:id="47" w:name="_Toc124329945"/>
      <w:r>
        <w:rPr>
          <w:rFonts w:cs="Calibri"/>
        </w:rPr>
        <w:t>Projets</w:t>
      </w:r>
      <w:r w:rsidRPr="009C797D">
        <w:rPr>
          <w:rFonts w:cs="Calibri"/>
        </w:rPr>
        <w:t xml:space="preserve"> dont le</w:t>
      </w:r>
      <w:r>
        <w:rPr>
          <w:rFonts w:cs="Calibri"/>
        </w:rPr>
        <w:t>s</w:t>
      </w:r>
      <w:r w:rsidRPr="009C797D">
        <w:rPr>
          <w:rFonts w:cs="Calibri"/>
        </w:rPr>
        <w:t xml:space="preserve"> coût</w:t>
      </w:r>
      <w:r>
        <w:rPr>
          <w:rFonts w:cs="Calibri"/>
        </w:rPr>
        <w:t>s sont</w:t>
      </w:r>
      <w:r w:rsidRPr="009C797D">
        <w:rPr>
          <w:rFonts w:cs="Calibri"/>
        </w:rPr>
        <w:t xml:space="preserve"> </w:t>
      </w:r>
      <w:r>
        <w:rPr>
          <w:rFonts w:cs="Calibri"/>
        </w:rPr>
        <w:t>égaux ou s</w:t>
      </w:r>
      <w:r w:rsidRPr="009C797D">
        <w:rPr>
          <w:rFonts w:cs="Calibri"/>
        </w:rPr>
        <w:t>upérieur</w:t>
      </w:r>
      <w:r>
        <w:rPr>
          <w:rFonts w:cs="Calibri"/>
        </w:rPr>
        <w:t>s</w:t>
      </w:r>
      <w:r w:rsidRPr="009C797D">
        <w:rPr>
          <w:rFonts w:cs="Calibri"/>
        </w:rPr>
        <w:t xml:space="preserve"> </w:t>
      </w:r>
      <w:r>
        <w:rPr>
          <w:rFonts w:cs="Calibri"/>
        </w:rPr>
        <w:t>à 1,2 M$</w:t>
      </w:r>
      <w:bookmarkEnd w:id="47"/>
    </w:p>
    <w:p w14:paraId="258478D2" w14:textId="77777777" w:rsidR="00085B42" w:rsidRDefault="00AA550E" w:rsidP="00352626">
      <w:pPr>
        <w:pStyle w:val="TitreS2"/>
        <w:keepNext/>
        <w:spacing w:before="200" w:after="0"/>
        <w:ind w:left="360" w:hanging="360"/>
        <w:rPr>
          <w:rFonts w:cs="Calibri"/>
          <w:b w:val="0"/>
          <w:bCs w:val="0"/>
          <w:sz w:val="24"/>
          <w:szCs w:val="24"/>
          <w:lang w:eastAsia="fr-CA"/>
        </w:rPr>
      </w:pPr>
      <w:r w:rsidRPr="00325D53">
        <w:rPr>
          <w:rFonts w:cs="Calibri"/>
          <w:b w:val="0"/>
          <w:bCs w:val="0"/>
          <w:sz w:val="24"/>
          <w:szCs w:val="24"/>
          <w:lang w:eastAsia="fr-CA"/>
        </w:rPr>
        <w:t>Fournir les informations requises pour chacune des sous</w:t>
      </w:r>
      <w:r>
        <w:rPr>
          <w:rFonts w:cs="Calibri"/>
          <w:b w:val="0"/>
          <w:bCs w:val="0"/>
          <w:sz w:val="24"/>
          <w:szCs w:val="24"/>
          <w:lang w:eastAsia="fr-CA"/>
        </w:rPr>
        <w:t>-</w:t>
      </w:r>
      <w:r w:rsidRPr="00325D53">
        <w:rPr>
          <w:rFonts w:cs="Calibri"/>
          <w:b w:val="0"/>
          <w:bCs w:val="0"/>
          <w:sz w:val="24"/>
          <w:szCs w:val="24"/>
          <w:lang w:eastAsia="fr-CA"/>
        </w:rPr>
        <w:t>sections suivantes :</w:t>
      </w:r>
    </w:p>
    <w:p w14:paraId="258CFE69" w14:textId="77777777" w:rsidR="002123E4" w:rsidRDefault="002123E4" w:rsidP="00352626">
      <w:pPr>
        <w:pStyle w:val="TitreS2"/>
        <w:keepNext/>
        <w:spacing w:before="200" w:after="0"/>
        <w:rPr>
          <w:rFonts w:cs="Calibri"/>
          <w:i/>
          <w:sz w:val="28"/>
          <w:szCs w:val="28"/>
          <w:lang w:eastAsia="fr-CA"/>
        </w:rPr>
      </w:pPr>
    </w:p>
    <w:p w14:paraId="661BCEB4" w14:textId="4B235552" w:rsidR="00085B42" w:rsidRPr="00D259D5" w:rsidRDefault="00AA550E" w:rsidP="00352626">
      <w:pPr>
        <w:pStyle w:val="TitreS2"/>
        <w:keepNext/>
        <w:spacing w:before="200" w:after="0"/>
        <w:rPr>
          <w:rFonts w:cs="Calibri"/>
          <w:i/>
          <w:sz w:val="28"/>
          <w:szCs w:val="28"/>
          <w:lang w:eastAsia="fr-CA"/>
        </w:rPr>
      </w:pPr>
      <w:r w:rsidRPr="00D259D5">
        <w:rPr>
          <w:rFonts w:cs="Calibri"/>
          <w:i/>
          <w:sz w:val="28"/>
          <w:szCs w:val="28"/>
          <w:lang w:eastAsia="fr-CA"/>
        </w:rPr>
        <w:t>Exigences de dépôt générales</w:t>
      </w:r>
    </w:p>
    <w:p w14:paraId="53D5B4FE" w14:textId="6E171BF9" w:rsidR="00085B42" w:rsidRPr="00FC6E0A" w:rsidRDefault="00AA550E" w:rsidP="00352626">
      <w:pPr>
        <w:pStyle w:val="TitreS2"/>
        <w:numPr>
          <w:ilvl w:val="3"/>
          <w:numId w:val="8"/>
        </w:numPr>
        <w:spacing w:before="200" w:after="0"/>
        <w:ind w:left="567" w:hanging="567"/>
        <w:rPr>
          <w:rFonts w:cs="Calibri"/>
          <w:b w:val="0"/>
          <w:iCs/>
          <w:color w:val="000000"/>
          <w:sz w:val="24"/>
          <w:szCs w:val="24"/>
        </w:rPr>
      </w:pPr>
      <w:r w:rsidRPr="00FC6E0A">
        <w:rPr>
          <w:rFonts w:cs="Calibri"/>
          <w:b w:val="0"/>
          <w:color w:val="000000"/>
          <w:sz w:val="24"/>
          <w:szCs w:val="24"/>
        </w:rPr>
        <w:t xml:space="preserve">Une demande d’autorisation conforme aux exigences </w:t>
      </w:r>
      <w:r w:rsidRPr="00FC6E0A">
        <w:rPr>
          <w:rFonts w:cs="Calibri"/>
          <w:b w:val="0"/>
          <w:iCs/>
          <w:sz w:val="24"/>
          <w:szCs w:val="24"/>
        </w:rPr>
        <w:t xml:space="preserve">du </w:t>
      </w:r>
      <w:hyperlink r:id="rId39" w:history="1">
        <w:r w:rsidRPr="004E6445">
          <w:rPr>
            <w:rFonts w:cs="Calibri"/>
            <w:b w:val="0"/>
            <w:i/>
            <w:sz w:val="24"/>
            <w:szCs w:val="24"/>
            <w:lang w:val="fr-FR"/>
          </w:rPr>
          <w:t>Règlement sur les conditions</w:t>
        </w:r>
      </w:hyperlink>
      <w:r w:rsidRPr="00FC6E0A">
        <w:rPr>
          <w:rFonts w:cs="Calibri"/>
          <w:b w:val="0"/>
          <w:sz w:val="24"/>
          <w:szCs w:val="24"/>
        </w:rPr>
        <w:t xml:space="preserve">. </w:t>
      </w:r>
      <w:r w:rsidRPr="00FC6E0A">
        <w:rPr>
          <w:rFonts w:cs="Calibri"/>
          <w:b w:val="0"/>
          <w:color w:val="000000"/>
          <w:sz w:val="24"/>
          <w:szCs w:val="24"/>
        </w:rPr>
        <w:t xml:space="preserve">La demande doit être accompagnée des </w:t>
      </w:r>
      <w:r w:rsidR="00A15FCC">
        <w:rPr>
          <w:rFonts w:cs="Calibri"/>
          <w:b w:val="0"/>
          <w:color w:val="000000"/>
          <w:sz w:val="24"/>
          <w:szCs w:val="24"/>
        </w:rPr>
        <w:t>affirmations solennell</w:t>
      </w:r>
      <w:r w:rsidR="00A15FCC" w:rsidRPr="00FC6E0A">
        <w:rPr>
          <w:rFonts w:cs="Calibri"/>
          <w:b w:val="0"/>
          <w:color w:val="000000"/>
          <w:sz w:val="24"/>
          <w:szCs w:val="24"/>
        </w:rPr>
        <w:t>es</w:t>
      </w:r>
      <w:r w:rsidRPr="00FC6E0A">
        <w:rPr>
          <w:rFonts w:cs="Calibri"/>
          <w:b w:val="0"/>
          <w:color w:val="000000"/>
          <w:sz w:val="24"/>
          <w:szCs w:val="24"/>
        </w:rPr>
        <w:t xml:space="preserve"> requis</w:t>
      </w:r>
      <w:r w:rsidR="00A15FCC">
        <w:rPr>
          <w:rFonts w:cs="Calibri"/>
          <w:b w:val="0"/>
          <w:color w:val="000000"/>
          <w:sz w:val="24"/>
          <w:szCs w:val="24"/>
        </w:rPr>
        <w:t>es</w:t>
      </w:r>
      <w:r w:rsidRPr="00FC6E0A">
        <w:rPr>
          <w:rFonts w:cs="Calibri"/>
          <w:b w:val="0"/>
          <w:color w:val="000000"/>
          <w:sz w:val="24"/>
          <w:szCs w:val="24"/>
        </w:rPr>
        <w:t>.</w:t>
      </w:r>
    </w:p>
    <w:p w14:paraId="488D59CD" w14:textId="28D3D901" w:rsidR="00085B42" w:rsidRPr="00FC6E0A" w:rsidRDefault="00137EB4" w:rsidP="00352626">
      <w:pPr>
        <w:pStyle w:val="TitreS2"/>
        <w:numPr>
          <w:ilvl w:val="3"/>
          <w:numId w:val="8"/>
        </w:numPr>
        <w:spacing w:before="200" w:after="0"/>
        <w:ind w:left="567" w:hanging="567"/>
        <w:rPr>
          <w:rFonts w:cs="Calibri"/>
          <w:b w:val="0"/>
          <w:sz w:val="24"/>
          <w:szCs w:val="24"/>
        </w:rPr>
      </w:pPr>
      <w:r>
        <w:rPr>
          <w:rStyle w:val="texte-courant1"/>
          <w:rFonts w:cs="Calibri"/>
          <w:b w:val="0"/>
          <w:sz w:val="24"/>
          <w:szCs w:val="24"/>
          <w:lang w:val="fr-FR"/>
        </w:rPr>
        <w:t xml:space="preserve">Contextualiser la demande en s’appuyant </w:t>
      </w:r>
      <w:r w:rsidR="00AA550E" w:rsidRPr="00FC6E0A">
        <w:rPr>
          <w:rStyle w:val="texte-courant1"/>
          <w:rFonts w:cs="Calibri"/>
          <w:b w:val="0"/>
          <w:sz w:val="24"/>
          <w:szCs w:val="24"/>
          <w:lang w:val="fr-FR"/>
        </w:rPr>
        <w:t>sur l’application de la Loi, de ses règlements et des ordonnances ou décisions de la Régie, le cas échéant.</w:t>
      </w:r>
    </w:p>
    <w:p w14:paraId="540429EA" w14:textId="3E61246A" w:rsidR="00085B42" w:rsidRPr="004066FA" w:rsidRDefault="00085B42" w:rsidP="00352626">
      <w:pPr>
        <w:spacing w:after="120" w:line="249" w:lineRule="auto"/>
        <w:rPr>
          <w:rFonts w:cs="Calibri"/>
          <w:bCs/>
          <w:color w:val="000000"/>
          <w:szCs w:val="22"/>
        </w:rPr>
      </w:pPr>
    </w:p>
    <w:p w14:paraId="544AF04C" w14:textId="77777777" w:rsidR="004A753C" w:rsidRPr="005003C2" w:rsidRDefault="00AA550E" w:rsidP="005003C2">
      <w:pPr>
        <w:pStyle w:val="TitreS2"/>
        <w:keepNext/>
        <w:spacing w:before="200" w:after="0"/>
        <w:rPr>
          <w:i/>
          <w:sz w:val="28"/>
          <w:szCs w:val="28"/>
          <w:lang w:eastAsia="fr-CA"/>
        </w:rPr>
      </w:pPr>
      <w:r w:rsidRPr="005003C2">
        <w:rPr>
          <w:i/>
          <w:sz w:val="28"/>
          <w:szCs w:val="28"/>
          <w:lang w:eastAsia="fr-CA"/>
        </w:rPr>
        <w:lastRenderedPageBreak/>
        <w:t>Objectifs visés et description</w:t>
      </w:r>
    </w:p>
    <w:p w14:paraId="59F16847" w14:textId="77777777" w:rsidR="004A753C"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La description en détail du projet, de chacune de ses composantes, de la démarche de mise en œuvre et de l’échéancier.</w:t>
      </w:r>
    </w:p>
    <w:p w14:paraId="1D3A4F60" w14:textId="77777777" w:rsidR="004A753C"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La description et la quantification des objectifs du projet, en précisant, notamment, les catégories d’investissement appropriées.</w:t>
      </w:r>
    </w:p>
    <w:p w14:paraId="6103D8B6" w14:textId="77777777" w:rsidR="004A753C"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La description de la situation actuelle et des modifications apportées par le projet. Au besoin, description de l’ensemble des actions, des projets ou du programme dans lequel le projet s’inscrit.</w:t>
      </w:r>
    </w:p>
    <w:p w14:paraId="6B9D98DA" w14:textId="77777777" w:rsidR="004A753C"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Le cas échéant, la description des projets pilotes réalisés et de leurs résultats.</w:t>
      </w:r>
    </w:p>
    <w:p w14:paraId="17FDE220" w14:textId="77777777" w:rsidR="004A753C" w:rsidRPr="003C02A0" w:rsidRDefault="00AA550E" w:rsidP="00352626">
      <w:pPr>
        <w:pStyle w:val="TitreS2"/>
        <w:numPr>
          <w:ilvl w:val="3"/>
          <w:numId w:val="8"/>
        </w:numPr>
        <w:spacing w:before="200" w:after="0"/>
        <w:ind w:left="567" w:hanging="567"/>
        <w:rPr>
          <w:rFonts w:cs="Calibri"/>
          <w:b w:val="0"/>
          <w:color w:val="000000"/>
          <w:sz w:val="24"/>
          <w:szCs w:val="24"/>
        </w:rPr>
      </w:pPr>
      <w:r w:rsidRPr="003C02A0">
        <w:rPr>
          <w:rFonts w:cs="Calibri"/>
          <w:b w:val="0"/>
          <w:color w:val="000000"/>
          <w:sz w:val="24"/>
          <w:szCs w:val="24"/>
        </w:rPr>
        <w:t>La liste des principales normes techniques applicables au projet, identifiant celles qui motivent ou qui influencent le choix de la solution retenue et justifiant, au besoin, le choix de certaines normes (internes ou d’organismes externes).</w:t>
      </w:r>
    </w:p>
    <w:p w14:paraId="29B9C255" w14:textId="77777777" w:rsidR="00435854" w:rsidRPr="003C02A0" w:rsidRDefault="00435854" w:rsidP="00352626">
      <w:pPr>
        <w:pStyle w:val="Paragraphedeliste"/>
        <w:tabs>
          <w:tab w:val="center" w:pos="4547"/>
        </w:tabs>
        <w:spacing w:after="60" w:line="264" w:lineRule="auto"/>
        <w:ind w:left="567"/>
        <w:contextualSpacing w:val="0"/>
        <w:jc w:val="both"/>
        <w:rPr>
          <w:rFonts w:eastAsia="Times New Roman" w:cs="Calibri"/>
          <w:color w:val="000000"/>
          <w:sz w:val="24"/>
          <w:szCs w:val="26"/>
          <w:lang w:eastAsia="fr-CA"/>
        </w:rPr>
      </w:pPr>
    </w:p>
    <w:p w14:paraId="1660F7F9" w14:textId="77777777" w:rsidR="008739A4" w:rsidRPr="00D5285C" w:rsidRDefault="008739A4" w:rsidP="008739A4">
      <w:pPr>
        <w:spacing w:before="200" w:after="0"/>
        <w:rPr>
          <w:rStyle w:val="texte-courant1"/>
          <w:rFonts w:asciiTheme="minorHAnsi" w:hAnsiTheme="minorHAnsi" w:cstheme="minorHAnsi"/>
          <w:b/>
          <w:i/>
          <w:sz w:val="28"/>
          <w:szCs w:val="28"/>
          <w:lang w:val="fr-FR"/>
        </w:rPr>
      </w:pPr>
      <w:r w:rsidRPr="00D5285C">
        <w:rPr>
          <w:rStyle w:val="texte-courant1"/>
          <w:rFonts w:asciiTheme="minorHAnsi" w:hAnsiTheme="minorHAnsi" w:cstheme="minorHAnsi"/>
          <w:b/>
          <w:i/>
          <w:sz w:val="28"/>
          <w:szCs w:val="28"/>
          <w:lang w:val="fr-FR"/>
        </w:rPr>
        <w:t>Bénéfices non énergétiques (BNÉ)</w:t>
      </w:r>
    </w:p>
    <w:p w14:paraId="2115DA22" w14:textId="77777777" w:rsidR="008739A4" w:rsidRPr="00D5285C" w:rsidRDefault="008739A4" w:rsidP="008739A4">
      <w:pPr>
        <w:autoSpaceDE w:val="0"/>
        <w:autoSpaceDN w:val="0"/>
        <w:adjustRightInd w:val="0"/>
        <w:spacing w:after="0" w:line="240" w:lineRule="auto"/>
        <w:rPr>
          <w:rFonts w:asciiTheme="minorHAnsi" w:hAnsiTheme="minorHAnsi" w:cstheme="minorHAnsi"/>
          <w:color w:val="000000"/>
          <w:szCs w:val="24"/>
          <w:lang w:eastAsia="fr-CA"/>
        </w:rPr>
      </w:pPr>
    </w:p>
    <w:p w14:paraId="5E5E198D" w14:textId="0D58AD7E" w:rsidR="008739A4" w:rsidRPr="00D5285C" w:rsidRDefault="008739A4" w:rsidP="008739A4">
      <w:pPr>
        <w:spacing w:before="200" w:after="0"/>
        <w:rPr>
          <w:rFonts w:asciiTheme="minorHAnsi" w:hAnsiTheme="minorHAnsi" w:cstheme="minorHAnsi"/>
          <w:color w:val="000000"/>
          <w:szCs w:val="24"/>
        </w:rPr>
      </w:pPr>
      <w:r w:rsidRPr="00D5285C">
        <w:rPr>
          <w:rFonts w:asciiTheme="minorHAnsi" w:hAnsiTheme="minorHAnsi" w:cstheme="minorHAnsi"/>
          <w:color w:val="000000"/>
          <w:szCs w:val="24"/>
        </w:rPr>
        <w:t xml:space="preserve">Définition de BNÉ : « impacts qui : i) découlent du projet; ii) ne sont pas de nature énergétique et iii) bénéficient aux consommateurs, à </w:t>
      </w:r>
      <w:r w:rsidR="00F15E27" w:rsidRPr="00D5285C">
        <w:rPr>
          <w:rFonts w:asciiTheme="minorHAnsi" w:hAnsiTheme="minorHAnsi" w:cstheme="minorHAnsi"/>
          <w:color w:val="000000"/>
          <w:szCs w:val="24"/>
        </w:rPr>
        <w:t>Gazifère</w:t>
      </w:r>
      <w:r w:rsidRPr="00D5285C">
        <w:rPr>
          <w:rFonts w:asciiTheme="minorHAnsi" w:hAnsiTheme="minorHAnsi" w:cstheme="minorHAnsi"/>
          <w:color w:val="000000"/>
          <w:szCs w:val="24"/>
        </w:rPr>
        <w:t xml:space="preserve"> et/ou à la société québécoise. »</w:t>
      </w:r>
    </w:p>
    <w:p w14:paraId="5B070FD6" w14:textId="77777777" w:rsidR="008739A4" w:rsidRPr="00D5285C" w:rsidRDefault="008739A4" w:rsidP="008739A4">
      <w:pPr>
        <w:spacing w:before="200" w:after="0"/>
        <w:rPr>
          <w:rFonts w:asciiTheme="minorHAnsi" w:hAnsiTheme="minorHAnsi" w:cstheme="minorHAnsi"/>
          <w:color w:val="000000"/>
          <w:szCs w:val="24"/>
        </w:rPr>
      </w:pPr>
      <w:r w:rsidRPr="00D5285C">
        <w:rPr>
          <w:rFonts w:asciiTheme="minorHAnsi" w:hAnsiTheme="minorHAnsi" w:cstheme="minorHAnsi"/>
          <w:color w:val="000000"/>
          <w:szCs w:val="24"/>
        </w:rPr>
        <w:t>Voici, à titre indicatif uniquement, quelques exemples de BNÉ</w:t>
      </w:r>
      <w:r w:rsidRPr="00D5285C">
        <w:rPr>
          <w:rFonts w:asciiTheme="minorHAnsi" w:hAnsiTheme="minorHAnsi" w:cstheme="minorHAnsi"/>
          <w:color w:val="000000"/>
          <w:szCs w:val="24"/>
          <w:vertAlign w:val="superscript"/>
        </w:rPr>
        <w:footnoteReference w:id="42"/>
      </w:r>
      <w:r w:rsidRPr="00D5285C">
        <w:rPr>
          <w:rFonts w:asciiTheme="minorHAnsi" w:hAnsiTheme="minorHAnsi" w:cstheme="minorHAnsi"/>
          <w:color w:val="000000"/>
          <w:szCs w:val="24"/>
        </w:rPr>
        <w:t> :</w:t>
      </w:r>
    </w:p>
    <w:p w14:paraId="38F767E0" w14:textId="77777777" w:rsidR="008739A4" w:rsidRPr="00D5285C" w:rsidRDefault="008739A4" w:rsidP="008739A4">
      <w:pPr>
        <w:spacing w:before="200" w:after="0"/>
        <w:rPr>
          <w:rFonts w:asciiTheme="minorHAnsi" w:hAnsiTheme="minorHAnsi" w:cstheme="minorHAnsi"/>
          <w:color w:val="000000"/>
          <w:szCs w:val="24"/>
        </w:rPr>
      </w:pPr>
    </w:p>
    <w:tbl>
      <w:tblPr>
        <w:tblStyle w:val="Grilledutableau"/>
        <w:tblW w:w="0" w:type="auto"/>
        <w:tblLook w:val="04A0" w:firstRow="1" w:lastRow="0" w:firstColumn="1" w:lastColumn="0" w:noHBand="0" w:noVBand="1"/>
      </w:tblPr>
      <w:tblGrid>
        <w:gridCol w:w="3132"/>
        <w:gridCol w:w="3132"/>
        <w:gridCol w:w="3132"/>
      </w:tblGrid>
      <w:tr w:rsidR="008739A4" w:rsidRPr="00D5285C" w14:paraId="745ECB18" w14:textId="77777777" w:rsidTr="008739A4">
        <w:tc>
          <w:tcPr>
            <w:tcW w:w="3132" w:type="dxa"/>
          </w:tcPr>
          <w:p w14:paraId="0658BBC5" w14:textId="77777777" w:rsidR="008739A4" w:rsidRPr="00D5285C" w:rsidRDefault="008739A4" w:rsidP="008739A4">
            <w:pPr>
              <w:spacing w:before="200" w:after="0"/>
              <w:rPr>
                <w:rFonts w:asciiTheme="minorHAnsi" w:hAnsiTheme="minorHAnsi" w:cstheme="minorHAnsi"/>
                <w:b/>
                <w:szCs w:val="24"/>
                <w:lang w:eastAsia="fr-CA"/>
              </w:rPr>
            </w:pPr>
            <w:r w:rsidRPr="00D5285C">
              <w:rPr>
                <w:rFonts w:asciiTheme="minorHAnsi" w:hAnsiTheme="minorHAnsi" w:cstheme="minorHAnsi"/>
                <w:b/>
                <w:szCs w:val="24"/>
                <w:lang w:eastAsia="fr-CA"/>
              </w:rPr>
              <w:t>Consommateurs</w:t>
            </w:r>
          </w:p>
        </w:tc>
        <w:tc>
          <w:tcPr>
            <w:tcW w:w="3132" w:type="dxa"/>
          </w:tcPr>
          <w:p w14:paraId="15281B4F" w14:textId="77777777" w:rsidR="008739A4" w:rsidRPr="00D5285C" w:rsidRDefault="008739A4" w:rsidP="008739A4">
            <w:pPr>
              <w:spacing w:before="200" w:after="0"/>
              <w:rPr>
                <w:rFonts w:asciiTheme="minorHAnsi" w:hAnsiTheme="minorHAnsi" w:cstheme="minorHAnsi"/>
                <w:b/>
                <w:szCs w:val="24"/>
                <w:lang w:eastAsia="fr-CA"/>
              </w:rPr>
            </w:pPr>
            <w:r w:rsidRPr="00D5285C">
              <w:rPr>
                <w:rFonts w:asciiTheme="minorHAnsi" w:hAnsiTheme="minorHAnsi" w:cstheme="minorHAnsi"/>
                <w:b/>
                <w:szCs w:val="24"/>
                <w:lang w:eastAsia="fr-CA"/>
              </w:rPr>
              <w:t>Société</w:t>
            </w:r>
          </w:p>
        </w:tc>
        <w:tc>
          <w:tcPr>
            <w:tcW w:w="3132" w:type="dxa"/>
          </w:tcPr>
          <w:p w14:paraId="3EAC55A7" w14:textId="3BC9389D" w:rsidR="008739A4" w:rsidRPr="00D5285C" w:rsidRDefault="005C423E" w:rsidP="008739A4">
            <w:pPr>
              <w:spacing w:before="200" w:after="0"/>
              <w:rPr>
                <w:rFonts w:asciiTheme="minorHAnsi" w:hAnsiTheme="minorHAnsi" w:cstheme="minorHAnsi"/>
                <w:b/>
                <w:szCs w:val="24"/>
                <w:lang w:eastAsia="fr-CA"/>
              </w:rPr>
            </w:pPr>
            <w:r>
              <w:rPr>
                <w:rFonts w:asciiTheme="minorHAnsi" w:hAnsiTheme="minorHAnsi" w:cstheme="minorHAnsi"/>
                <w:b/>
                <w:szCs w:val="24"/>
                <w:lang w:eastAsia="fr-CA"/>
              </w:rPr>
              <w:t>Gazifère</w:t>
            </w:r>
          </w:p>
        </w:tc>
      </w:tr>
      <w:tr w:rsidR="008739A4" w:rsidRPr="00D5285C" w14:paraId="14B28F81" w14:textId="77777777" w:rsidTr="008739A4">
        <w:tc>
          <w:tcPr>
            <w:tcW w:w="3132" w:type="dxa"/>
          </w:tcPr>
          <w:p w14:paraId="73A25958"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Augmentation de la productivité</w:t>
            </w:r>
          </w:p>
          <w:p w14:paraId="364A681A"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Amélioration du confort</w:t>
            </w:r>
          </w:p>
          <w:p w14:paraId="5F886CE8"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Augmentation de la valeur de la propriété</w:t>
            </w:r>
          </w:p>
          <w:p w14:paraId="0FC6FAB8" w14:textId="77777777" w:rsidR="008739A4" w:rsidRPr="00D5285C" w:rsidRDefault="008739A4" w:rsidP="008739A4">
            <w:pPr>
              <w:spacing w:before="200" w:after="0"/>
              <w:rPr>
                <w:rFonts w:asciiTheme="minorHAnsi" w:hAnsiTheme="minorHAnsi" w:cstheme="minorHAnsi"/>
                <w:color w:val="D13438"/>
                <w:sz w:val="20"/>
                <w:szCs w:val="20"/>
                <w:lang w:eastAsia="fr-CA"/>
              </w:rPr>
            </w:pPr>
          </w:p>
        </w:tc>
        <w:tc>
          <w:tcPr>
            <w:tcW w:w="3132" w:type="dxa"/>
          </w:tcPr>
          <w:p w14:paraId="5F8D10AD" w14:textId="77777777" w:rsidR="008739A4" w:rsidRPr="00D5285C" w:rsidRDefault="008739A4" w:rsidP="008739A4">
            <w:pPr>
              <w:spacing w:before="200" w:after="0"/>
              <w:rPr>
                <w:rFonts w:asciiTheme="minorHAnsi" w:hAnsiTheme="minorHAnsi" w:cstheme="minorHAnsi"/>
                <w:color w:val="D13438"/>
                <w:sz w:val="20"/>
                <w:szCs w:val="20"/>
                <w:lang w:eastAsia="fr-CA"/>
              </w:rPr>
            </w:pPr>
            <w:r w:rsidRPr="00D5285C">
              <w:rPr>
                <w:rFonts w:asciiTheme="minorHAnsi" w:hAnsiTheme="minorHAnsi" w:cstheme="minorHAnsi"/>
                <w:color w:val="242424"/>
                <w:sz w:val="20"/>
                <w:szCs w:val="20"/>
                <w:shd w:val="clear" w:color="auto" w:fill="FFFFFF"/>
              </w:rPr>
              <w:t>Réduction des émissions de gaz à effet de serre</w:t>
            </w:r>
          </w:p>
          <w:p w14:paraId="41C5A0A7"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Amélioration de la qualité de l’air</w:t>
            </w:r>
          </w:p>
          <w:p w14:paraId="55B0FE68"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Développement économique et création d’emplois</w:t>
            </w:r>
          </w:p>
        </w:tc>
        <w:tc>
          <w:tcPr>
            <w:tcW w:w="3132" w:type="dxa"/>
          </w:tcPr>
          <w:p w14:paraId="021CD086"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Contribution aux efforts de décarbonation</w:t>
            </w:r>
          </w:p>
          <w:p w14:paraId="26785802"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r w:rsidRPr="00D5285C">
              <w:rPr>
                <w:rFonts w:asciiTheme="minorHAnsi" w:hAnsiTheme="minorHAnsi" w:cstheme="minorHAnsi"/>
                <w:color w:val="242424"/>
                <w:sz w:val="20"/>
                <w:szCs w:val="20"/>
                <w:shd w:val="clear" w:color="auto" w:fill="FFFFFF"/>
              </w:rPr>
              <w:t>Rehaussement de l’acceptabilité sociale du projet d’investissement</w:t>
            </w:r>
          </w:p>
          <w:p w14:paraId="71D50876" w14:textId="77777777" w:rsidR="008739A4" w:rsidRPr="00D5285C" w:rsidRDefault="008739A4" w:rsidP="008739A4">
            <w:pPr>
              <w:spacing w:before="200" w:after="0"/>
              <w:rPr>
                <w:rFonts w:asciiTheme="minorHAnsi" w:hAnsiTheme="minorHAnsi" w:cstheme="minorHAnsi"/>
                <w:color w:val="242424"/>
                <w:sz w:val="20"/>
                <w:szCs w:val="20"/>
                <w:shd w:val="clear" w:color="auto" w:fill="FFFFFF"/>
              </w:rPr>
            </w:pPr>
          </w:p>
        </w:tc>
      </w:tr>
    </w:tbl>
    <w:p w14:paraId="21380C6D" w14:textId="77777777" w:rsidR="008739A4" w:rsidRPr="00D5285C" w:rsidRDefault="008739A4" w:rsidP="008739A4">
      <w:pPr>
        <w:spacing w:before="200" w:after="0"/>
        <w:rPr>
          <w:rFonts w:asciiTheme="minorHAnsi" w:hAnsiTheme="minorHAnsi" w:cstheme="minorHAnsi"/>
          <w:color w:val="D13438"/>
          <w:sz w:val="23"/>
          <w:szCs w:val="23"/>
          <w:lang w:eastAsia="fr-CA"/>
        </w:rPr>
      </w:pPr>
    </w:p>
    <w:p w14:paraId="7E416CCA" w14:textId="77777777" w:rsidR="008739A4" w:rsidRPr="00D5285C" w:rsidRDefault="008739A4" w:rsidP="008739A4">
      <w:pPr>
        <w:pStyle w:val="Paragraphedeliste"/>
        <w:jc w:val="both"/>
        <w:rPr>
          <w:rStyle w:val="texte-courant1"/>
          <w:rFonts w:asciiTheme="minorHAnsi" w:hAnsiTheme="minorHAnsi" w:cstheme="minorHAnsi"/>
          <w:lang w:val="fr-FR"/>
        </w:rPr>
      </w:pPr>
    </w:p>
    <w:p w14:paraId="2EF76E41" w14:textId="54BD0278" w:rsidR="008739A4" w:rsidRPr="00D5285C" w:rsidRDefault="008739A4" w:rsidP="008739A4">
      <w:pPr>
        <w:pStyle w:val="Paragraphedeliste"/>
        <w:numPr>
          <w:ilvl w:val="0"/>
          <w:numId w:val="33"/>
        </w:numPr>
        <w:autoSpaceDE w:val="0"/>
        <w:autoSpaceDN w:val="0"/>
        <w:adjustRightInd w:val="0"/>
        <w:spacing w:before="200" w:after="0" w:line="264" w:lineRule="auto"/>
        <w:ind w:left="567" w:hanging="567"/>
        <w:contextualSpacing w:val="0"/>
        <w:jc w:val="both"/>
        <w:rPr>
          <w:rFonts w:asciiTheme="minorHAnsi" w:eastAsia="Times New Roman" w:hAnsiTheme="minorHAnsi" w:cstheme="minorHAnsi"/>
          <w:b/>
          <w:color w:val="000000"/>
          <w:sz w:val="24"/>
          <w:szCs w:val="26"/>
          <w:lang w:eastAsia="fr-CA"/>
        </w:rPr>
      </w:pPr>
      <w:r w:rsidRPr="00D5285C">
        <w:rPr>
          <w:rFonts w:asciiTheme="minorHAnsi" w:eastAsia="Times New Roman" w:hAnsiTheme="minorHAnsi" w:cstheme="minorHAnsi"/>
          <w:i/>
          <w:color w:val="000000"/>
          <w:sz w:val="24"/>
          <w:szCs w:val="26"/>
          <w:lang w:eastAsia="fr-CA"/>
        </w:rPr>
        <w:t>Alignement avec les objectifs des politiques énergétiques</w:t>
      </w:r>
      <w:r w:rsidRPr="00D5285C">
        <w:rPr>
          <w:rFonts w:asciiTheme="minorHAnsi" w:eastAsia="Times New Roman" w:hAnsiTheme="minorHAnsi" w:cstheme="minorHAnsi"/>
          <w:color w:val="000000"/>
          <w:sz w:val="24"/>
          <w:szCs w:val="26"/>
          <w:lang w:eastAsia="fr-CA"/>
        </w:rPr>
        <w:t>: lorsqu’applicable, décrire dans quelle mesure le projet est aligné avec les objectifs des politiques énergétiques du gouvernement du Québec ou est cohérent avec ses cibles de réduction de GES.</w:t>
      </w:r>
    </w:p>
    <w:p w14:paraId="654D8A9A" w14:textId="1AC117EA" w:rsidR="008739A4" w:rsidRPr="00D5285C" w:rsidRDefault="008739A4" w:rsidP="008739A4">
      <w:pPr>
        <w:pStyle w:val="Paragraphedeliste"/>
        <w:numPr>
          <w:ilvl w:val="0"/>
          <w:numId w:val="33"/>
        </w:numPr>
        <w:autoSpaceDE w:val="0"/>
        <w:autoSpaceDN w:val="0"/>
        <w:adjustRightInd w:val="0"/>
        <w:spacing w:before="200" w:after="0" w:line="264" w:lineRule="auto"/>
        <w:ind w:left="567" w:hanging="567"/>
        <w:contextualSpacing w:val="0"/>
        <w:jc w:val="both"/>
        <w:rPr>
          <w:rFonts w:asciiTheme="minorHAnsi" w:eastAsia="Times New Roman" w:hAnsiTheme="minorHAnsi" w:cstheme="minorHAnsi"/>
          <w:b/>
          <w:color w:val="000000"/>
          <w:sz w:val="24"/>
          <w:szCs w:val="26"/>
          <w:lang w:eastAsia="fr-CA"/>
        </w:rPr>
      </w:pPr>
      <w:r w:rsidRPr="00D5285C">
        <w:rPr>
          <w:rFonts w:asciiTheme="minorHAnsi" w:eastAsia="Times New Roman" w:hAnsiTheme="minorHAnsi" w:cstheme="minorHAnsi"/>
          <w:i/>
          <w:color w:val="000000"/>
          <w:sz w:val="24"/>
          <w:szCs w:val="26"/>
          <w:lang w:eastAsia="fr-CA"/>
        </w:rPr>
        <w:t>BNÉ associés au projet</w:t>
      </w:r>
      <w:r w:rsidRPr="00D5285C">
        <w:rPr>
          <w:rFonts w:asciiTheme="minorHAnsi" w:eastAsia="Times New Roman" w:hAnsiTheme="minorHAnsi" w:cstheme="minorHAnsi"/>
          <w:color w:val="000000"/>
          <w:sz w:val="24"/>
          <w:szCs w:val="26"/>
          <w:lang w:eastAsia="fr-CA"/>
        </w:rPr>
        <w:t>: lorsqu’applicable, décrire les BNÉ associés au projet. Par exemple, le projet entraîne-t-il une diminution nette des émissions de GES? Le cas échéant, fournir des informations relatives à la réduction totale de GES générée par la réalisation du projet.</w:t>
      </w:r>
    </w:p>
    <w:p w14:paraId="6ACB31B9" w14:textId="77777777" w:rsidR="008739A4" w:rsidRPr="00D5285C" w:rsidRDefault="008739A4" w:rsidP="008739A4">
      <w:pPr>
        <w:pStyle w:val="Paragraphedeliste"/>
        <w:numPr>
          <w:ilvl w:val="0"/>
          <w:numId w:val="33"/>
        </w:numPr>
        <w:autoSpaceDE w:val="0"/>
        <w:autoSpaceDN w:val="0"/>
        <w:adjustRightInd w:val="0"/>
        <w:spacing w:before="200" w:after="0" w:line="264" w:lineRule="auto"/>
        <w:ind w:left="567" w:hanging="567"/>
        <w:contextualSpacing w:val="0"/>
        <w:jc w:val="both"/>
        <w:rPr>
          <w:rFonts w:asciiTheme="minorHAnsi" w:eastAsia="Times New Roman" w:hAnsiTheme="minorHAnsi" w:cstheme="minorHAnsi"/>
          <w:b/>
          <w:color w:val="000000"/>
          <w:sz w:val="24"/>
          <w:szCs w:val="26"/>
          <w:lang w:eastAsia="fr-CA"/>
        </w:rPr>
      </w:pPr>
      <w:r w:rsidRPr="00D5285C">
        <w:rPr>
          <w:rFonts w:asciiTheme="minorHAnsi" w:eastAsia="Times New Roman" w:hAnsiTheme="minorHAnsi" w:cstheme="minorHAnsi"/>
          <w:i/>
          <w:color w:val="000000"/>
          <w:sz w:val="24"/>
          <w:szCs w:val="26"/>
          <w:lang w:eastAsia="fr-CA"/>
        </w:rPr>
        <w:t>Prise en compte des BNÉ</w:t>
      </w:r>
      <w:r w:rsidRPr="00D5285C">
        <w:rPr>
          <w:rFonts w:asciiTheme="minorHAnsi" w:eastAsia="Times New Roman" w:hAnsiTheme="minorHAnsi" w:cstheme="minorHAnsi"/>
          <w:color w:val="000000"/>
          <w:sz w:val="24"/>
          <w:szCs w:val="26"/>
          <w:lang w:eastAsia="fr-CA"/>
        </w:rPr>
        <w:t> : Décrire la manière dont les BNÉ associés au projet peuvent être pris en compte et ce, selon l’une des trois approches suivantes :</w:t>
      </w:r>
    </w:p>
    <w:p w14:paraId="103F891C" w14:textId="64274A92" w:rsidR="008739A4" w:rsidRPr="00D5285C" w:rsidRDefault="008739A4" w:rsidP="008739A4">
      <w:pPr>
        <w:pStyle w:val="Paragraphedeliste"/>
        <w:numPr>
          <w:ilvl w:val="0"/>
          <w:numId w:val="61"/>
        </w:numPr>
        <w:spacing w:before="0"/>
        <w:jc w:val="both"/>
        <w:rPr>
          <w:rFonts w:asciiTheme="minorHAnsi" w:hAnsiTheme="minorHAnsi" w:cstheme="minorHAnsi"/>
          <w:sz w:val="24"/>
          <w:szCs w:val="24"/>
        </w:rPr>
      </w:pPr>
      <w:r w:rsidRPr="00D5285C">
        <w:rPr>
          <w:rFonts w:asciiTheme="minorHAnsi" w:hAnsiTheme="minorHAnsi" w:cstheme="minorHAnsi"/>
          <w:sz w:val="24"/>
          <w:szCs w:val="24"/>
        </w:rPr>
        <w:t xml:space="preserve">Valeur des BNÉ, telle qu’évaluée par </w:t>
      </w:r>
      <w:r w:rsidR="002E2DC2">
        <w:rPr>
          <w:rFonts w:asciiTheme="minorHAnsi" w:hAnsiTheme="minorHAnsi" w:cstheme="minorHAnsi"/>
          <w:sz w:val="24"/>
          <w:szCs w:val="24"/>
        </w:rPr>
        <w:t>Gazifère</w:t>
      </w:r>
      <w:r w:rsidRPr="00D5285C">
        <w:rPr>
          <w:rFonts w:asciiTheme="minorHAnsi" w:hAnsiTheme="minorHAnsi" w:cstheme="minorHAnsi"/>
          <w:sz w:val="24"/>
          <w:szCs w:val="24"/>
        </w:rPr>
        <w:t>;</w:t>
      </w:r>
    </w:p>
    <w:p w14:paraId="707BB73C" w14:textId="77777777" w:rsidR="008739A4" w:rsidRPr="00D5285C" w:rsidRDefault="008739A4" w:rsidP="008739A4">
      <w:pPr>
        <w:pStyle w:val="Paragraphedeliste"/>
        <w:numPr>
          <w:ilvl w:val="0"/>
          <w:numId w:val="61"/>
        </w:numPr>
        <w:spacing w:before="0"/>
        <w:jc w:val="both"/>
        <w:rPr>
          <w:rFonts w:asciiTheme="minorHAnsi" w:hAnsiTheme="minorHAnsi" w:cstheme="minorHAnsi"/>
          <w:sz w:val="24"/>
          <w:szCs w:val="24"/>
        </w:rPr>
      </w:pPr>
      <w:r w:rsidRPr="00D5285C">
        <w:rPr>
          <w:rFonts w:asciiTheme="minorHAnsi" w:hAnsiTheme="minorHAnsi" w:cstheme="minorHAnsi"/>
          <w:sz w:val="24"/>
          <w:szCs w:val="24"/>
        </w:rPr>
        <w:t>Un facteur d’ajustement générique pour tenir compte des BNÉ associés au projet, le cas échéant;</w:t>
      </w:r>
    </w:p>
    <w:p w14:paraId="55315E40" w14:textId="690FB309" w:rsidR="008739A4" w:rsidRPr="00D5285C" w:rsidRDefault="008739A4" w:rsidP="008739A4">
      <w:pPr>
        <w:pStyle w:val="Paragraphedeliste"/>
        <w:numPr>
          <w:ilvl w:val="0"/>
          <w:numId w:val="61"/>
        </w:numPr>
        <w:spacing w:before="200" w:after="0" w:line="264" w:lineRule="auto"/>
        <w:contextualSpacing w:val="0"/>
        <w:jc w:val="both"/>
        <w:rPr>
          <w:rFonts w:asciiTheme="minorHAnsi" w:hAnsiTheme="minorHAnsi" w:cstheme="minorHAnsi"/>
          <w:sz w:val="24"/>
          <w:szCs w:val="24"/>
        </w:rPr>
      </w:pPr>
      <w:r w:rsidRPr="00D5285C">
        <w:rPr>
          <w:rFonts w:asciiTheme="minorHAnsi" w:hAnsiTheme="minorHAnsi" w:cstheme="minorHAnsi"/>
          <w:sz w:val="24"/>
          <w:szCs w:val="24"/>
        </w:rPr>
        <w:t xml:space="preserve">Toute autre approche que </w:t>
      </w:r>
      <w:r w:rsidR="002E2DC2">
        <w:rPr>
          <w:rFonts w:asciiTheme="minorHAnsi" w:hAnsiTheme="minorHAnsi" w:cstheme="minorHAnsi"/>
          <w:sz w:val="24"/>
          <w:szCs w:val="24"/>
        </w:rPr>
        <w:t>Gazifère</w:t>
      </w:r>
      <w:r w:rsidR="00735537" w:rsidRPr="00D5285C">
        <w:rPr>
          <w:rFonts w:asciiTheme="minorHAnsi" w:hAnsiTheme="minorHAnsi" w:cstheme="minorHAnsi"/>
          <w:sz w:val="24"/>
          <w:szCs w:val="24"/>
        </w:rPr>
        <w:t xml:space="preserve"> considère pertinente.</w:t>
      </w:r>
    </w:p>
    <w:p w14:paraId="61F994FD" w14:textId="77777777" w:rsidR="008739A4" w:rsidRPr="00D5285C" w:rsidRDefault="008739A4" w:rsidP="008739A4">
      <w:pPr>
        <w:pStyle w:val="Paragraphedeliste"/>
        <w:numPr>
          <w:ilvl w:val="0"/>
          <w:numId w:val="33"/>
        </w:numPr>
        <w:autoSpaceDE w:val="0"/>
        <w:autoSpaceDN w:val="0"/>
        <w:adjustRightInd w:val="0"/>
        <w:spacing w:before="200" w:after="0" w:line="264" w:lineRule="auto"/>
        <w:ind w:left="567" w:hanging="567"/>
        <w:contextualSpacing w:val="0"/>
        <w:jc w:val="both"/>
        <w:rPr>
          <w:rFonts w:asciiTheme="minorHAnsi" w:eastAsia="Times New Roman" w:hAnsiTheme="minorHAnsi" w:cstheme="minorHAnsi"/>
          <w:b/>
          <w:color w:val="000000"/>
          <w:sz w:val="24"/>
          <w:szCs w:val="26"/>
          <w:lang w:eastAsia="fr-CA"/>
        </w:rPr>
      </w:pPr>
      <w:r w:rsidRPr="00D5285C">
        <w:rPr>
          <w:rFonts w:asciiTheme="minorHAnsi" w:eastAsia="Times New Roman" w:hAnsiTheme="minorHAnsi" w:cstheme="minorHAnsi"/>
          <w:i/>
          <w:color w:val="000000"/>
          <w:sz w:val="24"/>
          <w:szCs w:val="26"/>
          <w:lang w:eastAsia="fr-CA"/>
        </w:rPr>
        <w:t>Appui financier</w:t>
      </w:r>
      <w:r w:rsidRPr="00D5285C">
        <w:rPr>
          <w:rFonts w:asciiTheme="minorHAnsi" w:eastAsia="Times New Roman" w:hAnsiTheme="minorHAnsi" w:cstheme="minorHAnsi"/>
          <w:color w:val="000000"/>
          <w:sz w:val="24"/>
          <w:szCs w:val="26"/>
          <w:lang w:eastAsia="fr-CA"/>
        </w:rPr>
        <w:t> : Préciser si le projet a fait l’objet d’un appui financier de la part du gouvernement du Québec ou d’un autre palier de gouvernement en vue de l’atteinte de cibles climatiques ou énergétiques gouvernementales, le cas échéant.</w:t>
      </w:r>
    </w:p>
    <w:p w14:paraId="5B9AF428" w14:textId="78CD70C9" w:rsidR="00435854" w:rsidRDefault="00435854" w:rsidP="00352626">
      <w:pPr>
        <w:rPr>
          <w:rFonts w:cs="Calibri"/>
          <w:color w:val="000000"/>
          <w:sz w:val="22"/>
          <w:lang w:eastAsia="fr-CA"/>
        </w:rPr>
      </w:pPr>
    </w:p>
    <w:p w14:paraId="7C6CB8BD" w14:textId="77777777" w:rsidR="009212A0" w:rsidRPr="00B026AA" w:rsidRDefault="009212A0" w:rsidP="00352626">
      <w:pPr>
        <w:rPr>
          <w:rFonts w:cs="Calibri"/>
          <w:color w:val="000000"/>
          <w:sz w:val="22"/>
          <w:lang w:eastAsia="fr-CA"/>
        </w:rPr>
      </w:pPr>
    </w:p>
    <w:p w14:paraId="147B49DF" w14:textId="77777777" w:rsidR="00E65694" w:rsidRPr="005003C2" w:rsidRDefault="00AA550E" w:rsidP="005003C2">
      <w:pPr>
        <w:pStyle w:val="TitreS2"/>
        <w:keepNext/>
        <w:spacing w:before="200" w:after="0"/>
        <w:rPr>
          <w:i/>
          <w:sz w:val="28"/>
          <w:szCs w:val="28"/>
          <w:lang w:eastAsia="fr-CA"/>
        </w:rPr>
      </w:pPr>
      <w:r w:rsidRPr="005003C2">
        <w:rPr>
          <w:i/>
          <w:sz w:val="28"/>
          <w:szCs w:val="28"/>
          <w:lang w:eastAsia="fr-CA"/>
        </w:rPr>
        <w:t>Justification en re</w:t>
      </w:r>
      <w:r w:rsidR="00916240" w:rsidRPr="005003C2">
        <w:rPr>
          <w:i/>
          <w:sz w:val="28"/>
          <w:szCs w:val="28"/>
          <w:lang w:eastAsia="fr-CA"/>
        </w:rPr>
        <w:t>lation avec les objectifs visés</w:t>
      </w:r>
    </w:p>
    <w:p w14:paraId="58CD9B8B" w14:textId="77777777"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Justifier le Projet en termes techniques, économiques, réglementaires ou légaux, en démontrant comment les ob</w:t>
      </w:r>
      <w:r w:rsidR="007A1106" w:rsidRPr="003C02A0">
        <w:rPr>
          <w:rFonts w:eastAsia="Times New Roman" w:cs="Calibri"/>
          <w:b w:val="0"/>
          <w:color w:val="000000"/>
          <w:sz w:val="24"/>
          <w:szCs w:val="26"/>
          <w:lang w:eastAsia="fr-CA"/>
        </w:rPr>
        <w:t>jectifs visés seront atteints.</w:t>
      </w:r>
    </w:p>
    <w:p w14:paraId="62D511CA" w14:textId="77777777"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Le cas échéant, décrire les projets pilotes réalisés et en présenter les résultats. Établir les liens appropriés avec le Projet et les solutio</w:t>
      </w:r>
      <w:r w:rsidR="007A1106" w:rsidRPr="003C02A0">
        <w:rPr>
          <w:rFonts w:eastAsia="Times New Roman" w:cs="Calibri"/>
          <w:b w:val="0"/>
          <w:color w:val="000000"/>
          <w:sz w:val="24"/>
          <w:szCs w:val="26"/>
          <w:lang w:eastAsia="fr-CA"/>
        </w:rPr>
        <w:t>ns envisagées.</w:t>
      </w:r>
    </w:p>
    <w:p w14:paraId="23185A9C" w14:textId="4839F7C6" w:rsidR="00E65694" w:rsidRDefault="00E65694" w:rsidP="00352626">
      <w:pPr>
        <w:tabs>
          <w:tab w:val="center" w:pos="4547"/>
        </w:tabs>
        <w:rPr>
          <w:rFonts w:cs="Calibri"/>
          <w:color w:val="000000"/>
          <w:lang w:eastAsia="fr-CA"/>
        </w:rPr>
      </w:pPr>
    </w:p>
    <w:p w14:paraId="72E3312E" w14:textId="77777777" w:rsidR="00085B42" w:rsidRPr="009C797D" w:rsidRDefault="00085B42" w:rsidP="00352626">
      <w:pPr>
        <w:tabs>
          <w:tab w:val="center" w:pos="4547"/>
        </w:tabs>
        <w:rPr>
          <w:rFonts w:cs="Calibri"/>
          <w:color w:val="000000"/>
          <w:lang w:eastAsia="fr-CA"/>
        </w:rPr>
      </w:pPr>
    </w:p>
    <w:p w14:paraId="7858DF8C" w14:textId="77777777" w:rsidR="00E65694" w:rsidRPr="005003C2" w:rsidRDefault="00AA550E" w:rsidP="005003C2">
      <w:pPr>
        <w:pStyle w:val="TitreS2"/>
        <w:keepNext/>
        <w:spacing w:before="200" w:after="0"/>
        <w:rPr>
          <w:i/>
          <w:sz w:val="28"/>
          <w:szCs w:val="28"/>
          <w:lang w:eastAsia="fr-CA"/>
        </w:rPr>
      </w:pPr>
      <w:r w:rsidRPr="005003C2">
        <w:rPr>
          <w:i/>
          <w:sz w:val="28"/>
          <w:szCs w:val="28"/>
          <w:lang w:eastAsia="fr-CA"/>
        </w:rPr>
        <w:t>C</w:t>
      </w:r>
      <w:r w:rsidR="007A1106" w:rsidRPr="005003C2">
        <w:rPr>
          <w:i/>
          <w:sz w:val="28"/>
          <w:szCs w:val="28"/>
          <w:lang w:eastAsia="fr-CA"/>
        </w:rPr>
        <w:t>oûts du Projet</w:t>
      </w:r>
    </w:p>
    <w:p w14:paraId="5B734D19" w14:textId="4D4D7AEA" w:rsidR="00561B0A" w:rsidRDefault="0060577C" w:rsidP="00352626">
      <w:pPr>
        <w:pStyle w:val="TitreS2"/>
        <w:numPr>
          <w:ilvl w:val="3"/>
          <w:numId w:val="8"/>
        </w:numPr>
        <w:spacing w:before="200" w:after="0"/>
        <w:ind w:left="567" w:hanging="567"/>
        <w:rPr>
          <w:rFonts w:eastAsia="Times New Roman" w:cs="Calibri"/>
          <w:b w:val="0"/>
          <w:color w:val="000000"/>
          <w:sz w:val="24"/>
          <w:szCs w:val="26"/>
          <w:lang w:eastAsia="fr-CA"/>
        </w:rPr>
      </w:pPr>
      <w:r>
        <w:rPr>
          <w:rFonts w:eastAsia="Times New Roman" w:cs="Calibri"/>
          <w:b w:val="0"/>
          <w:color w:val="000000"/>
          <w:sz w:val="24"/>
          <w:szCs w:val="26"/>
          <w:lang w:eastAsia="fr-CA"/>
        </w:rPr>
        <w:t>Le tableau des coûts par catégorie, incluant la contingence, les frais généraux corporatifs et les subventions, le cas échéant.</w:t>
      </w:r>
    </w:p>
    <w:p w14:paraId="0219DEF4" w14:textId="65FF19F4" w:rsidR="004A753C"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Lorsque requis par la nature et l’échéancier du projet, préciser et expliquer</w:t>
      </w:r>
      <w:r w:rsidR="00D42E26" w:rsidRPr="00D42E26">
        <w:rPr>
          <w:rStyle w:val="texte-courant1"/>
          <w:rFonts w:cs="Calibri"/>
          <w:sz w:val="24"/>
          <w:szCs w:val="24"/>
          <w:lang w:val="fr-FR"/>
        </w:rPr>
        <w:t xml:space="preserve"> </w:t>
      </w:r>
      <w:r w:rsidR="00D42E26" w:rsidRPr="00F77C47">
        <w:rPr>
          <w:rStyle w:val="texte-courant1"/>
          <w:rFonts w:cs="Calibri"/>
          <w:b w:val="0"/>
          <w:sz w:val="24"/>
          <w:szCs w:val="24"/>
          <w:lang w:val="fr-FR"/>
        </w:rPr>
        <w:t>le montant des investissements qui s’étalent sur plus d’une année</w:t>
      </w:r>
      <w:r w:rsidR="00D42E26">
        <w:rPr>
          <w:rStyle w:val="texte-courant1"/>
          <w:rFonts w:cs="Calibri"/>
          <w:b w:val="0"/>
          <w:sz w:val="24"/>
          <w:szCs w:val="24"/>
          <w:lang w:val="fr-FR"/>
        </w:rPr>
        <w:t>.</w:t>
      </w:r>
    </w:p>
    <w:p w14:paraId="4A56A4B0" w14:textId="77C24B3D" w:rsidR="004A753C" w:rsidRPr="00FD57FF" w:rsidRDefault="00AA550E" w:rsidP="00FD57FF">
      <w:pPr>
        <w:pStyle w:val="TitreS2"/>
        <w:numPr>
          <w:ilvl w:val="3"/>
          <w:numId w:val="8"/>
        </w:numPr>
        <w:spacing w:before="200" w:after="0"/>
        <w:ind w:left="567" w:hanging="567"/>
        <w:rPr>
          <w:rStyle w:val="texte-courant1"/>
          <w:rFonts w:cs="Calibri"/>
          <w:b w:val="0"/>
          <w:bCs w:val="0"/>
          <w:sz w:val="24"/>
          <w:szCs w:val="24"/>
          <w:lang w:val="fr-FR"/>
        </w:rPr>
      </w:pPr>
      <w:r w:rsidRPr="00FD57FF">
        <w:rPr>
          <w:rStyle w:val="texte-courant1"/>
          <w:rFonts w:cs="Calibri"/>
          <w:b w:val="0"/>
          <w:bCs w:val="0"/>
          <w:sz w:val="24"/>
          <w:szCs w:val="24"/>
          <w:lang w:val="fr-FR"/>
        </w:rPr>
        <w:t xml:space="preserve">Si le projet inclut des équipements majeurs récupérés ou provenant des inventaires, les informations pertinentes comme leur valeur historique, leur valeur comptable nette, les </w:t>
      </w:r>
      <w:r w:rsidRPr="00FD57FF">
        <w:rPr>
          <w:rStyle w:val="texte-courant1"/>
          <w:rFonts w:cs="Calibri"/>
          <w:b w:val="0"/>
          <w:bCs w:val="0"/>
          <w:sz w:val="24"/>
          <w:szCs w:val="24"/>
          <w:lang w:val="fr-FR"/>
        </w:rPr>
        <w:lastRenderedPageBreak/>
        <w:t>coûts de récupération, leur durée de vie utile restante et les coûts d’équipements neufs équivalents.</w:t>
      </w:r>
    </w:p>
    <w:p w14:paraId="78F8E0A8" w14:textId="77777777" w:rsidR="00A10141" w:rsidRDefault="00A10141" w:rsidP="00352626">
      <w:pPr>
        <w:rPr>
          <w:rFonts w:cs="Calibri"/>
          <w:sz w:val="22"/>
          <w:lang w:eastAsia="fr-CA"/>
        </w:rPr>
      </w:pPr>
    </w:p>
    <w:p w14:paraId="7ECF7C5F" w14:textId="77777777" w:rsidR="00E65694" w:rsidRPr="005003C2" w:rsidRDefault="00AA550E" w:rsidP="005003C2">
      <w:pPr>
        <w:pStyle w:val="TitreS2"/>
        <w:keepNext/>
        <w:spacing w:before="200" w:after="0"/>
        <w:rPr>
          <w:i/>
          <w:sz w:val="28"/>
          <w:szCs w:val="28"/>
          <w:lang w:eastAsia="fr-CA"/>
        </w:rPr>
      </w:pPr>
      <w:r w:rsidRPr="006D6630">
        <w:rPr>
          <w:i/>
          <w:sz w:val="28"/>
          <w:szCs w:val="28"/>
          <w:lang w:eastAsia="fr-CA"/>
        </w:rPr>
        <w:t>Étude de faisabilité économ</w:t>
      </w:r>
      <w:r w:rsidR="007A1106" w:rsidRPr="006D6630">
        <w:rPr>
          <w:i/>
          <w:sz w:val="28"/>
          <w:szCs w:val="28"/>
          <w:lang w:eastAsia="fr-CA"/>
        </w:rPr>
        <w:t>ique</w:t>
      </w:r>
      <w:r w:rsidR="007A1106" w:rsidRPr="005003C2">
        <w:rPr>
          <w:i/>
          <w:sz w:val="28"/>
          <w:szCs w:val="28"/>
          <w:lang w:eastAsia="fr-CA"/>
        </w:rPr>
        <w:t xml:space="preserve"> </w:t>
      </w:r>
    </w:p>
    <w:p w14:paraId="78E345B7" w14:textId="383A91F1" w:rsidR="00E65694" w:rsidRPr="003C02A0" w:rsidRDefault="00AA550E" w:rsidP="00352626">
      <w:pPr>
        <w:pStyle w:val="TitreS2"/>
        <w:numPr>
          <w:ilvl w:val="3"/>
          <w:numId w:val="8"/>
        </w:numPr>
        <w:spacing w:before="200" w:after="0"/>
        <w:ind w:left="567" w:hanging="567"/>
        <w:rPr>
          <w:rFonts w:cs="Calibri"/>
          <w:b w:val="0"/>
          <w:sz w:val="24"/>
          <w:szCs w:val="24"/>
          <w:lang w:val="fr-FR"/>
        </w:rPr>
      </w:pPr>
      <w:r w:rsidRPr="003C02A0">
        <w:rPr>
          <w:rStyle w:val="texte-courant1"/>
          <w:rFonts w:cs="Calibri"/>
          <w:b w:val="0"/>
          <w:sz w:val="24"/>
          <w:szCs w:val="24"/>
          <w:lang w:val="fr-FR"/>
        </w:rPr>
        <w:t>Les principales normes ou critères techniques utilisés dans les études, ainsi que</w:t>
      </w:r>
      <w:r w:rsidR="008B7121">
        <w:rPr>
          <w:rStyle w:val="texte-courant1"/>
          <w:rFonts w:cs="Calibri"/>
          <w:b w:val="0"/>
          <w:sz w:val="24"/>
          <w:szCs w:val="24"/>
          <w:lang w:val="fr-FR"/>
        </w:rPr>
        <w:t xml:space="preserve"> </w:t>
      </w:r>
      <w:r w:rsidRPr="003C02A0">
        <w:rPr>
          <w:rStyle w:val="texte-courant1"/>
          <w:rFonts w:cs="Calibri"/>
          <w:b w:val="0"/>
          <w:sz w:val="24"/>
          <w:szCs w:val="24"/>
          <w:lang w:val="fr-FR"/>
        </w:rPr>
        <w:t>les analyses coûts-bénéfices ayant conduit à leur choix, s’ils sont nouveaux.</w:t>
      </w:r>
    </w:p>
    <w:p w14:paraId="41F66B67" w14:textId="7BB31DB6" w:rsidR="00A90353"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 xml:space="preserve">Fournir l’étude de faisabilité économique, incluant le calcul de la valeur actuelle nette (VAN), et le chiffrier </w:t>
      </w:r>
      <w:r w:rsidRPr="00D42E26">
        <w:rPr>
          <w:rFonts w:eastAsia="Times New Roman" w:cs="Calibri"/>
          <w:b w:val="0"/>
          <w:color w:val="000000"/>
          <w:sz w:val="24"/>
          <w:szCs w:val="26"/>
          <w:lang w:eastAsia="fr-CA"/>
        </w:rPr>
        <w:t>électronique</w:t>
      </w:r>
      <w:r w:rsidR="00D42E26" w:rsidRPr="00D42E26">
        <w:rPr>
          <w:rFonts w:eastAsia="Times New Roman" w:cs="Calibri"/>
          <w:b w:val="0"/>
          <w:color w:val="000000"/>
          <w:sz w:val="24"/>
          <w:szCs w:val="26"/>
          <w:lang w:eastAsia="fr-CA"/>
        </w:rPr>
        <w:t xml:space="preserve"> </w:t>
      </w:r>
      <w:r w:rsidR="00D42E26" w:rsidRPr="00F77C47">
        <w:rPr>
          <w:rStyle w:val="texte-courant1"/>
          <w:rFonts w:cs="Calibri"/>
          <w:b w:val="0"/>
          <w:sz w:val="24"/>
          <w:szCs w:val="24"/>
          <w:lang w:val="fr-FR"/>
        </w:rPr>
        <w:t>correspondant (analyse financière du projet)</w:t>
      </w:r>
      <w:r w:rsidRPr="00D42E26">
        <w:rPr>
          <w:rFonts w:eastAsia="Times New Roman" w:cs="Calibri"/>
          <w:b w:val="0"/>
          <w:color w:val="000000"/>
          <w:sz w:val="24"/>
          <w:szCs w:val="26"/>
          <w:lang w:eastAsia="fr-CA"/>
        </w:rPr>
        <w:t>. Dép</w:t>
      </w:r>
      <w:r w:rsidRPr="003C02A0">
        <w:rPr>
          <w:rFonts w:eastAsia="Times New Roman" w:cs="Calibri"/>
          <w:b w:val="0"/>
          <w:color w:val="000000"/>
          <w:sz w:val="24"/>
          <w:szCs w:val="26"/>
          <w:lang w:eastAsia="fr-CA"/>
        </w:rPr>
        <w:t>oser une analyse de sensibilité sur les principaux paramètres.</w:t>
      </w:r>
    </w:p>
    <w:p w14:paraId="258313E1" w14:textId="77777777" w:rsidR="00A90353" w:rsidRDefault="00A90353" w:rsidP="00352626">
      <w:pPr>
        <w:rPr>
          <w:rFonts w:cs="Calibri"/>
          <w:color w:val="000000"/>
          <w:lang w:eastAsia="fr-CA"/>
        </w:rPr>
      </w:pPr>
    </w:p>
    <w:p w14:paraId="309E60D4" w14:textId="77777777" w:rsidR="00A90353" w:rsidRPr="005003C2" w:rsidRDefault="00AA550E" w:rsidP="005003C2">
      <w:pPr>
        <w:pStyle w:val="TitreS2"/>
        <w:keepNext/>
        <w:spacing w:before="200" w:after="0"/>
        <w:rPr>
          <w:i/>
          <w:sz w:val="28"/>
          <w:szCs w:val="28"/>
          <w:lang w:eastAsia="fr-CA"/>
        </w:rPr>
      </w:pPr>
      <w:r w:rsidRPr="005003C2">
        <w:rPr>
          <w:i/>
          <w:sz w:val="28"/>
          <w:szCs w:val="28"/>
          <w:lang w:eastAsia="fr-CA"/>
        </w:rPr>
        <w:t>Liste des autorisations exigées en vertu d’autres lois</w:t>
      </w:r>
    </w:p>
    <w:p w14:paraId="46F5606F" w14:textId="77777777" w:rsidR="00A90353" w:rsidRPr="003C02A0" w:rsidRDefault="00AA550E" w:rsidP="00352626">
      <w:pPr>
        <w:pStyle w:val="TitreS2"/>
        <w:numPr>
          <w:ilvl w:val="3"/>
          <w:numId w:val="8"/>
        </w:numPr>
        <w:spacing w:before="200" w:after="0"/>
        <w:ind w:left="567" w:hanging="567"/>
        <w:rPr>
          <w:rStyle w:val="texte-courant1"/>
          <w:rFonts w:cs="Calibri"/>
          <w:b w:val="0"/>
          <w:sz w:val="24"/>
          <w:szCs w:val="24"/>
          <w:lang w:val="fr-FR"/>
        </w:rPr>
      </w:pPr>
      <w:r w:rsidRPr="003C02A0">
        <w:rPr>
          <w:rStyle w:val="texte-courant1"/>
          <w:rFonts w:cs="Calibri"/>
          <w:b w:val="0"/>
          <w:sz w:val="24"/>
          <w:szCs w:val="24"/>
          <w:lang w:val="fr-FR"/>
        </w:rPr>
        <w:t>La liste des différents permis ou autorisations requis par le projet et indiquer ceux qui sont déjà obtenus.</w:t>
      </w:r>
    </w:p>
    <w:p w14:paraId="4E815DBC" w14:textId="25C25878" w:rsidR="00A90353" w:rsidRDefault="00A90353" w:rsidP="00352626">
      <w:pPr>
        <w:rPr>
          <w:rFonts w:cs="Calibri"/>
          <w:lang w:val="fr-FR" w:eastAsia="fr-CA"/>
        </w:rPr>
      </w:pPr>
    </w:p>
    <w:p w14:paraId="2BC8C558" w14:textId="00F3EBD3" w:rsidR="00085B42" w:rsidRDefault="00085B42" w:rsidP="00352626">
      <w:pPr>
        <w:rPr>
          <w:rFonts w:cs="Calibri"/>
          <w:lang w:val="fr-FR" w:eastAsia="fr-CA"/>
        </w:rPr>
      </w:pPr>
    </w:p>
    <w:p w14:paraId="53F5E637" w14:textId="77777777" w:rsidR="00A90353" w:rsidRPr="005003C2" w:rsidRDefault="00AA550E" w:rsidP="005003C2">
      <w:pPr>
        <w:pStyle w:val="TitreS2"/>
        <w:keepNext/>
        <w:spacing w:before="200" w:after="0"/>
        <w:rPr>
          <w:i/>
          <w:sz w:val="28"/>
          <w:szCs w:val="28"/>
          <w:lang w:eastAsia="fr-CA"/>
        </w:rPr>
      </w:pPr>
      <w:r w:rsidRPr="005003C2">
        <w:rPr>
          <w:i/>
          <w:sz w:val="28"/>
          <w:szCs w:val="28"/>
          <w:lang w:eastAsia="fr-CA"/>
        </w:rPr>
        <w:t>Impact sur les tarifs incluant une analyse de sensibilité</w:t>
      </w:r>
    </w:p>
    <w:p w14:paraId="1B8D9B8F" w14:textId="77777777"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 xml:space="preserve">Le cas échéant, fournir les prévisions de ventes additionnelles en gaz naturel et les autres </w:t>
      </w:r>
      <w:r w:rsidR="007A1106" w:rsidRPr="003C02A0">
        <w:rPr>
          <w:rFonts w:eastAsia="Times New Roman" w:cs="Calibri"/>
          <w:b w:val="0"/>
          <w:color w:val="000000"/>
          <w:sz w:val="24"/>
          <w:szCs w:val="26"/>
          <w:lang w:eastAsia="fr-CA"/>
        </w:rPr>
        <w:t>revenus attribuables au Projet.</w:t>
      </w:r>
    </w:p>
    <w:p w14:paraId="22956CAE" w14:textId="229F19CE"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Fournir les hypothèses et paramètres retenus pour l’analyse économique et tarifaire, entre autres, le coût du capital, les taux d’actualisation, les taux d’inflation, les périodes et méthodes d’amortissement, les valeurs résiduelles, la période d’analyse, les contributions externes, les réinvestissements en capital et la valeur actuelle de ces réinvestissements. Justifier ces hypothèses et paramètres, en fourni</w:t>
      </w:r>
      <w:r w:rsidR="007A1106" w:rsidRPr="003C02A0">
        <w:rPr>
          <w:rFonts w:eastAsia="Times New Roman" w:cs="Calibri"/>
          <w:b w:val="0"/>
          <w:color w:val="000000"/>
          <w:sz w:val="24"/>
          <w:szCs w:val="26"/>
          <w:lang w:eastAsia="fr-CA"/>
        </w:rPr>
        <w:t>ssant les références au besoin.</w:t>
      </w:r>
    </w:p>
    <w:p w14:paraId="59771DBC" w14:textId="63FA92C9"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 xml:space="preserve">Indiquer, au besoin, les contributions financières obtenues et déposer les ententes et </w:t>
      </w:r>
      <w:r w:rsidR="00FA01C4" w:rsidRPr="003C02A0">
        <w:rPr>
          <w:rFonts w:eastAsia="Times New Roman" w:cs="Calibri"/>
          <w:b w:val="0"/>
          <w:color w:val="000000"/>
          <w:sz w:val="24"/>
          <w:szCs w:val="26"/>
          <w:lang w:eastAsia="fr-CA"/>
        </w:rPr>
        <w:t>d</w:t>
      </w:r>
      <w:r w:rsidR="004D2AEF" w:rsidRPr="003C02A0">
        <w:rPr>
          <w:rFonts w:eastAsia="Times New Roman" w:cs="Calibri"/>
          <w:b w:val="0"/>
          <w:color w:val="000000"/>
          <w:sz w:val="24"/>
          <w:szCs w:val="26"/>
          <w:lang w:eastAsia="fr-CA"/>
        </w:rPr>
        <w:t>oc</w:t>
      </w:r>
      <w:r w:rsidR="00B64CE8" w:rsidRPr="003C02A0">
        <w:rPr>
          <w:rFonts w:eastAsia="Times New Roman" w:cs="Calibri"/>
          <w:b w:val="0"/>
          <w:color w:val="000000"/>
          <w:sz w:val="24"/>
          <w:szCs w:val="26"/>
          <w:lang w:eastAsia="fr-CA"/>
        </w:rPr>
        <w:t>ument</w:t>
      </w:r>
      <w:r w:rsidR="007A1106" w:rsidRPr="003C02A0">
        <w:rPr>
          <w:rFonts w:eastAsia="Times New Roman" w:cs="Calibri"/>
          <w:b w:val="0"/>
          <w:color w:val="000000"/>
          <w:sz w:val="24"/>
          <w:szCs w:val="26"/>
          <w:lang w:eastAsia="fr-CA"/>
        </w:rPr>
        <w:t>s pertinents</w:t>
      </w:r>
      <w:r w:rsidR="0021331E">
        <w:rPr>
          <w:rFonts w:eastAsia="Times New Roman" w:cs="Calibri"/>
          <w:b w:val="0"/>
          <w:color w:val="000000"/>
          <w:sz w:val="24"/>
          <w:szCs w:val="26"/>
          <w:lang w:eastAsia="fr-CA"/>
        </w:rPr>
        <w:t>, le cas échéant</w:t>
      </w:r>
      <w:r w:rsidR="007A1106" w:rsidRPr="003C02A0">
        <w:rPr>
          <w:rFonts w:eastAsia="Times New Roman" w:cs="Calibri"/>
          <w:b w:val="0"/>
          <w:color w:val="000000"/>
          <w:sz w:val="24"/>
          <w:szCs w:val="26"/>
          <w:lang w:eastAsia="fr-CA"/>
        </w:rPr>
        <w:t>.</w:t>
      </w:r>
    </w:p>
    <w:p w14:paraId="49BC9CEC" w14:textId="016B2047"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Fournir l’analyse de l’impact sur les revenus requis ou sur les tarifs de Gazifère et fournir celle-ci sous form</w:t>
      </w:r>
      <w:r w:rsidR="00870F77">
        <w:rPr>
          <w:rFonts w:eastAsia="Times New Roman" w:cs="Calibri"/>
          <w:b w:val="0"/>
          <w:color w:val="000000"/>
          <w:sz w:val="24"/>
          <w:szCs w:val="26"/>
          <w:lang w:eastAsia="fr-CA"/>
        </w:rPr>
        <w:t>at Excel, incluant les formules lorsque possible</w:t>
      </w:r>
      <w:r w:rsidRPr="003C02A0">
        <w:rPr>
          <w:rFonts w:eastAsia="Times New Roman" w:cs="Calibri"/>
          <w:b w:val="0"/>
          <w:color w:val="000000"/>
          <w:sz w:val="24"/>
          <w:szCs w:val="26"/>
          <w:lang w:eastAsia="fr-CA"/>
        </w:rPr>
        <w:t>. Déposer une analyse de sensibilité sur les principaux paramètres</w:t>
      </w:r>
      <w:r w:rsidR="00870F77">
        <w:rPr>
          <w:rFonts w:eastAsia="Times New Roman" w:cs="Calibri"/>
          <w:b w:val="0"/>
          <w:color w:val="000000"/>
          <w:sz w:val="24"/>
          <w:szCs w:val="26"/>
          <w:lang w:eastAsia="fr-CA"/>
        </w:rPr>
        <w:t>.</w:t>
      </w:r>
    </w:p>
    <w:p w14:paraId="63DCEB97" w14:textId="77777777" w:rsidR="00616D6E" w:rsidRPr="003C02A0" w:rsidRDefault="00616D6E" w:rsidP="00352626">
      <w:pPr>
        <w:rPr>
          <w:rFonts w:cs="Calibri"/>
          <w:color w:val="000000"/>
          <w:lang w:eastAsia="fr-CA"/>
        </w:rPr>
      </w:pPr>
    </w:p>
    <w:p w14:paraId="2D46E23D" w14:textId="035C6390" w:rsidR="00E65694" w:rsidRPr="005003C2" w:rsidRDefault="00AA550E" w:rsidP="005003C2">
      <w:pPr>
        <w:pStyle w:val="TitreS2"/>
        <w:keepNext/>
        <w:spacing w:before="200" w:after="0"/>
        <w:rPr>
          <w:i/>
          <w:sz w:val="28"/>
          <w:szCs w:val="28"/>
          <w:lang w:eastAsia="fr-CA"/>
        </w:rPr>
      </w:pPr>
      <w:r w:rsidRPr="005003C2">
        <w:rPr>
          <w:i/>
          <w:sz w:val="28"/>
          <w:szCs w:val="28"/>
          <w:lang w:eastAsia="fr-CA"/>
        </w:rPr>
        <w:lastRenderedPageBreak/>
        <w:t xml:space="preserve">Impact sur </w:t>
      </w:r>
      <w:r w:rsidR="00085B42" w:rsidRPr="005003C2">
        <w:rPr>
          <w:sz w:val="28"/>
          <w:szCs w:val="28"/>
          <w:lang w:eastAsia="fr-CA"/>
        </w:rPr>
        <w:t>la qualité de prestation du service de distribution</w:t>
      </w:r>
    </w:p>
    <w:p w14:paraId="13620499" w14:textId="77777777" w:rsidR="00E65694"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Présenter l’analyse de l’impact du Projet sur la fiabilité et la qualité du service, le cas échéant, par secteur de marché. Quantifier cet impact, lorsque possible.</w:t>
      </w:r>
    </w:p>
    <w:p w14:paraId="32570B2B" w14:textId="77777777" w:rsidR="00A90353" w:rsidRPr="00ED351B" w:rsidRDefault="00A90353" w:rsidP="00352626">
      <w:pPr>
        <w:pStyle w:val="Paragraphedeliste"/>
        <w:spacing w:after="60" w:line="264" w:lineRule="auto"/>
        <w:ind w:left="567"/>
        <w:contextualSpacing w:val="0"/>
        <w:jc w:val="both"/>
        <w:rPr>
          <w:rFonts w:eastAsia="Times New Roman" w:cs="Calibri"/>
          <w:color w:val="000000"/>
          <w:sz w:val="24"/>
          <w:szCs w:val="26"/>
          <w:lang w:eastAsia="fr-CA"/>
        </w:rPr>
      </w:pPr>
    </w:p>
    <w:p w14:paraId="50544331" w14:textId="77777777" w:rsidR="00A90353" w:rsidRPr="005003C2" w:rsidRDefault="00AA550E" w:rsidP="005003C2">
      <w:pPr>
        <w:pStyle w:val="TitreS2"/>
        <w:keepNext/>
        <w:spacing w:before="200" w:after="0"/>
        <w:rPr>
          <w:i/>
          <w:sz w:val="28"/>
          <w:szCs w:val="28"/>
          <w:lang w:eastAsia="fr-CA"/>
        </w:rPr>
      </w:pPr>
      <w:r w:rsidRPr="005003C2">
        <w:rPr>
          <w:i/>
          <w:sz w:val="28"/>
          <w:szCs w:val="28"/>
          <w:lang w:eastAsia="fr-CA"/>
        </w:rPr>
        <w:t>Autres solutions envisagées</w:t>
      </w:r>
    </w:p>
    <w:p w14:paraId="4BA28F15" w14:textId="77777777" w:rsidR="00A90353"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Décrire les autres solutions envisagées pour rencontrer les objectifs poursuivis par le Projet ainsi que leurs avantages et inconvénients</w:t>
      </w:r>
      <w:r w:rsidRPr="00F77C47">
        <w:rPr>
          <w:rStyle w:val="texte-courant1"/>
          <w:rFonts w:cs="Calibri"/>
          <w:b w:val="0"/>
          <w:sz w:val="24"/>
          <w:szCs w:val="24"/>
          <w:lang w:val="fr-FR"/>
        </w:rPr>
        <w:t>, incluant à l’égard des bénéfices non énergétiques</w:t>
      </w:r>
      <w:r w:rsidRPr="003C02A0">
        <w:rPr>
          <w:rFonts w:eastAsia="Times New Roman" w:cs="Calibri"/>
          <w:b w:val="0"/>
          <w:color w:val="000000"/>
          <w:sz w:val="24"/>
          <w:szCs w:val="26"/>
          <w:lang w:eastAsia="fr-CA"/>
        </w:rPr>
        <w:t xml:space="preserve">. </w:t>
      </w:r>
    </w:p>
    <w:p w14:paraId="36580221" w14:textId="72007E86" w:rsidR="00A90353"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Comparer</w:t>
      </w:r>
      <w:r w:rsidR="007F6006">
        <w:rPr>
          <w:rFonts w:eastAsia="Times New Roman" w:cs="Calibri"/>
          <w:b w:val="0"/>
          <w:color w:val="000000"/>
          <w:sz w:val="24"/>
          <w:szCs w:val="26"/>
          <w:lang w:eastAsia="fr-CA"/>
        </w:rPr>
        <w:t xml:space="preserve"> au besoin</w:t>
      </w:r>
      <w:r w:rsidRPr="003C02A0">
        <w:rPr>
          <w:rFonts w:eastAsia="Times New Roman" w:cs="Calibri"/>
          <w:b w:val="0"/>
          <w:color w:val="000000"/>
          <w:sz w:val="24"/>
          <w:szCs w:val="26"/>
          <w:lang w:eastAsia="fr-CA"/>
        </w:rPr>
        <w:t xml:space="preserve"> les aspects techniques et économiques, les coûts, les échéanciers, les impacts sur la qualité du service ainsi que l’évaluation des risques associés à chaque solution, selon le niveau de détail approprié.</w:t>
      </w:r>
    </w:p>
    <w:p w14:paraId="69567C3C" w14:textId="77777777" w:rsidR="00A90353" w:rsidRPr="003C02A0" w:rsidRDefault="00AA550E" w:rsidP="00352626">
      <w:pPr>
        <w:pStyle w:val="TitreS2"/>
        <w:numPr>
          <w:ilvl w:val="3"/>
          <w:numId w:val="8"/>
        </w:numPr>
        <w:spacing w:before="200" w:after="0"/>
        <w:ind w:left="567" w:hanging="567"/>
        <w:rPr>
          <w:rFonts w:eastAsia="Times New Roman" w:cs="Calibri"/>
          <w:b w:val="0"/>
          <w:color w:val="000000"/>
          <w:sz w:val="24"/>
          <w:szCs w:val="26"/>
          <w:lang w:eastAsia="fr-CA"/>
        </w:rPr>
      </w:pPr>
      <w:r w:rsidRPr="003C02A0">
        <w:rPr>
          <w:rFonts w:eastAsia="Times New Roman" w:cs="Calibri"/>
          <w:b w:val="0"/>
          <w:color w:val="000000"/>
          <w:sz w:val="24"/>
          <w:szCs w:val="26"/>
          <w:lang w:eastAsia="fr-CA"/>
        </w:rPr>
        <w:t>Déposer au besoin les études ou analyses comparatives ayant mené au choix de la solution proposée et présenter les paramètres économiques utilisés.</w:t>
      </w:r>
    </w:p>
    <w:p w14:paraId="2E5875BA" w14:textId="77777777" w:rsidR="00435854" w:rsidRDefault="00435854" w:rsidP="00352626">
      <w:pPr>
        <w:rPr>
          <w:rFonts w:cs="Calibri"/>
          <w:b/>
          <w:color w:val="000000"/>
        </w:rPr>
      </w:pPr>
    </w:p>
    <w:p w14:paraId="45883252" w14:textId="63903545" w:rsidR="00E65694" w:rsidRPr="005003C2" w:rsidRDefault="00AA550E" w:rsidP="005003C2">
      <w:pPr>
        <w:pStyle w:val="TitreS2"/>
        <w:keepNext/>
        <w:spacing w:before="200" w:after="0"/>
        <w:rPr>
          <w:i/>
          <w:sz w:val="28"/>
          <w:szCs w:val="28"/>
          <w:lang w:eastAsia="fr-CA"/>
        </w:rPr>
      </w:pPr>
      <w:r w:rsidRPr="005003C2">
        <w:rPr>
          <w:i/>
          <w:sz w:val="28"/>
          <w:szCs w:val="28"/>
          <w:lang w:eastAsia="fr-CA"/>
        </w:rPr>
        <w:t>Autres aspects</w:t>
      </w:r>
    </w:p>
    <w:p w14:paraId="14FF5ECA" w14:textId="5E569F77" w:rsidR="00E65694" w:rsidRPr="00435854"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435854">
        <w:rPr>
          <w:rFonts w:eastAsia="Times New Roman" w:cs="Calibri"/>
          <w:b w:val="0"/>
          <w:color w:val="000000"/>
          <w:sz w:val="24"/>
          <w:szCs w:val="24"/>
          <w:lang w:eastAsia="fr-CA"/>
        </w:rPr>
        <w:t>Déposer les ententes et engagements contractuels pertinents au Projet impliquant les con</w:t>
      </w:r>
      <w:r w:rsidR="00616D6E" w:rsidRPr="00435854">
        <w:rPr>
          <w:rFonts w:eastAsia="Times New Roman" w:cs="Calibri"/>
          <w:b w:val="0"/>
          <w:color w:val="000000"/>
          <w:sz w:val="24"/>
          <w:szCs w:val="24"/>
          <w:lang w:eastAsia="fr-CA"/>
        </w:rPr>
        <w:t>sommateurs concernés ou tiers</w:t>
      </w:r>
      <w:r w:rsidR="006C7BDC">
        <w:rPr>
          <w:rFonts w:eastAsia="Times New Roman" w:cs="Calibri"/>
          <w:b w:val="0"/>
          <w:color w:val="000000"/>
          <w:sz w:val="24"/>
          <w:szCs w:val="24"/>
          <w:lang w:eastAsia="fr-CA"/>
        </w:rPr>
        <w:t>, le cas échéant</w:t>
      </w:r>
      <w:r w:rsidR="00616D6E" w:rsidRPr="00435854">
        <w:rPr>
          <w:rFonts w:eastAsia="Times New Roman" w:cs="Calibri"/>
          <w:b w:val="0"/>
          <w:color w:val="000000"/>
          <w:sz w:val="24"/>
          <w:szCs w:val="24"/>
          <w:lang w:eastAsia="fr-CA"/>
        </w:rPr>
        <w:t>.</w:t>
      </w:r>
    </w:p>
    <w:p w14:paraId="03B41640" w14:textId="792288B8" w:rsidR="00E65694" w:rsidRPr="00085B42" w:rsidRDefault="00AA550E" w:rsidP="00352626">
      <w:pPr>
        <w:pStyle w:val="TitreS2"/>
        <w:numPr>
          <w:ilvl w:val="3"/>
          <w:numId w:val="8"/>
        </w:numPr>
        <w:spacing w:before="200" w:after="0"/>
        <w:ind w:left="567" w:hanging="567"/>
        <w:rPr>
          <w:rFonts w:cs="Calibri"/>
          <w:b w:val="0"/>
          <w:bCs w:val="0"/>
          <w:color w:val="000000"/>
          <w:sz w:val="24"/>
          <w:szCs w:val="24"/>
        </w:rPr>
      </w:pPr>
      <w:r w:rsidRPr="00435854">
        <w:rPr>
          <w:rFonts w:eastAsia="Times New Roman" w:cs="Calibri"/>
          <w:b w:val="0"/>
          <w:color w:val="000000"/>
          <w:sz w:val="24"/>
          <w:szCs w:val="24"/>
          <w:lang w:eastAsia="fr-CA"/>
        </w:rPr>
        <w:t>Présenter le mode de suivi proposé par Gazifère pour la mise en œuvre du Projet, la réalisation des différentes étapes, les résultats et les gains obtenus, les coûts et les échéanciers. Le suivi doit permettre la comparaison avec les prévisions indiquées dans la demande d’autorisation et fournir les explications des écarts majeurs.</w:t>
      </w:r>
    </w:p>
    <w:p w14:paraId="3CE403AA" w14:textId="77777777" w:rsidR="00085B42" w:rsidRPr="00085B42" w:rsidRDefault="00085B42" w:rsidP="00352626">
      <w:pPr>
        <w:pStyle w:val="TitreS2"/>
        <w:spacing w:before="200" w:after="0"/>
        <w:rPr>
          <w:rFonts w:cs="Calibri"/>
          <w:b w:val="0"/>
          <w:bCs w:val="0"/>
          <w:color w:val="000000"/>
          <w:sz w:val="24"/>
          <w:szCs w:val="24"/>
        </w:rPr>
      </w:pPr>
    </w:p>
    <w:p w14:paraId="288AC6F6" w14:textId="6A257AD5" w:rsidR="00085B42" w:rsidRPr="009C797D" w:rsidRDefault="00AA550E" w:rsidP="005003C2">
      <w:pPr>
        <w:pStyle w:val="Titre2"/>
        <w:keepNext/>
        <w:tabs>
          <w:tab w:val="clear" w:pos="709"/>
          <w:tab w:val="num" w:pos="851"/>
        </w:tabs>
        <w:ind w:left="851" w:hanging="851"/>
        <w:rPr>
          <w:rFonts w:cs="Calibri"/>
        </w:rPr>
      </w:pPr>
      <w:bookmarkStart w:id="48" w:name="_Toc124329946"/>
      <w:r w:rsidRPr="005F3E35">
        <w:rPr>
          <w:rStyle w:val="texte-courant1"/>
        </w:rPr>
        <w:t xml:space="preserve">Informations requises </w:t>
      </w:r>
      <w:r>
        <w:rPr>
          <w:rStyle w:val="texte-courant1"/>
        </w:rPr>
        <w:t>au</w:t>
      </w:r>
      <w:r w:rsidRPr="005F3E35">
        <w:rPr>
          <w:rStyle w:val="texte-courant1"/>
        </w:rPr>
        <w:t xml:space="preserve"> dossier tarifaire </w:t>
      </w:r>
      <w:r w:rsidRPr="009C797D">
        <w:rPr>
          <w:rFonts w:cs="Calibri"/>
        </w:rPr>
        <w:t xml:space="preserve">pour les investissements dont le coût est inférieur </w:t>
      </w:r>
      <w:r>
        <w:rPr>
          <w:rFonts w:cs="Calibri"/>
        </w:rPr>
        <w:t>à 1,2 M$</w:t>
      </w:r>
      <w:bookmarkEnd w:id="48"/>
    </w:p>
    <w:p w14:paraId="6EFF9D1D" w14:textId="77777777" w:rsidR="00085B42" w:rsidRPr="004066FA" w:rsidRDefault="00085B42" w:rsidP="005003C2">
      <w:pPr>
        <w:pStyle w:val="Paragraphedeliste"/>
        <w:keepNext/>
        <w:spacing w:after="60" w:line="264" w:lineRule="auto"/>
        <w:ind w:left="0"/>
        <w:contextualSpacing w:val="0"/>
        <w:jc w:val="both"/>
        <w:rPr>
          <w:rFonts w:cs="Calibri"/>
          <w:sz w:val="24"/>
          <w:szCs w:val="24"/>
        </w:rPr>
      </w:pPr>
    </w:p>
    <w:p w14:paraId="5F3B41E4" w14:textId="55BB6AF3" w:rsidR="00085B42" w:rsidRPr="004066FA" w:rsidRDefault="006805BC" w:rsidP="005003C2">
      <w:pPr>
        <w:keepNext/>
        <w:rPr>
          <w:rFonts w:cs="Calibri"/>
          <w:bCs/>
          <w:szCs w:val="24"/>
        </w:rPr>
      </w:pPr>
      <w:r>
        <w:rPr>
          <w:rFonts w:cs="Calibri"/>
          <w:bCs/>
          <w:szCs w:val="24"/>
        </w:rPr>
        <w:t>F</w:t>
      </w:r>
      <w:r w:rsidR="00AA550E" w:rsidRPr="004066FA">
        <w:rPr>
          <w:rFonts w:cs="Calibri"/>
          <w:bCs/>
          <w:szCs w:val="24"/>
        </w:rPr>
        <w:t>ournir, pour l’année ou les années faisant l’objet de la demande :</w:t>
      </w:r>
    </w:p>
    <w:p w14:paraId="7F5BB871" w14:textId="77777777" w:rsidR="00085B42" w:rsidRPr="003C02A0" w:rsidRDefault="00AA550E" w:rsidP="005003C2">
      <w:pPr>
        <w:pStyle w:val="TitreS2"/>
        <w:keepNext/>
        <w:numPr>
          <w:ilvl w:val="3"/>
          <w:numId w:val="8"/>
        </w:numPr>
        <w:spacing w:before="200" w:after="0"/>
        <w:ind w:left="567" w:hanging="567"/>
        <w:rPr>
          <w:rFonts w:cs="Calibri"/>
          <w:b w:val="0"/>
          <w:bCs w:val="0"/>
          <w:sz w:val="24"/>
          <w:szCs w:val="24"/>
        </w:rPr>
      </w:pPr>
      <w:r w:rsidRPr="003C02A0">
        <w:rPr>
          <w:rFonts w:cs="Calibri"/>
          <w:b w:val="0"/>
          <w:bCs w:val="0"/>
          <w:sz w:val="24"/>
          <w:szCs w:val="24"/>
        </w:rPr>
        <w:t>La description synthétique des investissements et de leurs objectifs.</w:t>
      </w:r>
    </w:p>
    <w:p w14:paraId="7CBFC779" w14:textId="77777777" w:rsidR="00085B42" w:rsidRPr="003C02A0" w:rsidRDefault="00AA550E" w:rsidP="005003C2">
      <w:pPr>
        <w:pStyle w:val="TitreS2"/>
        <w:keepNext/>
        <w:numPr>
          <w:ilvl w:val="3"/>
          <w:numId w:val="8"/>
        </w:numPr>
        <w:spacing w:before="200" w:after="0"/>
        <w:ind w:left="567" w:hanging="567"/>
        <w:rPr>
          <w:rFonts w:cs="Calibri"/>
          <w:b w:val="0"/>
          <w:bCs w:val="0"/>
          <w:sz w:val="24"/>
          <w:szCs w:val="24"/>
        </w:rPr>
      </w:pPr>
      <w:r w:rsidRPr="003C02A0">
        <w:rPr>
          <w:rFonts w:cs="Calibri"/>
          <w:b w:val="0"/>
          <w:bCs w:val="0"/>
          <w:sz w:val="24"/>
          <w:szCs w:val="24"/>
        </w:rPr>
        <w:t xml:space="preserve">Les coûts associés à chaque catégorie d’investissements, en présentant ces derniers par principaux groupes d’actifs. Pour la catégorie « Additions liées à l’ajout de clients », le </w:t>
      </w:r>
      <w:r w:rsidRPr="003C02A0">
        <w:rPr>
          <w:rFonts w:cs="Calibri"/>
          <w:b w:val="0"/>
          <w:bCs w:val="0"/>
          <w:sz w:val="24"/>
          <w:szCs w:val="24"/>
        </w:rPr>
        <w:lastRenderedPageBreak/>
        <w:t>montant moyen par client des investissements en capital et la justification de toute variation significative d’une année à l’autre.</w:t>
      </w:r>
    </w:p>
    <w:p w14:paraId="64547A0C" w14:textId="77777777" w:rsidR="00085B42" w:rsidRPr="003C02A0" w:rsidRDefault="00AA550E" w:rsidP="00352626">
      <w:pPr>
        <w:pStyle w:val="TitreS2"/>
        <w:numPr>
          <w:ilvl w:val="3"/>
          <w:numId w:val="8"/>
        </w:numPr>
        <w:spacing w:before="200" w:after="0"/>
        <w:ind w:left="567" w:hanging="567"/>
        <w:rPr>
          <w:rFonts w:cs="Calibri"/>
          <w:b w:val="0"/>
          <w:bCs w:val="0"/>
          <w:sz w:val="24"/>
          <w:szCs w:val="24"/>
        </w:rPr>
      </w:pPr>
      <w:r w:rsidRPr="003C02A0">
        <w:rPr>
          <w:rFonts w:cs="Calibri"/>
          <w:b w:val="0"/>
          <w:bCs w:val="0"/>
          <w:sz w:val="24"/>
          <w:szCs w:val="24"/>
        </w:rPr>
        <w:t>La justification des investissements prévus en termes de croissance de la clientèle, de maintien des actifs ou d’amélioration de la fiabilité et de la qualité de service.</w:t>
      </w:r>
    </w:p>
    <w:p w14:paraId="17DAF966" w14:textId="77777777" w:rsidR="00085B42" w:rsidRPr="003C02A0" w:rsidRDefault="00AA550E" w:rsidP="00352626">
      <w:pPr>
        <w:pStyle w:val="TitreS2"/>
        <w:numPr>
          <w:ilvl w:val="3"/>
          <w:numId w:val="8"/>
        </w:numPr>
        <w:spacing w:before="200" w:after="0"/>
        <w:ind w:left="567" w:hanging="567"/>
        <w:rPr>
          <w:rFonts w:cs="Calibri"/>
          <w:b w:val="0"/>
          <w:bCs w:val="0"/>
          <w:sz w:val="24"/>
          <w:szCs w:val="24"/>
        </w:rPr>
      </w:pPr>
      <w:r w:rsidRPr="003C02A0">
        <w:rPr>
          <w:rFonts w:cs="Calibri"/>
          <w:b w:val="0"/>
          <w:bCs w:val="0"/>
          <w:sz w:val="24"/>
          <w:szCs w:val="24"/>
        </w:rPr>
        <w:t>L’impact sur les tarifs, en présentant la valeur actuelle nette (VAN), le taux de rendement interne (TRI) des investissements prévus et les calculs sous-jacents à l’analyse de rentabilité.</w:t>
      </w:r>
    </w:p>
    <w:p w14:paraId="469E8C21" w14:textId="3FDAAD62" w:rsidR="00085B42" w:rsidRDefault="00085B42" w:rsidP="00352626">
      <w:pPr>
        <w:pStyle w:val="Paragraphedeliste"/>
        <w:spacing w:after="60" w:line="264" w:lineRule="auto"/>
        <w:ind w:left="567"/>
        <w:contextualSpacing w:val="0"/>
        <w:jc w:val="both"/>
        <w:rPr>
          <w:rFonts w:cs="Calibri"/>
          <w:bCs/>
          <w:sz w:val="24"/>
          <w:szCs w:val="24"/>
        </w:rPr>
      </w:pPr>
    </w:p>
    <w:p w14:paraId="433A6D9B" w14:textId="77777777" w:rsidR="002123E4" w:rsidRDefault="002123E4" w:rsidP="00352626">
      <w:pPr>
        <w:pStyle w:val="Paragraphedeliste"/>
        <w:spacing w:after="60" w:line="264" w:lineRule="auto"/>
        <w:ind w:left="567"/>
        <w:contextualSpacing w:val="0"/>
        <w:jc w:val="both"/>
        <w:rPr>
          <w:rFonts w:cs="Calibri"/>
          <w:bCs/>
          <w:sz w:val="24"/>
          <w:szCs w:val="24"/>
        </w:rPr>
      </w:pPr>
    </w:p>
    <w:p w14:paraId="6F6D34EA" w14:textId="678F24B8" w:rsidR="00CE3152" w:rsidRPr="009C797D" w:rsidRDefault="00AA550E" w:rsidP="00352626">
      <w:pPr>
        <w:pStyle w:val="Titre1"/>
        <w:rPr>
          <w:rFonts w:cs="Calibri"/>
        </w:rPr>
      </w:pPr>
      <w:bookmarkStart w:id="49" w:name="_Toc124329947"/>
      <w:r>
        <w:rPr>
          <w:rFonts w:cs="Calibri"/>
        </w:rPr>
        <w:t xml:space="preserve">Informations spécifiques requises en lien avec </w:t>
      </w:r>
      <w:r w:rsidR="005A1244">
        <w:rPr>
          <w:rFonts w:cs="Calibri"/>
        </w:rPr>
        <w:t>la fermeture règlementaire des livres</w:t>
      </w:r>
      <w:bookmarkEnd w:id="49"/>
    </w:p>
    <w:p w14:paraId="4B93D777" w14:textId="77777777" w:rsidR="00CE3152" w:rsidRDefault="00CE3152" w:rsidP="00352626">
      <w:pPr>
        <w:rPr>
          <w:rFonts w:cs="Calibri"/>
          <w:b/>
          <w:lang w:val="fr-FR"/>
        </w:rPr>
      </w:pPr>
    </w:p>
    <w:p w14:paraId="01BDBDC9" w14:textId="17E17183" w:rsidR="00CE3152" w:rsidRPr="009C797D" w:rsidRDefault="00AA550E" w:rsidP="00352626">
      <w:pPr>
        <w:shd w:val="clear" w:color="auto" w:fill="BDD6EE" w:themeFill="accent1" w:themeFillTint="66"/>
        <w:rPr>
          <w:rStyle w:val="label-section1"/>
          <w:rFonts w:ascii="Calibri" w:hAnsi="Calibri" w:cs="Calibri"/>
          <w:sz w:val="26"/>
          <w:szCs w:val="26"/>
          <w:lang w:val="fr-FR"/>
        </w:rPr>
      </w:pPr>
      <w:r w:rsidRPr="009C797D">
        <w:rPr>
          <w:rFonts w:cs="Calibri"/>
          <w:b/>
          <w:color w:val="0070C0"/>
          <w:lang w:val="fr-FR"/>
        </w:rPr>
        <w:t xml:space="preserve">Article </w:t>
      </w:r>
      <w:hyperlink r:id="rId40" w:history="1">
        <w:r>
          <w:rPr>
            <w:rStyle w:val="label-section1"/>
            <w:rFonts w:ascii="Calibri" w:hAnsi="Calibri" w:cs="Calibri"/>
            <w:color w:val="0070C0"/>
            <w:sz w:val="26"/>
            <w:szCs w:val="26"/>
            <w:lang w:val="fr-FR"/>
          </w:rPr>
          <w:t>75</w:t>
        </w:r>
      </w:hyperlink>
      <w:r>
        <w:rPr>
          <w:rStyle w:val="Appelnotedebasdep"/>
          <w:rFonts w:cs="Calibri"/>
          <w:bCs/>
          <w:lang w:val="fr-FR"/>
        </w:rPr>
        <w:footnoteReference w:id="43"/>
      </w:r>
    </w:p>
    <w:p w14:paraId="1AF89167" w14:textId="77777777" w:rsidR="005A1244" w:rsidRDefault="005A1244" w:rsidP="00352626">
      <w:pPr>
        <w:rPr>
          <w:rFonts w:cs="Calibri"/>
        </w:rPr>
      </w:pPr>
    </w:p>
    <w:p w14:paraId="500448E9" w14:textId="14CC744C" w:rsidR="005A1244" w:rsidRDefault="00AA550E" w:rsidP="00352626">
      <w:pPr>
        <w:rPr>
          <w:rFonts w:cs="Calibri"/>
        </w:rPr>
      </w:pPr>
      <w:r>
        <w:rPr>
          <w:rFonts w:cs="Calibri"/>
          <w:szCs w:val="24"/>
        </w:rPr>
        <w:t>Le dossier de fermeture règlementaire des livres présente les résultats réels de l’année visée et les écarts avec les montants autorisés ainsi que les montants réels de l’année historique. Ces résultats concernent d’abord le bénéfice net réglementé, ainsi que l’excédent de rendement ou le manque à gagner et son mode de partage, mais également différents suivis dont ceux relatifs au PGEÉ, aux programmes commerciaux ainsi qu’aux projets d’investissement.</w:t>
      </w:r>
    </w:p>
    <w:p w14:paraId="67267B6B" w14:textId="19955531" w:rsidR="00CE3152" w:rsidRPr="008811B4" w:rsidRDefault="00AA550E" w:rsidP="00352626">
      <w:r w:rsidRPr="0038424D">
        <w:rPr>
          <w:rFonts w:cs="Calibri"/>
        </w:rPr>
        <w:t xml:space="preserve">Gazifère </w:t>
      </w:r>
      <w:r w:rsidRPr="0038424D">
        <w:t>doit fournir</w:t>
      </w:r>
      <w:r w:rsidR="001F6355">
        <w:t xml:space="preserve"> annuellement</w:t>
      </w:r>
      <w:r w:rsidRPr="0038424D">
        <w:t xml:space="preserve"> à la Régie un rapport comprenant les renseignements</w:t>
      </w:r>
      <w:r w:rsidRPr="008811B4">
        <w:t xml:space="preserve"> suivants:</w:t>
      </w:r>
    </w:p>
    <w:p w14:paraId="4A59A8F1" w14:textId="77777777" w:rsidR="00CE3152" w:rsidRPr="00F058A5" w:rsidRDefault="00AA550E" w:rsidP="00352626">
      <w:pPr>
        <w:pStyle w:val="Paragraphedeliste"/>
        <w:numPr>
          <w:ilvl w:val="0"/>
          <w:numId w:val="26"/>
        </w:numPr>
        <w:autoSpaceDE w:val="0"/>
        <w:autoSpaceDN w:val="0"/>
        <w:adjustRightInd w:val="0"/>
        <w:spacing w:before="0" w:after="0" w:line="264" w:lineRule="auto"/>
        <w:ind w:left="993" w:hanging="426"/>
        <w:contextualSpacing w:val="0"/>
        <w:jc w:val="both"/>
        <w:rPr>
          <w:sz w:val="24"/>
          <w:szCs w:val="24"/>
        </w:rPr>
      </w:pPr>
      <w:r w:rsidRPr="00F058A5">
        <w:rPr>
          <w:sz w:val="24"/>
          <w:szCs w:val="24"/>
        </w:rPr>
        <w:t>son nom;</w:t>
      </w:r>
    </w:p>
    <w:p w14:paraId="6CB2F3B3" w14:textId="77777777" w:rsidR="00CE3152" w:rsidRPr="00F058A5" w:rsidRDefault="00AA550E" w:rsidP="00352626">
      <w:pPr>
        <w:pStyle w:val="Paragraphedeliste"/>
        <w:numPr>
          <w:ilvl w:val="0"/>
          <w:numId w:val="26"/>
        </w:numPr>
        <w:autoSpaceDE w:val="0"/>
        <w:autoSpaceDN w:val="0"/>
        <w:adjustRightInd w:val="0"/>
        <w:spacing w:before="0" w:after="0" w:line="264" w:lineRule="auto"/>
        <w:ind w:left="993" w:hanging="426"/>
        <w:contextualSpacing w:val="0"/>
        <w:jc w:val="both"/>
        <w:rPr>
          <w:sz w:val="24"/>
          <w:szCs w:val="24"/>
        </w:rPr>
      </w:pPr>
      <w:r w:rsidRPr="00F058A5">
        <w:rPr>
          <w:sz w:val="24"/>
          <w:szCs w:val="24"/>
        </w:rPr>
        <w:t>dans le cas d’une société qui exploite une entreprise, son capital social, les diverses émissions de titres faites depuis l’établissement de l’entreprise ou depuis le dernier rapport et les noms des administrateurs;</w:t>
      </w:r>
    </w:p>
    <w:p w14:paraId="283C052D" w14:textId="77777777" w:rsidR="00CE3152" w:rsidRPr="00F058A5" w:rsidRDefault="00AA550E" w:rsidP="00352626">
      <w:pPr>
        <w:pStyle w:val="Paragraphedeliste"/>
        <w:numPr>
          <w:ilvl w:val="0"/>
          <w:numId w:val="26"/>
        </w:numPr>
        <w:autoSpaceDE w:val="0"/>
        <w:autoSpaceDN w:val="0"/>
        <w:adjustRightInd w:val="0"/>
        <w:spacing w:before="0" w:after="0" w:line="264" w:lineRule="auto"/>
        <w:ind w:left="993" w:hanging="426"/>
        <w:contextualSpacing w:val="0"/>
        <w:jc w:val="both"/>
        <w:rPr>
          <w:sz w:val="24"/>
          <w:szCs w:val="24"/>
        </w:rPr>
      </w:pPr>
      <w:r w:rsidRPr="00F058A5">
        <w:rPr>
          <w:sz w:val="24"/>
          <w:szCs w:val="24"/>
        </w:rPr>
        <w:t>son actif, son passif, ses dépenses et ses revenus de l’année;</w:t>
      </w:r>
    </w:p>
    <w:p w14:paraId="219F5F99" w14:textId="77777777" w:rsidR="00CE3152" w:rsidRPr="00F058A5" w:rsidRDefault="00AA550E" w:rsidP="00352626">
      <w:pPr>
        <w:pStyle w:val="Paragraphedeliste"/>
        <w:numPr>
          <w:ilvl w:val="0"/>
          <w:numId w:val="26"/>
        </w:numPr>
        <w:autoSpaceDE w:val="0"/>
        <w:autoSpaceDN w:val="0"/>
        <w:adjustRightInd w:val="0"/>
        <w:spacing w:before="0" w:after="0" w:line="264" w:lineRule="auto"/>
        <w:ind w:left="993" w:hanging="426"/>
        <w:contextualSpacing w:val="0"/>
        <w:jc w:val="both"/>
        <w:rPr>
          <w:sz w:val="24"/>
          <w:szCs w:val="24"/>
        </w:rPr>
      </w:pPr>
      <w:r w:rsidRPr="00F058A5">
        <w:rPr>
          <w:sz w:val="24"/>
          <w:szCs w:val="24"/>
        </w:rPr>
        <w:t>les prix et taux exigés au cours de l’année;</w:t>
      </w:r>
    </w:p>
    <w:p w14:paraId="7A2338A9" w14:textId="77777777" w:rsidR="00CE3152" w:rsidRPr="008811B4" w:rsidRDefault="00AA550E" w:rsidP="00352626">
      <w:pPr>
        <w:pStyle w:val="Paragraphedeliste"/>
        <w:numPr>
          <w:ilvl w:val="0"/>
          <w:numId w:val="26"/>
        </w:numPr>
        <w:autoSpaceDE w:val="0"/>
        <w:autoSpaceDN w:val="0"/>
        <w:adjustRightInd w:val="0"/>
        <w:spacing w:before="0" w:after="0" w:line="264" w:lineRule="auto"/>
        <w:ind w:left="993" w:hanging="426"/>
        <w:contextualSpacing w:val="0"/>
        <w:jc w:val="both"/>
      </w:pPr>
      <w:r w:rsidRPr="00F058A5">
        <w:rPr>
          <w:sz w:val="24"/>
          <w:szCs w:val="24"/>
        </w:rPr>
        <w:t>tout</w:t>
      </w:r>
      <w:r w:rsidRPr="008811B4">
        <w:t xml:space="preserve"> autre renseignement que peut exiger la Régie.</w:t>
      </w:r>
    </w:p>
    <w:p w14:paraId="3441A18F" w14:textId="77777777" w:rsidR="00CE3152" w:rsidRDefault="00CE3152" w:rsidP="00352626">
      <w:pPr>
        <w:rPr>
          <w:rFonts w:cs="Calibri"/>
          <w:b/>
        </w:rPr>
      </w:pPr>
    </w:p>
    <w:p w14:paraId="54DFAFA8" w14:textId="77777777" w:rsidR="00CE3152" w:rsidRDefault="00AA550E" w:rsidP="00352626">
      <w:pPr>
        <w:tabs>
          <w:tab w:val="left" w:pos="1931"/>
        </w:tabs>
        <w:rPr>
          <w:rFonts w:cs="Calibri"/>
          <w:color w:val="000000"/>
          <w:lang w:eastAsia="fr-CA"/>
        </w:rPr>
      </w:pPr>
      <w:r w:rsidRPr="009C797D">
        <w:rPr>
          <w:rFonts w:cs="Calibri"/>
          <w:color w:val="000000"/>
          <w:lang w:eastAsia="fr-CA"/>
        </w:rPr>
        <w:t>Présenter distinctement les informations suivantes :</w:t>
      </w:r>
    </w:p>
    <w:p w14:paraId="2462AF87" w14:textId="4EAD84E9" w:rsidR="00CE3152" w:rsidRDefault="00CE3152" w:rsidP="00352626">
      <w:pPr>
        <w:tabs>
          <w:tab w:val="left" w:pos="1931"/>
        </w:tabs>
        <w:rPr>
          <w:rFonts w:cs="Calibri"/>
          <w:b/>
          <w:color w:val="000000"/>
        </w:rPr>
      </w:pPr>
    </w:p>
    <w:p w14:paraId="71D0B52F" w14:textId="77777777" w:rsidR="00A82B79" w:rsidRPr="00856C38" w:rsidRDefault="00A82B79" w:rsidP="00352626">
      <w:pPr>
        <w:tabs>
          <w:tab w:val="left" w:pos="1931"/>
        </w:tabs>
        <w:rPr>
          <w:rFonts w:cs="Calibri"/>
          <w:b/>
          <w:color w:val="000000"/>
        </w:rPr>
      </w:pPr>
    </w:p>
    <w:tbl>
      <w:tblPr>
        <w:tblW w:w="4981" w:type="pct"/>
        <w:tblInd w:w="-5" w:type="dxa"/>
        <w:tblCellMar>
          <w:left w:w="0" w:type="dxa"/>
          <w:right w:w="0" w:type="dxa"/>
        </w:tblCellMar>
        <w:tblLook w:val="04A0" w:firstRow="1" w:lastRow="0" w:firstColumn="1" w:lastColumn="0" w:noHBand="0" w:noVBand="1"/>
      </w:tblPr>
      <w:tblGrid>
        <w:gridCol w:w="9370"/>
      </w:tblGrid>
      <w:tr w:rsidR="00DC782D" w14:paraId="58B78A5D" w14:textId="77777777" w:rsidTr="004277D4">
        <w:trPr>
          <w:trHeight w:val="255"/>
        </w:trPr>
        <w:tc>
          <w:tcPr>
            <w:tcW w:w="5000" w:type="pct"/>
          </w:tcPr>
          <w:p w14:paraId="78F48C4E" w14:textId="77777777" w:rsidR="00CE3152" w:rsidRPr="00856C38" w:rsidRDefault="00AA550E" w:rsidP="00352626">
            <w:pPr>
              <w:pStyle w:val="Titre2"/>
              <w:keepNext/>
              <w:tabs>
                <w:tab w:val="clear" w:pos="709"/>
                <w:tab w:val="num" w:pos="851"/>
              </w:tabs>
              <w:ind w:left="851" w:hanging="851"/>
              <w:rPr>
                <w:rFonts w:cs="Calibri"/>
                <w:lang w:eastAsia="fr-CA"/>
              </w:rPr>
            </w:pPr>
            <w:bookmarkStart w:id="50" w:name="_Toc124329948"/>
            <w:r w:rsidRPr="00856C38">
              <w:rPr>
                <w:rFonts w:cs="Calibri"/>
              </w:rPr>
              <w:lastRenderedPageBreak/>
              <w:t>Informations générales</w:t>
            </w:r>
            <w:bookmarkEnd w:id="50"/>
          </w:p>
        </w:tc>
      </w:tr>
      <w:tr w:rsidR="00DC782D" w14:paraId="33F68337" w14:textId="77777777" w:rsidTr="004277D4">
        <w:trPr>
          <w:trHeight w:val="255"/>
        </w:trPr>
        <w:tc>
          <w:tcPr>
            <w:tcW w:w="5000" w:type="pct"/>
          </w:tcPr>
          <w:p w14:paraId="1443FFB5" w14:textId="77777777" w:rsidR="00CE3152" w:rsidRPr="00A743D8"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A743D8">
              <w:rPr>
                <w:rFonts w:eastAsia="Times New Roman" w:cs="Calibri"/>
                <w:b w:val="0"/>
                <w:sz w:val="24"/>
                <w:szCs w:val="24"/>
                <w:lang w:eastAsia="fr-CA"/>
              </w:rPr>
              <w:t>L</w:t>
            </w:r>
            <w:r w:rsidRPr="00A743D8">
              <w:rPr>
                <w:rFonts w:cs="Calibri"/>
                <w:b w:val="0"/>
                <w:sz w:val="24"/>
                <w:szCs w:val="24"/>
              </w:rPr>
              <w:t>es</w:t>
            </w:r>
            <w:r w:rsidRPr="00A743D8">
              <w:rPr>
                <w:rFonts w:eastAsia="Times New Roman" w:cs="Calibri"/>
                <w:b w:val="0"/>
                <w:sz w:val="24"/>
                <w:szCs w:val="24"/>
                <w:lang w:eastAsia="fr-CA"/>
              </w:rPr>
              <w:t xml:space="preserve"> résultats financiers de la fermeture des livres, incluant :</w:t>
            </w:r>
          </w:p>
          <w:p w14:paraId="0FB58824" w14:textId="0FAEE0BC" w:rsidR="00CE3152" w:rsidRPr="00A743D8" w:rsidRDefault="00AA550E" w:rsidP="00352626">
            <w:pPr>
              <w:numPr>
                <w:ilvl w:val="0"/>
                <w:numId w:val="19"/>
              </w:numPr>
              <w:spacing w:before="0"/>
              <w:ind w:right="147" w:hanging="283"/>
              <w:rPr>
                <w:rFonts w:cs="Calibri"/>
                <w:lang w:eastAsia="fr-CA"/>
              </w:rPr>
            </w:pPr>
            <w:r w:rsidRPr="00A743D8">
              <w:rPr>
                <w:rFonts w:cs="Calibri"/>
                <w:lang w:eastAsia="fr-CA"/>
              </w:rPr>
              <w:t xml:space="preserve">le résultat réel </w:t>
            </w:r>
            <w:r w:rsidR="001F6355">
              <w:rPr>
                <w:rFonts w:cs="Calibri"/>
                <w:lang w:eastAsia="fr-CA"/>
              </w:rPr>
              <w:t xml:space="preserve">et le </w:t>
            </w:r>
            <w:r w:rsidR="001F6355" w:rsidRPr="00A743D8">
              <w:rPr>
                <w:rFonts w:cs="Calibri"/>
                <w:lang w:eastAsia="fr-CA"/>
              </w:rPr>
              <w:t xml:space="preserve">budget autorisé </w:t>
            </w:r>
            <w:r w:rsidRPr="00A743D8">
              <w:rPr>
                <w:rFonts w:cs="Calibri"/>
                <w:lang w:eastAsia="fr-CA"/>
              </w:rPr>
              <w:t>de l’année de référence</w:t>
            </w:r>
            <w:r w:rsidR="001F6355">
              <w:rPr>
                <w:rFonts w:cs="Calibri"/>
                <w:lang w:eastAsia="fr-CA"/>
              </w:rPr>
              <w:t xml:space="preserve"> ainsi que</w:t>
            </w:r>
            <w:r w:rsidR="004277D4">
              <w:rPr>
                <w:rFonts w:cs="Calibri"/>
                <w:lang w:eastAsia="fr-CA"/>
              </w:rPr>
              <w:t xml:space="preserve"> </w:t>
            </w:r>
            <w:r w:rsidRPr="00A743D8">
              <w:rPr>
                <w:rFonts w:cs="Calibri"/>
                <w:lang w:eastAsia="fr-CA"/>
              </w:rPr>
              <w:t>le résultat réel de l’année précédente;</w:t>
            </w:r>
          </w:p>
          <w:p w14:paraId="42348832" w14:textId="12FB3D86" w:rsidR="00CE3152" w:rsidRPr="00A743D8" w:rsidRDefault="00AA550E" w:rsidP="00352626">
            <w:pPr>
              <w:numPr>
                <w:ilvl w:val="0"/>
                <w:numId w:val="19"/>
              </w:numPr>
              <w:spacing w:before="0"/>
              <w:ind w:right="147" w:hanging="283"/>
              <w:rPr>
                <w:rFonts w:cs="Calibri"/>
                <w:lang w:eastAsia="fr-CA"/>
              </w:rPr>
            </w:pPr>
            <w:r w:rsidRPr="00A743D8">
              <w:rPr>
                <w:rFonts w:cs="Calibri"/>
                <w:lang w:eastAsia="fr-CA"/>
              </w:rPr>
              <w:t>les écarts entre l’année de référence</w:t>
            </w:r>
            <w:r w:rsidR="00B519E7">
              <w:rPr>
                <w:rFonts w:cs="Calibri"/>
                <w:lang w:eastAsia="fr-CA"/>
              </w:rPr>
              <w:t xml:space="preserve">, le budget autorisé et </w:t>
            </w:r>
            <w:r w:rsidRPr="00A743D8">
              <w:rPr>
                <w:rFonts w:cs="Calibri"/>
                <w:lang w:eastAsia="fr-CA"/>
              </w:rPr>
              <w:t xml:space="preserve">l’année </w:t>
            </w:r>
            <w:r w:rsidR="00B519E7">
              <w:rPr>
                <w:rFonts w:cs="Calibri"/>
                <w:lang w:eastAsia="fr-CA"/>
              </w:rPr>
              <w:t>historique</w:t>
            </w:r>
            <w:r w:rsidRPr="00A743D8">
              <w:rPr>
                <w:rFonts w:cs="Calibri"/>
                <w:lang w:eastAsia="fr-CA"/>
              </w:rPr>
              <w:t>;</w:t>
            </w:r>
          </w:p>
          <w:p w14:paraId="7459CC10" w14:textId="77777777" w:rsidR="00CE3152" w:rsidRPr="00A743D8" w:rsidRDefault="00AA550E" w:rsidP="00352626">
            <w:pPr>
              <w:numPr>
                <w:ilvl w:val="0"/>
                <w:numId w:val="19"/>
              </w:numPr>
              <w:spacing w:before="0"/>
              <w:ind w:right="147" w:hanging="283"/>
              <w:rPr>
                <w:rFonts w:cs="Calibri"/>
                <w:sz w:val="20"/>
                <w:szCs w:val="20"/>
                <w:u w:val="single"/>
                <w:lang w:eastAsia="fr-CA"/>
              </w:rPr>
            </w:pPr>
            <w:r w:rsidRPr="00A743D8">
              <w:rPr>
                <w:rFonts w:cs="Calibri"/>
                <w:lang w:eastAsia="fr-CA"/>
              </w:rPr>
              <w:t>l’explication de toute variation importante</w:t>
            </w:r>
            <w:r>
              <w:rPr>
                <w:rStyle w:val="Appelnotedebasdep"/>
                <w:rFonts w:cs="Calibri"/>
                <w:lang w:eastAsia="fr-CA"/>
              </w:rPr>
              <w:footnoteReference w:id="44"/>
            </w:r>
            <w:r w:rsidRPr="00A743D8">
              <w:rPr>
                <w:rFonts w:cs="Calibri"/>
                <w:lang w:eastAsia="fr-CA"/>
              </w:rPr>
              <w:t xml:space="preserve">. </w:t>
            </w:r>
          </w:p>
        </w:tc>
      </w:tr>
      <w:tr w:rsidR="00DC782D" w14:paraId="19C31423" w14:textId="77777777" w:rsidTr="004277D4">
        <w:trPr>
          <w:trHeight w:val="255"/>
        </w:trPr>
        <w:tc>
          <w:tcPr>
            <w:tcW w:w="5000" w:type="pct"/>
          </w:tcPr>
          <w:p w14:paraId="1314A322" w14:textId="77777777" w:rsidR="00CE3152" w:rsidRPr="00A743D8" w:rsidRDefault="00AA550E" w:rsidP="00352626">
            <w:pPr>
              <w:pStyle w:val="TitreS2"/>
              <w:numPr>
                <w:ilvl w:val="3"/>
                <w:numId w:val="8"/>
              </w:numPr>
              <w:spacing w:before="200" w:after="0"/>
              <w:ind w:left="567" w:hanging="567"/>
              <w:rPr>
                <w:rFonts w:cs="Calibri"/>
                <w:b w:val="0"/>
                <w:sz w:val="24"/>
                <w:szCs w:val="24"/>
                <w:u w:val="single"/>
                <w:lang w:eastAsia="fr-CA"/>
              </w:rPr>
            </w:pPr>
            <w:r w:rsidRPr="00A743D8">
              <w:rPr>
                <w:rFonts w:cs="Calibri"/>
                <w:b w:val="0"/>
                <w:sz w:val="24"/>
                <w:szCs w:val="24"/>
              </w:rPr>
              <w:t>L</w:t>
            </w:r>
            <w:r w:rsidRPr="00A743D8">
              <w:rPr>
                <w:rFonts w:eastAsia="Times New Roman" w:cs="Calibri"/>
                <w:b w:val="0"/>
                <w:sz w:val="24"/>
                <w:szCs w:val="24"/>
                <w:lang w:eastAsia="fr-CA"/>
              </w:rPr>
              <w:t xml:space="preserve">e sommaire exécutif sur les résultats financiers. </w:t>
            </w:r>
          </w:p>
        </w:tc>
      </w:tr>
      <w:tr w:rsidR="00DC782D" w14:paraId="6FCA4894" w14:textId="77777777" w:rsidTr="004277D4">
        <w:trPr>
          <w:trHeight w:val="255"/>
        </w:trPr>
        <w:tc>
          <w:tcPr>
            <w:tcW w:w="5000" w:type="pct"/>
          </w:tcPr>
          <w:p w14:paraId="6BE852D0" w14:textId="77777777" w:rsidR="00CE3152" w:rsidRPr="00A743D8" w:rsidRDefault="00AA550E" w:rsidP="00352626">
            <w:pPr>
              <w:pStyle w:val="TitreS2"/>
              <w:numPr>
                <w:ilvl w:val="3"/>
                <w:numId w:val="8"/>
              </w:numPr>
              <w:spacing w:before="200" w:after="0"/>
              <w:ind w:left="567" w:hanging="567"/>
              <w:rPr>
                <w:rFonts w:eastAsia="Calibri" w:cs="Calibri"/>
                <w:b w:val="0"/>
                <w:sz w:val="24"/>
                <w:szCs w:val="24"/>
                <w:u w:val="single"/>
                <w:lang w:eastAsia="fr-CA"/>
              </w:rPr>
            </w:pPr>
            <w:r w:rsidRPr="00A743D8">
              <w:rPr>
                <w:rFonts w:eastAsia="Times New Roman" w:cs="Calibri"/>
                <w:b w:val="0"/>
                <w:sz w:val="24"/>
                <w:szCs w:val="24"/>
                <w:lang w:eastAsia="fr-CA"/>
              </w:rPr>
              <w:t>L’organigramme du Groupe corporatif, la liste des administrateurs et la liste des dirigeants de Gazifère.</w:t>
            </w:r>
          </w:p>
          <w:p w14:paraId="4ABDD612" w14:textId="77777777" w:rsidR="00CE3152" w:rsidRPr="00A743D8" w:rsidRDefault="00CE3152" w:rsidP="00352626">
            <w:pPr>
              <w:pStyle w:val="Paragraphedeliste"/>
              <w:spacing w:after="60" w:line="264" w:lineRule="auto"/>
              <w:ind w:left="851" w:right="147"/>
              <w:contextualSpacing w:val="0"/>
              <w:jc w:val="both"/>
              <w:rPr>
                <w:rFonts w:cs="Calibri"/>
                <w:sz w:val="24"/>
                <w:szCs w:val="24"/>
                <w:u w:val="single"/>
                <w:lang w:eastAsia="fr-CA"/>
              </w:rPr>
            </w:pPr>
          </w:p>
        </w:tc>
      </w:tr>
      <w:tr w:rsidR="00DC782D" w14:paraId="0157A2D0" w14:textId="77777777" w:rsidTr="004277D4">
        <w:trPr>
          <w:trHeight w:val="255"/>
        </w:trPr>
        <w:tc>
          <w:tcPr>
            <w:tcW w:w="5000" w:type="pct"/>
          </w:tcPr>
          <w:p w14:paraId="3E4F4004" w14:textId="1C9B3691" w:rsidR="00CE3152" w:rsidRPr="00856C38" w:rsidRDefault="00AA550E" w:rsidP="00352626">
            <w:pPr>
              <w:pStyle w:val="Titre2"/>
              <w:keepNext/>
              <w:tabs>
                <w:tab w:val="clear" w:pos="709"/>
                <w:tab w:val="num" w:pos="851"/>
              </w:tabs>
              <w:ind w:left="851" w:hanging="851"/>
              <w:rPr>
                <w:rFonts w:cs="Calibri"/>
              </w:rPr>
            </w:pPr>
            <w:bookmarkStart w:id="51" w:name="_Toc124329949"/>
            <w:r w:rsidRPr="00856C38">
              <w:rPr>
                <w:rFonts w:cs="Calibri"/>
              </w:rPr>
              <w:t>Bénéfice net réglementé</w:t>
            </w:r>
            <w:bookmarkEnd w:id="51"/>
          </w:p>
        </w:tc>
      </w:tr>
      <w:tr w:rsidR="00DC782D" w14:paraId="1A80B1D2" w14:textId="77777777" w:rsidTr="004277D4">
        <w:trPr>
          <w:trHeight w:val="255"/>
        </w:trPr>
        <w:tc>
          <w:tcPr>
            <w:tcW w:w="5000" w:type="pct"/>
          </w:tcPr>
          <w:p w14:paraId="1A0DB25F" w14:textId="77777777" w:rsidR="00CE3152" w:rsidRPr="00A743D8" w:rsidRDefault="00AA550E" w:rsidP="00352626">
            <w:pPr>
              <w:pStyle w:val="TitreS2"/>
              <w:numPr>
                <w:ilvl w:val="3"/>
                <w:numId w:val="8"/>
              </w:numPr>
              <w:spacing w:before="200" w:after="0"/>
              <w:ind w:left="567" w:hanging="567"/>
              <w:rPr>
                <w:rFonts w:cs="Calibri"/>
                <w:b w:val="0"/>
                <w:sz w:val="24"/>
                <w:szCs w:val="24"/>
                <w:u w:val="single"/>
                <w:lang w:eastAsia="fr-CA"/>
              </w:rPr>
            </w:pPr>
            <w:r w:rsidRPr="00A743D8">
              <w:rPr>
                <w:rFonts w:eastAsia="Times New Roman" w:cs="Calibri"/>
                <w:b w:val="0"/>
                <w:sz w:val="24"/>
                <w:szCs w:val="24"/>
                <w:lang w:eastAsia="fr-CA"/>
              </w:rPr>
              <w:t>La conciliation des résultats des états financiers vérifiés de Gazifère et de l’activité réglementée ainsi que le détail des ajustements et éliminations de l’état des résultats.</w:t>
            </w:r>
          </w:p>
        </w:tc>
      </w:tr>
      <w:tr w:rsidR="00DC782D" w14:paraId="687102E5" w14:textId="77777777" w:rsidTr="004277D4">
        <w:trPr>
          <w:trHeight w:val="255"/>
        </w:trPr>
        <w:tc>
          <w:tcPr>
            <w:tcW w:w="5000" w:type="pct"/>
          </w:tcPr>
          <w:p w14:paraId="563272F5" w14:textId="1DD1622A" w:rsidR="00CE3152" w:rsidRPr="00A743D8" w:rsidRDefault="00AA550E" w:rsidP="004277D4">
            <w:pPr>
              <w:pStyle w:val="TitreS2"/>
              <w:numPr>
                <w:ilvl w:val="3"/>
                <w:numId w:val="8"/>
              </w:numPr>
              <w:spacing w:before="200" w:after="0"/>
              <w:ind w:left="567" w:hanging="567"/>
              <w:rPr>
                <w:rFonts w:eastAsia="Times New Roman" w:cs="Calibri"/>
                <w:b w:val="0"/>
                <w:sz w:val="24"/>
                <w:szCs w:val="24"/>
                <w:lang w:eastAsia="fr-CA"/>
              </w:rPr>
            </w:pPr>
            <w:r w:rsidRPr="00A743D8">
              <w:rPr>
                <w:rFonts w:eastAsia="Times New Roman" w:cs="Calibri"/>
                <w:b w:val="0"/>
                <w:sz w:val="24"/>
                <w:szCs w:val="24"/>
                <w:lang w:eastAsia="fr-CA"/>
              </w:rPr>
              <w:t xml:space="preserve">La comparaison des résultats financiers de l’activité réglementée </w:t>
            </w:r>
            <w:r w:rsidR="00B519E7">
              <w:rPr>
                <w:rFonts w:eastAsia="Times New Roman" w:cs="Calibri"/>
                <w:b w:val="0"/>
                <w:sz w:val="24"/>
                <w:szCs w:val="24"/>
                <w:lang w:eastAsia="fr-CA"/>
              </w:rPr>
              <w:t xml:space="preserve">entre l’année de référence, </w:t>
            </w:r>
            <w:r w:rsidRPr="00A743D8">
              <w:rPr>
                <w:rFonts w:eastAsia="Times New Roman" w:cs="Calibri"/>
                <w:b w:val="0"/>
                <w:sz w:val="24"/>
                <w:szCs w:val="24"/>
                <w:lang w:eastAsia="fr-CA"/>
              </w:rPr>
              <w:t xml:space="preserve">le budget autorisé au dossier tarifaire correspondant et les résultats financiers de l’année </w:t>
            </w:r>
            <w:r w:rsidR="00B519E7">
              <w:rPr>
                <w:rFonts w:eastAsia="Times New Roman" w:cs="Calibri"/>
                <w:b w:val="0"/>
                <w:sz w:val="24"/>
                <w:szCs w:val="24"/>
                <w:lang w:eastAsia="fr-CA"/>
              </w:rPr>
              <w:t>historiqu</w:t>
            </w:r>
            <w:r w:rsidR="00B519E7" w:rsidRPr="00A743D8">
              <w:rPr>
                <w:rFonts w:eastAsia="Times New Roman" w:cs="Calibri"/>
                <w:b w:val="0"/>
                <w:sz w:val="24"/>
                <w:szCs w:val="24"/>
                <w:lang w:eastAsia="fr-CA"/>
              </w:rPr>
              <w:t>e</w:t>
            </w:r>
            <w:r w:rsidRPr="00A743D8">
              <w:rPr>
                <w:rFonts w:eastAsia="Times New Roman" w:cs="Calibri"/>
                <w:b w:val="0"/>
                <w:sz w:val="24"/>
                <w:szCs w:val="24"/>
                <w:lang w:eastAsia="fr-CA"/>
              </w:rPr>
              <w:t xml:space="preserve">, les écarts observés </w:t>
            </w:r>
            <w:r w:rsidR="00B519E7">
              <w:rPr>
                <w:rFonts w:eastAsia="Times New Roman" w:cs="Calibri"/>
                <w:b w:val="0"/>
                <w:sz w:val="24"/>
                <w:szCs w:val="24"/>
                <w:lang w:eastAsia="fr-CA"/>
              </w:rPr>
              <w:t>($ et %)</w:t>
            </w:r>
            <w:r w:rsidRPr="00A743D8">
              <w:rPr>
                <w:rFonts w:eastAsia="Times New Roman" w:cs="Calibri"/>
                <w:b w:val="0"/>
                <w:sz w:val="24"/>
                <w:szCs w:val="24"/>
                <w:lang w:eastAsia="fr-CA"/>
              </w:rPr>
              <w:t xml:space="preserve"> ainsi que l’explication de toute variation significative.</w:t>
            </w:r>
          </w:p>
        </w:tc>
      </w:tr>
      <w:tr w:rsidR="00DC782D" w14:paraId="6D75DFA6" w14:textId="77777777" w:rsidTr="004277D4">
        <w:trPr>
          <w:trHeight w:val="255"/>
        </w:trPr>
        <w:tc>
          <w:tcPr>
            <w:tcW w:w="5000" w:type="pct"/>
          </w:tcPr>
          <w:p w14:paraId="52890446" w14:textId="776690CB" w:rsidR="00CE3152" w:rsidRPr="00A743D8" w:rsidRDefault="00AA550E" w:rsidP="004277D4">
            <w:pPr>
              <w:pStyle w:val="TitreS2"/>
              <w:numPr>
                <w:ilvl w:val="3"/>
                <w:numId w:val="8"/>
              </w:numPr>
              <w:spacing w:before="200" w:after="0"/>
              <w:ind w:left="567" w:hanging="567"/>
              <w:rPr>
                <w:rFonts w:eastAsia="Times New Roman" w:cs="Calibri"/>
                <w:b w:val="0"/>
                <w:sz w:val="24"/>
                <w:szCs w:val="24"/>
                <w:lang w:eastAsia="fr-CA"/>
              </w:rPr>
            </w:pPr>
            <w:r w:rsidRPr="00A743D8">
              <w:rPr>
                <w:rFonts w:eastAsia="Times New Roman" w:cs="Calibri"/>
                <w:b w:val="0"/>
                <w:sz w:val="24"/>
                <w:szCs w:val="24"/>
                <w:lang w:eastAsia="fr-CA"/>
              </w:rPr>
              <w:t>La comparaison des résultats de l’année de référence pour les volumes de ventes</w:t>
            </w:r>
            <w:r w:rsidR="006805BC">
              <w:rPr>
                <w:rFonts w:eastAsia="Times New Roman" w:cs="Calibri"/>
                <w:b w:val="0"/>
                <w:sz w:val="24"/>
                <w:szCs w:val="24"/>
                <w:lang w:eastAsia="fr-CA"/>
              </w:rPr>
              <w:t xml:space="preserve"> (10</w:t>
            </w:r>
            <w:r w:rsidR="006805BC" w:rsidRPr="00F77C47">
              <w:rPr>
                <w:rFonts w:eastAsia="Times New Roman" w:cs="Calibri"/>
                <w:b w:val="0"/>
                <w:sz w:val="24"/>
                <w:szCs w:val="24"/>
                <w:vertAlign w:val="superscript"/>
                <w:lang w:eastAsia="fr-CA"/>
              </w:rPr>
              <w:t>3</w:t>
            </w:r>
            <w:r w:rsidR="006805BC">
              <w:rPr>
                <w:rFonts w:eastAsia="Times New Roman" w:cs="Calibri"/>
                <w:b w:val="0"/>
                <w:sz w:val="24"/>
                <w:szCs w:val="24"/>
                <w:lang w:eastAsia="fr-CA"/>
              </w:rPr>
              <w:t>m</w:t>
            </w:r>
            <w:r w:rsidR="006805BC" w:rsidRPr="00F77C47">
              <w:rPr>
                <w:rFonts w:eastAsia="Times New Roman" w:cs="Calibri"/>
                <w:b w:val="0"/>
                <w:sz w:val="24"/>
                <w:szCs w:val="24"/>
                <w:vertAlign w:val="superscript"/>
                <w:lang w:eastAsia="fr-CA"/>
              </w:rPr>
              <w:t>3</w:t>
            </w:r>
            <w:r w:rsidR="006805BC">
              <w:rPr>
                <w:rFonts w:eastAsia="Times New Roman" w:cs="Calibri"/>
                <w:b w:val="0"/>
                <w:sz w:val="24"/>
                <w:szCs w:val="24"/>
                <w:lang w:eastAsia="fr-CA"/>
              </w:rPr>
              <w:t>)</w:t>
            </w:r>
            <w:r w:rsidRPr="00A743D8">
              <w:rPr>
                <w:rFonts w:eastAsia="Times New Roman" w:cs="Calibri"/>
                <w:b w:val="0"/>
                <w:sz w:val="24"/>
                <w:szCs w:val="24"/>
                <w:lang w:eastAsia="fr-CA"/>
              </w:rPr>
              <w:t xml:space="preserve"> et la moyenne de clients avec le budget autorisé au dossier tarifaire correspondant et les résultats de l’année </w:t>
            </w:r>
            <w:r w:rsidR="00B519E7">
              <w:rPr>
                <w:rFonts w:eastAsia="Times New Roman" w:cs="Calibri"/>
                <w:b w:val="0"/>
                <w:sz w:val="24"/>
                <w:szCs w:val="24"/>
                <w:lang w:eastAsia="fr-CA"/>
              </w:rPr>
              <w:t>historiqu</w:t>
            </w:r>
            <w:r w:rsidR="00B519E7" w:rsidRPr="00A743D8">
              <w:rPr>
                <w:rFonts w:eastAsia="Times New Roman" w:cs="Calibri"/>
                <w:b w:val="0"/>
                <w:sz w:val="24"/>
                <w:szCs w:val="24"/>
                <w:lang w:eastAsia="fr-CA"/>
              </w:rPr>
              <w:t>e</w:t>
            </w:r>
            <w:r w:rsidRPr="00A743D8">
              <w:rPr>
                <w:rFonts w:eastAsia="Times New Roman" w:cs="Calibri"/>
                <w:b w:val="0"/>
                <w:sz w:val="24"/>
                <w:szCs w:val="24"/>
                <w:lang w:eastAsia="fr-CA"/>
              </w:rPr>
              <w:t xml:space="preserve">, les écarts observés </w:t>
            </w:r>
            <w:r w:rsidR="00B519E7">
              <w:rPr>
                <w:rFonts w:eastAsia="Times New Roman" w:cs="Calibri"/>
                <w:b w:val="0"/>
                <w:sz w:val="24"/>
                <w:szCs w:val="24"/>
                <w:lang w:eastAsia="fr-CA"/>
              </w:rPr>
              <w:t>($ et %)</w:t>
            </w:r>
            <w:r w:rsidRPr="00A743D8">
              <w:rPr>
                <w:rFonts w:eastAsia="Times New Roman" w:cs="Calibri"/>
                <w:b w:val="0"/>
                <w:sz w:val="24"/>
                <w:szCs w:val="24"/>
                <w:lang w:eastAsia="fr-CA"/>
              </w:rPr>
              <w:t xml:space="preserve"> et l’explication de toute variation significative.</w:t>
            </w:r>
          </w:p>
        </w:tc>
      </w:tr>
      <w:tr w:rsidR="00DC782D" w14:paraId="6AAE9975" w14:textId="77777777" w:rsidTr="004277D4">
        <w:trPr>
          <w:trHeight w:val="255"/>
        </w:trPr>
        <w:tc>
          <w:tcPr>
            <w:tcW w:w="5000" w:type="pct"/>
          </w:tcPr>
          <w:p w14:paraId="5E11C48F" w14:textId="583E37CE" w:rsidR="00CE3152" w:rsidRPr="00A743D8" w:rsidRDefault="00AA550E" w:rsidP="004277D4">
            <w:pPr>
              <w:pStyle w:val="TitreS2"/>
              <w:numPr>
                <w:ilvl w:val="3"/>
                <w:numId w:val="8"/>
              </w:numPr>
              <w:spacing w:before="200" w:after="0"/>
              <w:ind w:left="567" w:hanging="567"/>
              <w:rPr>
                <w:rFonts w:eastAsia="Times New Roman" w:cs="Calibri"/>
                <w:b w:val="0"/>
                <w:sz w:val="24"/>
                <w:szCs w:val="24"/>
                <w:lang w:eastAsia="fr-CA"/>
              </w:rPr>
            </w:pPr>
            <w:r w:rsidRPr="00A743D8">
              <w:rPr>
                <w:rFonts w:eastAsia="Times New Roman" w:cs="Calibri"/>
                <w:b w:val="0"/>
                <w:sz w:val="24"/>
                <w:szCs w:val="24"/>
                <w:lang w:eastAsia="fr-CA"/>
              </w:rPr>
              <w:t xml:space="preserve">La comparaison des résultats pour les salaires et autres charges ainsi que les services entre compagnies affiliées </w:t>
            </w:r>
            <w:r w:rsidR="00B519E7">
              <w:rPr>
                <w:rFonts w:eastAsia="Times New Roman" w:cs="Calibri"/>
                <w:b w:val="0"/>
                <w:sz w:val="24"/>
                <w:szCs w:val="24"/>
                <w:lang w:eastAsia="fr-CA"/>
              </w:rPr>
              <w:t>entre</w:t>
            </w:r>
            <w:r w:rsidR="00B519E7" w:rsidRPr="00A743D8">
              <w:rPr>
                <w:rFonts w:eastAsia="Times New Roman" w:cs="Calibri"/>
                <w:b w:val="0"/>
                <w:sz w:val="24"/>
                <w:szCs w:val="24"/>
                <w:lang w:eastAsia="fr-CA"/>
              </w:rPr>
              <w:t xml:space="preserve"> l’année de référence</w:t>
            </w:r>
            <w:r w:rsidR="00B519E7">
              <w:rPr>
                <w:rFonts w:eastAsia="Times New Roman" w:cs="Calibri"/>
                <w:b w:val="0"/>
                <w:sz w:val="24"/>
                <w:szCs w:val="24"/>
                <w:lang w:eastAsia="fr-CA"/>
              </w:rPr>
              <w:t>,</w:t>
            </w:r>
            <w:r w:rsidR="00B519E7" w:rsidRPr="00A743D8">
              <w:rPr>
                <w:rFonts w:eastAsia="Times New Roman" w:cs="Calibri"/>
                <w:b w:val="0"/>
                <w:sz w:val="24"/>
                <w:szCs w:val="24"/>
                <w:lang w:eastAsia="fr-CA"/>
              </w:rPr>
              <w:t xml:space="preserve"> </w:t>
            </w:r>
            <w:r w:rsidRPr="00A743D8">
              <w:rPr>
                <w:rFonts w:eastAsia="Times New Roman" w:cs="Calibri"/>
                <w:b w:val="0"/>
                <w:sz w:val="24"/>
                <w:szCs w:val="24"/>
                <w:lang w:eastAsia="fr-CA"/>
              </w:rPr>
              <w:t xml:space="preserve">le budget autorisé au dossier tarifaire correspondant et les résultats de l’année précédente, les écarts observés </w:t>
            </w:r>
            <w:r w:rsidR="00B519E7">
              <w:rPr>
                <w:rFonts w:eastAsia="Times New Roman" w:cs="Calibri"/>
                <w:b w:val="0"/>
                <w:sz w:val="24"/>
                <w:szCs w:val="24"/>
                <w:lang w:eastAsia="fr-CA"/>
              </w:rPr>
              <w:t>($ et %)</w:t>
            </w:r>
            <w:r w:rsidRPr="00A743D8">
              <w:rPr>
                <w:rFonts w:eastAsia="Times New Roman" w:cs="Calibri"/>
                <w:b w:val="0"/>
                <w:sz w:val="24"/>
                <w:szCs w:val="24"/>
                <w:lang w:eastAsia="fr-CA"/>
              </w:rPr>
              <w:t xml:space="preserve"> et l’explication de toute variation significative.</w:t>
            </w:r>
          </w:p>
        </w:tc>
      </w:tr>
      <w:tr w:rsidR="00DC782D" w14:paraId="4CD9AD2D" w14:textId="77777777" w:rsidTr="004277D4">
        <w:trPr>
          <w:trHeight w:val="255"/>
        </w:trPr>
        <w:tc>
          <w:tcPr>
            <w:tcW w:w="5000" w:type="pct"/>
            <w:shd w:val="clear" w:color="auto" w:fill="auto"/>
          </w:tcPr>
          <w:p w14:paraId="474212D7" w14:textId="77777777" w:rsidR="00CE3152" w:rsidRPr="00A743D8"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A743D8">
              <w:rPr>
                <w:rFonts w:eastAsia="Times New Roman" w:cs="Calibri"/>
                <w:b w:val="0"/>
                <w:sz w:val="24"/>
                <w:szCs w:val="24"/>
                <w:lang w:eastAsia="fr-CA"/>
              </w:rPr>
              <w:t>Le détail de l’ensemble des coûts liés à la réglementation pour l’année réelle.</w:t>
            </w:r>
          </w:p>
        </w:tc>
      </w:tr>
      <w:tr w:rsidR="00DC782D" w14:paraId="077C7C4A" w14:textId="77777777" w:rsidTr="00CE3152">
        <w:trPr>
          <w:trHeight w:val="255"/>
        </w:trPr>
        <w:tc>
          <w:tcPr>
            <w:tcW w:w="5000" w:type="pct"/>
            <w:shd w:val="clear" w:color="auto" w:fill="auto"/>
          </w:tcPr>
          <w:p w14:paraId="55D586D7" w14:textId="77777777" w:rsidR="00CE3152" w:rsidRDefault="00CE3152" w:rsidP="00352626">
            <w:pPr>
              <w:spacing w:before="120"/>
              <w:ind w:right="147"/>
              <w:rPr>
                <w:rFonts w:cs="Calibri"/>
                <w:szCs w:val="24"/>
                <w:lang w:eastAsia="fr-CA"/>
              </w:rPr>
            </w:pPr>
          </w:p>
          <w:p w14:paraId="7BA2CABB" w14:textId="77777777" w:rsidR="00CE3152" w:rsidRPr="0019430E" w:rsidRDefault="00AA550E" w:rsidP="00352626">
            <w:pPr>
              <w:spacing w:before="120"/>
              <w:ind w:right="147"/>
              <w:rPr>
                <w:rFonts w:cs="Calibri"/>
                <w:szCs w:val="24"/>
                <w:lang w:eastAsia="fr-CA"/>
              </w:rPr>
            </w:pPr>
            <w:r w:rsidRPr="0019430E">
              <w:rPr>
                <w:rFonts w:cs="Calibri"/>
                <w:szCs w:val="24"/>
                <w:lang w:eastAsia="fr-CA"/>
              </w:rPr>
              <w:lastRenderedPageBreak/>
              <w:t>Conformément à la décision D-2017-081</w:t>
            </w:r>
            <w:r>
              <w:rPr>
                <w:rStyle w:val="Appelnotedebasdep"/>
                <w:rFonts w:cs="Calibri"/>
                <w:szCs w:val="24"/>
                <w:lang w:eastAsia="fr-CA"/>
              </w:rPr>
              <w:footnoteReference w:id="45"/>
            </w:r>
            <w:r w:rsidRPr="0019430E">
              <w:rPr>
                <w:rFonts w:cs="Calibri"/>
                <w:szCs w:val="24"/>
                <w:lang w:eastAsia="fr-CA"/>
              </w:rPr>
              <w:t> :</w:t>
            </w:r>
          </w:p>
          <w:p w14:paraId="2F4865F7" w14:textId="7E0C3554" w:rsidR="00CE3152" w:rsidRPr="0019430E" w:rsidRDefault="00AA550E" w:rsidP="00B519E7">
            <w:pPr>
              <w:pStyle w:val="TitreS2"/>
              <w:numPr>
                <w:ilvl w:val="3"/>
                <w:numId w:val="8"/>
              </w:numPr>
              <w:spacing w:before="200" w:after="0"/>
              <w:ind w:left="567" w:hanging="567"/>
              <w:rPr>
                <w:rFonts w:cs="Calibri"/>
                <w:b w:val="0"/>
                <w:sz w:val="24"/>
                <w:szCs w:val="24"/>
                <w:u w:val="single"/>
                <w:lang w:eastAsia="fr-CA"/>
              </w:rPr>
            </w:pPr>
            <w:r w:rsidRPr="0019430E">
              <w:rPr>
                <w:rFonts w:eastAsia="Times New Roman" w:cs="Calibri"/>
                <w:b w:val="0"/>
                <w:sz w:val="24"/>
                <w:szCs w:val="24"/>
                <w:lang w:eastAsia="fr-CA"/>
              </w:rPr>
              <w:t xml:space="preserve">La comparaison des charges d’exploitation par nature pour l’année de référence avec le budget autorisé au dossier tarifaire correspondant et les résultats de l’année précédente, les écarts observés </w:t>
            </w:r>
            <w:r w:rsidR="00B519E7">
              <w:rPr>
                <w:rFonts w:eastAsia="Times New Roman" w:cs="Calibri"/>
                <w:b w:val="0"/>
                <w:sz w:val="24"/>
                <w:szCs w:val="24"/>
                <w:lang w:eastAsia="fr-CA"/>
              </w:rPr>
              <w:t>($ et %)</w:t>
            </w:r>
            <w:r w:rsidRPr="0019430E">
              <w:rPr>
                <w:rFonts w:eastAsia="Times New Roman" w:cs="Calibri"/>
                <w:b w:val="0"/>
                <w:sz w:val="24"/>
                <w:szCs w:val="24"/>
                <w:lang w:eastAsia="fr-CA"/>
              </w:rPr>
              <w:t xml:space="preserve"> et l’explication de toute variation significative.</w:t>
            </w:r>
          </w:p>
        </w:tc>
      </w:tr>
      <w:tr w:rsidR="00DC782D" w14:paraId="49B35A2F" w14:textId="77777777" w:rsidTr="00CE3152">
        <w:trPr>
          <w:trHeight w:val="255"/>
        </w:trPr>
        <w:tc>
          <w:tcPr>
            <w:tcW w:w="5000" w:type="pct"/>
            <w:shd w:val="clear" w:color="auto" w:fill="auto"/>
          </w:tcPr>
          <w:p w14:paraId="4DB8E844" w14:textId="466E50C2" w:rsidR="00CE3152" w:rsidRPr="0019430E" w:rsidRDefault="00AA550E" w:rsidP="00B519E7">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lastRenderedPageBreak/>
              <w:t>La comparaison des salaires et des avantages sociaux</w:t>
            </w:r>
            <w:r w:rsidR="00CB2915">
              <w:rPr>
                <w:rFonts w:eastAsia="Times New Roman" w:cs="Calibri"/>
                <w:b w:val="0"/>
                <w:sz w:val="24"/>
                <w:szCs w:val="24"/>
                <w:lang w:eastAsia="fr-CA"/>
              </w:rPr>
              <w:t xml:space="preserve"> </w:t>
            </w:r>
            <w:r w:rsidR="003C5C4A">
              <w:rPr>
                <w:rFonts w:eastAsia="Times New Roman" w:cs="Calibri"/>
                <w:b w:val="0"/>
                <w:sz w:val="24"/>
                <w:szCs w:val="24"/>
                <w:lang w:eastAsia="fr-CA"/>
              </w:rPr>
              <w:t xml:space="preserve">alloués aux activités </w:t>
            </w:r>
            <w:r w:rsidR="00CB2915">
              <w:rPr>
                <w:rFonts w:eastAsia="Times New Roman" w:cs="Calibri"/>
                <w:b w:val="0"/>
                <w:sz w:val="24"/>
                <w:szCs w:val="24"/>
                <w:lang w:eastAsia="fr-CA"/>
              </w:rPr>
              <w:t>r</w:t>
            </w:r>
            <w:r w:rsidR="003C5C4A">
              <w:rPr>
                <w:rFonts w:eastAsia="Times New Roman" w:cs="Calibri"/>
                <w:b w:val="0"/>
                <w:sz w:val="24"/>
                <w:szCs w:val="24"/>
                <w:lang w:eastAsia="fr-CA"/>
              </w:rPr>
              <w:t>è</w:t>
            </w:r>
            <w:r w:rsidR="00CB2915">
              <w:rPr>
                <w:rFonts w:eastAsia="Times New Roman" w:cs="Calibri"/>
                <w:b w:val="0"/>
                <w:sz w:val="24"/>
                <w:szCs w:val="24"/>
                <w:lang w:eastAsia="fr-CA"/>
              </w:rPr>
              <w:t>glementé</w:t>
            </w:r>
            <w:r w:rsidR="003C5C4A">
              <w:rPr>
                <w:rFonts w:eastAsia="Times New Roman" w:cs="Calibri"/>
                <w:b w:val="0"/>
                <w:sz w:val="24"/>
                <w:szCs w:val="24"/>
                <w:lang w:eastAsia="fr-CA"/>
              </w:rPr>
              <w:t>e</w:t>
            </w:r>
            <w:r w:rsidR="00CB2915">
              <w:rPr>
                <w:rFonts w:eastAsia="Times New Roman" w:cs="Calibri"/>
                <w:b w:val="0"/>
                <w:sz w:val="24"/>
                <w:szCs w:val="24"/>
                <w:lang w:eastAsia="fr-CA"/>
              </w:rPr>
              <w:t>s</w:t>
            </w:r>
            <w:r w:rsidRPr="0019430E">
              <w:rPr>
                <w:rFonts w:eastAsia="Times New Roman" w:cs="Calibri"/>
                <w:b w:val="0"/>
                <w:sz w:val="24"/>
                <w:szCs w:val="24"/>
                <w:lang w:eastAsia="fr-CA"/>
              </w:rPr>
              <w:t xml:space="preserve">, avant et après capitalisation pour l’année de référence avec le budget autorisé au dossier tarifaire correspondant et les résultats de l’année précédente, les écarts observés </w:t>
            </w:r>
            <w:r w:rsidR="00B519E7">
              <w:rPr>
                <w:rFonts w:eastAsia="Times New Roman" w:cs="Calibri"/>
                <w:b w:val="0"/>
                <w:sz w:val="24"/>
                <w:szCs w:val="24"/>
                <w:lang w:eastAsia="fr-CA"/>
              </w:rPr>
              <w:t>($ et %)</w:t>
            </w:r>
            <w:r w:rsidRPr="0019430E">
              <w:rPr>
                <w:rFonts w:eastAsia="Times New Roman" w:cs="Calibri"/>
                <w:b w:val="0"/>
                <w:sz w:val="24"/>
                <w:szCs w:val="24"/>
                <w:lang w:eastAsia="fr-CA"/>
              </w:rPr>
              <w:t xml:space="preserve"> et l’explication de toute variation significative.</w:t>
            </w:r>
          </w:p>
        </w:tc>
      </w:tr>
      <w:tr w:rsidR="00DC782D" w14:paraId="3C236500" w14:textId="77777777" w:rsidTr="00CE3152">
        <w:trPr>
          <w:trHeight w:val="255"/>
        </w:trPr>
        <w:tc>
          <w:tcPr>
            <w:tcW w:w="5000" w:type="pct"/>
            <w:shd w:val="clear" w:color="auto" w:fill="auto"/>
          </w:tcPr>
          <w:p w14:paraId="0097A2FB"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L’évolution du nombre d’ÉTC (équivalent temps complet) entre l’année de référence et l’année précédente, avant et après capitalisation.</w:t>
            </w:r>
          </w:p>
          <w:p w14:paraId="54542BDB"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2579ACFD" w14:textId="77777777" w:rsidTr="00CE3152">
        <w:trPr>
          <w:trHeight w:val="255"/>
        </w:trPr>
        <w:tc>
          <w:tcPr>
            <w:tcW w:w="5000" w:type="pct"/>
            <w:shd w:val="clear" w:color="auto" w:fill="auto"/>
          </w:tcPr>
          <w:p w14:paraId="34E67A48" w14:textId="503E7F94" w:rsidR="00CE3152" w:rsidRPr="0019430E" w:rsidRDefault="00AA550E" w:rsidP="00352626">
            <w:pPr>
              <w:spacing w:before="120"/>
              <w:ind w:right="147"/>
              <w:rPr>
                <w:rFonts w:cs="Calibri"/>
                <w:szCs w:val="24"/>
                <w:lang w:eastAsia="fr-CA"/>
              </w:rPr>
            </w:pPr>
            <w:r w:rsidRPr="0019430E">
              <w:rPr>
                <w:rFonts w:cs="Calibri"/>
                <w:szCs w:val="24"/>
                <w:lang w:eastAsia="fr-CA"/>
              </w:rPr>
              <w:t xml:space="preserve">Conformément à la décision </w:t>
            </w:r>
            <w:r w:rsidR="005A1244" w:rsidRPr="0019430E">
              <w:rPr>
                <w:rFonts w:cs="Calibri"/>
                <w:szCs w:val="24"/>
                <w:lang w:eastAsia="fr-CA"/>
              </w:rPr>
              <w:t>D-201</w:t>
            </w:r>
            <w:r w:rsidR="005A1244">
              <w:rPr>
                <w:rFonts w:cs="Calibri"/>
                <w:szCs w:val="24"/>
                <w:lang w:eastAsia="fr-CA"/>
              </w:rPr>
              <w:t>4</w:t>
            </w:r>
            <w:r w:rsidR="005A1244" w:rsidRPr="0019430E">
              <w:rPr>
                <w:rFonts w:cs="Calibri"/>
                <w:szCs w:val="24"/>
                <w:lang w:eastAsia="fr-CA"/>
              </w:rPr>
              <w:t>-1</w:t>
            </w:r>
            <w:r w:rsidR="005A1244">
              <w:rPr>
                <w:rFonts w:cs="Calibri"/>
                <w:szCs w:val="24"/>
                <w:lang w:eastAsia="fr-CA"/>
              </w:rPr>
              <w:t>14</w:t>
            </w:r>
            <w:r>
              <w:rPr>
                <w:rStyle w:val="Appelnotedebasdep"/>
                <w:rFonts w:cs="Calibri"/>
                <w:szCs w:val="24"/>
                <w:lang w:eastAsia="fr-CA"/>
              </w:rPr>
              <w:footnoteReference w:id="46"/>
            </w:r>
            <w:r w:rsidRPr="0019430E">
              <w:rPr>
                <w:rFonts w:cs="Calibri"/>
                <w:szCs w:val="24"/>
                <w:lang w:eastAsia="fr-CA"/>
              </w:rPr>
              <w:t> :</w:t>
            </w:r>
          </w:p>
          <w:p w14:paraId="08EDE85D" w14:textId="77777777" w:rsidR="00CE3152" w:rsidRPr="0019430E" w:rsidRDefault="00AA550E" w:rsidP="00352626">
            <w:pPr>
              <w:pStyle w:val="TitreS2"/>
              <w:numPr>
                <w:ilvl w:val="3"/>
                <w:numId w:val="8"/>
              </w:numPr>
              <w:spacing w:before="200" w:after="0"/>
              <w:ind w:left="567" w:hanging="567"/>
              <w:rPr>
                <w:rFonts w:eastAsia="Calibri" w:cs="Calibri"/>
                <w:b w:val="0"/>
                <w:sz w:val="24"/>
                <w:szCs w:val="24"/>
                <w:u w:val="single"/>
                <w:lang w:eastAsia="fr-CA"/>
              </w:rPr>
            </w:pPr>
            <w:r w:rsidRPr="0019430E">
              <w:rPr>
                <w:rFonts w:eastAsia="Times New Roman" w:cs="Calibri"/>
                <w:b w:val="0"/>
                <w:sz w:val="24"/>
                <w:szCs w:val="24"/>
                <w:lang w:eastAsia="fr-CA"/>
              </w:rPr>
              <w:t>La conciliation des charges relatives aux services entre sociétés affiliées avec les opérations entre sociétés apparentées présentées aux états financiers.</w:t>
            </w:r>
          </w:p>
          <w:p w14:paraId="29F7E0D9" w14:textId="77777777" w:rsidR="00CE3152" w:rsidRPr="0019430E" w:rsidRDefault="00CE3152" w:rsidP="00352626">
            <w:pPr>
              <w:pStyle w:val="Paragraphedeliste"/>
              <w:spacing w:after="60" w:line="264" w:lineRule="auto"/>
              <w:ind w:left="851" w:right="147"/>
              <w:contextualSpacing w:val="0"/>
              <w:jc w:val="both"/>
              <w:rPr>
                <w:rFonts w:cs="Calibri"/>
                <w:sz w:val="24"/>
                <w:szCs w:val="24"/>
                <w:u w:val="single"/>
                <w:lang w:eastAsia="fr-CA"/>
              </w:rPr>
            </w:pPr>
          </w:p>
        </w:tc>
      </w:tr>
      <w:tr w:rsidR="00DC782D" w14:paraId="199A9FBA" w14:textId="77777777" w:rsidTr="00CE3152">
        <w:trPr>
          <w:trHeight w:val="255"/>
        </w:trPr>
        <w:tc>
          <w:tcPr>
            <w:tcW w:w="5000" w:type="pct"/>
          </w:tcPr>
          <w:p w14:paraId="47EE3CAD" w14:textId="5C4BB9A2" w:rsidR="00CE3152" w:rsidRPr="00856C38" w:rsidRDefault="00AA550E" w:rsidP="00352626">
            <w:pPr>
              <w:pStyle w:val="Titre2"/>
              <w:keepNext/>
              <w:tabs>
                <w:tab w:val="clear" w:pos="709"/>
                <w:tab w:val="num" w:pos="851"/>
              </w:tabs>
              <w:ind w:left="851" w:hanging="851"/>
              <w:rPr>
                <w:rFonts w:cs="Calibri"/>
              </w:rPr>
            </w:pPr>
            <w:bookmarkStart w:id="52" w:name="_Toc124329950"/>
            <w:r w:rsidRPr="00EA6ACC">
              <w:rPr>
                <w:rFonts w:cs="Calibri"/>
              </w:rPr>
              <w:t>Comptes</w:t>
            </w:r>
            <w:r w:rsidRPr="00856C38">
              <w:rPr>
                <w:rFonts w:cs="Calibri"/>
              </w:rPr>
              <w:t xml:space="preserve"> de frais reportés hors base</w:t>
            </w:r>
            <w:bookmarkEnd w:id="52"/>
          </w:p>
        </w:tc>
      </w:tr>
      <w:tr w:rsidR="00DC782D" w14:paraId="7DBA1C51" w14:textId="77777777" w:rsidTr="00CE3152">
        <w:trPr>
          <w:trHeight w:val="255"/>
        </w:trPr>
        <w:tc>
          <w:tcPr>
            <w:tcW w:w="5000" w:type="pct"/>
          </w:tcPr>
          <w:p w14:paraId="5BEE651B" w14:textId="77777777" w:rsidR="00CE3152" w:rsidRPr="0019430E" w:rsidRDefault="00AA550E" w:rsidP="00352626">
            <w:pPr>
              <w:pStyle w:val="TitreS2"/>
              <w:numPr>
                <w:ilvl w:val="3"/>
                <w:numId w:val="8"/>
              </w:numPr>
              <w:spacing w:before="200" w:after="0"/>
              <w:ind w:left="567" w:hanging="567"/>
              <w:rPr>
                <w:rFonts w:cs="Calibri"/>
                <w:b w:val="0"/>
                <w:sz w:val="24"/>
                <w:szCs w:val="24"/>
                <w:u w:val="single"/>
                <w:lang w:eastAsia="fr-CA"/>
              </w:rPr>
            </w:pPr>
            <w:r w:rsidRPr="0019430E">
              <w:rPr>
                <w:rFonts w:eastAsia="Times New Roman" w:cs="Calibri"/>
                <w:b w:val="0"/>
                <w:sz w:val="24"/>
                <w:szCs w:val="24"/>
                <w:lang w:eastAsia="fr-CA"/>
              </w:rPr>
              <w:t>Le détail de tous les comptes de frais reportés hors base ainsi que leur ventilation mensuelle.</w:t>
            </w:r>
          </w:p>
          <w:p w14:paraId="63A9A209" w14:textId="77777777" w:rsidR="00CE3152" w:rsidRPr="0019430E" w:rsidRDefault="00CE3152" w:rsidP="00352626">
            <w:pPr>
              <w:ind w:right="147"/>
              <w:rPr>
                <w:rFonts w:cs="Calibri"/>
                <w:szCs w:val="24"/>
                <w:u w:val="single"/>
                <w:lang w:eastAsia="fr-CA"/>
              </w:rPr>
            </w:pPr>
          </w:p>
        </w:tc>
      </w:tr>
      <w:tr w:rsidR="00DC782D" w14:paraId="2E507BBD" w14:textId="77777777" w:rsidTr="00CE3152">
        <w:trPr>
          <w:trHeight w:val="255"/>
        </w:trPr>
        <w:tc>
          <w:tcPr>
            <w:tcW w:w="5000" w:type="pct"/>
          </w:tcPr>
          <w:p w14:paraId="67DD4297" w14:textId="06585DA1" w:rsidR="00CE3152" w:rsidRPr="00856C38" w:rsidRDefault="00AA550E" w:rsidP="00352626">
            <w:pPr>
              <w:pStyle w:val="Titre2"/>
              <w:keepNext/>
              <w:tabs>
                <w:tab w:val="clear" w:pos="709"/>
                <w:tab w:val="num" w:pos="851"/>
              </w:tabs>
              <w:ind w:left="851" w:hanging="851"/>
              <w:rPr>
                <w:rFonts w:cs="Calibri"/>
              </w:rPr>
            </w:pPr>
            <w:bookmarkStart w:id="53" w:name="_Toc124329951"/>
            <w:r w:rsidRPr="00856C38">
              <w:rPr>
                <w:rFonts w:cs="Calibri"/>
              </w:rPr>
              <w:t>Base de tarification</w:t>
            </w:r>
            <w:bookmarkEnd w:id="53"/>
          </w:p>
        </w:tc>
      </w:tr>
      <w:tr w:rsidR="00DC782D" w14:paraId="21D0785B" w14:textId="77777777" w:rsidTr="00CE3152">
        <w:trPr>
          <w:trHeight w:val="255"/>
        </w:trPr>
        <w:tc>
          <w:tcPr>
            <w:tcW w:w="5000" w:type="pct"/>
          </w:tcPr>
          <w:p w14:paraId="60A7D62D" w14:textId="092F51DF"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La base de tarification mensuelle ainsi que la moyenne 13 soldes, incluant le détail des rubriques Auto-assurance et Fonds de </w:t>
            </w:r>
            <w:r w:rsidR="00FD57FF" w:rsidRPr="0019430E">
              <w:rPr>
                <w:rFonts w:eastAsia="Times New Roman" w:cs="Calibri"/>
                <w:b w:val="0"/>
                <w:sz w:val="24"/>
                <w:szCs w:val="24"/>
                <w:lang w:eastAsia="fr-CA"/>
              </w:rPr>
              <w:t>roulement.</w:t>
            </w:r>
          </w:p>
        </w:tc>
      </w:tr>
      <w:tr w:rsidR="00DC782D" w14:paraId="5D4646B4" w14:textId="77777777" w:rsidTr="00CE3152">
        <w:trPr>
          <w:trHeight w:val="255"/>
        </w:trPr>
        <w:tc>
          <w:tcPr>
            <w:tcW w:w="5000" w:type="pct"/>
          </w:tcPr>
          <w:p w14:paraId="55A60623" w14:textId="7428C533" w:rsidR="00CE3152" w:rsidRPr="0019430E" w:rsidRDefault="00AA550E" w:rsidP="006805BC">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L’historique du compte de stabilisation de la température (</w:t>
            </w:r>
            <w:r w:rsidR="006805BC">
              <w:rPr>
                <w:rFonts w:eastAsia="Times New Roman" w:cs="Calibri"/>
                <w:b w:val="0"/>
                <w:sz w:val="24"/>
                <w:szCs w:val="24"/>
                <w:lang w:eastAsia="fr-CA"/>
              </w:rPr>
              <w:t>$</w:t>
            </w:r>
            <w:r w:rsidRPr="0019430E">
              <w:rPr>
                <w:rFonts w:eastAsia="Times New Roman" w:cs="Calibri"/>
                <w:b w:val="0"/>
                <w:sz w:val="24"/>
                <w:szCs w:val="24"/>
                <w:lang w:eastAsia="fr-CA"/>
              </w:rPr>
              <w:t>) ventilé mensuellement.</w:t>
            </w:r>
          </w:p>
        </w:tc>
      </w:tr>
      <w:tr w:rsidR="00DC782D" w14:paraId="3A979C26" w14:textId="77777777" w:rsidTr="00CE3152">
        <w:trPr>
          <w:trHeight w:val="255"/>
        </w:trPr>
        <w:tc>
          <w:tcPr>
            <w:tcW w:w="5000" w:type="pct"/>
          </w:tcPr>
          <w:p w14:paraId="6C1346FF" w14:textId="789E99B7" w:rsidR="00CE3152" w:rsidRPr="0019430E" w:rsidRDefault="00AA550E" w:rsidP="006805BC">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détail du compte de stabilisation de la température des tarifs 1, 2 et 3 par mois et cumulativement, incluant</w:t>
            </w:r>
            <w:r w:rsidR="008B7121">
              <w:rPr>
                <w:rFonts w:eastAsia="Times New Roman" w:cs="Calibri"/>
                <w:b w:val="0"/>
                <w:sz w:val="24"/>
                <w:szCs w:val="24"/>
                <w:lang w:eastAsia="fr-CA"/>
              </w:rPr>
              <w:t xml:space="preserve"> </w:t>
            </w:r>
            <w:r w:rsidRPr="0019430E">
              <w:rPr>
                <w:rFonts w:eastAsia="Times New Roman" w:cs="Calibri"/>
                <w:b w:val="0"/>
                <w:sz w:val="24"/>
                <w:szCs w:val="24"/>
                <w:lang w:eastAsia="fr-CA"/>
              </w:rPr>
              <w:t xml:space="preserve">la normalisation des ventes, la normalisation des achats </w:t>
            </w:r>
            <w:r w:rsidRPr="000A7194">
              <w:rPr>
                <w:rFonts w:eastAsia="Times New Roman" w:cs="Calibri"/>
                <w:b w:val="0"/>
                <w:sz w:val="24"/>
                <w:szCs w:val="24"/>
                <w:lang w:eastAsia="fr-CA"/>
              </w:rPr>
              <w:t>(</w:t>
            </w:r>
            <w:r w:rsidR="006805BC">
              <w:rPr>
                <w:rFonts w:eastAsia="Times New Roman" w:cs="Calibri"/>
                <w:b w:val="0"/>
                <w:sz w:val="24"/>
                <w:szCs w:val="24"/>
                <w:lang w:eastAsia="fr-CA"/>
              </w:rPr>
              <w:t>$</w:t>
            </w:r>
            <w:r w:rsidRPr="000A7194">
              <w:rPr>
                <w:rFonts w:eastAsia="Times New Roman" w:cs="Calibri"/>
                <w:b w:val="0"/>
                <w:sz w:val="24"/>
                <w:szCs w:val="24"/>
                <w:lang w:eastAsia="fr-CA"/>
              </w:rPr>
              <w:t xml:space="preserve">) </w:t>
            </w:r>
            <w:r w:rsidRPr="0019430E">
              <w:rPr>
                <w:rFonts w:eastAsia="Times New Roman" w:cs="Calibri"/>
                <w:b w:val="0"/>
                <w:sz w:val="24"/>
                <w:szCs w:val="24"/>
                <w:lang w:eastAsia="fr-CA"/>
              </w:rPr>
              <w:t>ainsi que l’effet de la normalisation de la température en m</w:t>
            </w:r>
            <w:r w:rsidRPr="0001587D">
              <w:rPr>
                <w:rFonts w:eastAsia="Times New Roman" w:cs="Calibri"/>
                <w:b w:val="0"/>
                <w:sz w:val="24"/>
                <w:szCs w:val="24"/>
                <w:vertAlign w:val="superscript"/>
                <w:lang w:eastAsia="fr-CA"/>
              </w:rPr>
              <w:t>3</w:t>
            </w:r>
            <w:r w:rsidRPr="0019430E">
              <w:rPr>
                <w:rFonts w:eastAsia="Times New Roman" w:cs="Calibri"/>
                <w:b w:val="0"/>
                <w:sz w:val="24"/>
                <w:szCs w:val="24"/>
                <w:lang w:eastAsia="fr-CA"/>
              </w:rPr>
              <w:t xml:space="preserve"> sur une base mensuelle.</w:t>
            </w:r>
          </w:p>
        </w:tc>
      </w:tr>
      <w:tr w:rsidR="00DC782D" w14:paraId="031B993D" w14:textId="77777777" w:rsidTr="00CE3152">
        <w:trPr>
          <w:trHeight w:val="255"/>
        </w:trPr>
        <w:tc>
          <w:tcPr>
            <w:tcW w:w="5000" w:type="pct"/>
          </w:tcPr>
          <w:p w14:paraId="654E2CDA" w14:textId="02B78FF9" w:rsidR="00CE3152" w:rsidRPr="0019430E" w:rsidRDefault="00AA550E" w:rsidP="006805BC">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L’historique du compte de stabilisation du gaz perdu (</w:t>
            </w:r>
            <w:r w:rsidR="006805BC">
              <w:rPr>
                <w:rFonts w:eastAsia="Times New Roman" w:cs="Calibri"/>
                <w:b w:val="0"/>
                <w:sz w:val="24"/>
                <w:szCs w:val="24"/>
                <w:lang w:eastAsia="fr-CA"/>
              </w:rPr>
              <w:t>$</w:t>
            </w:r>
            <w:r w:rsidRPr="0019430E">
              <w:rPr>
                <w:rFonts w:eastAsia="Times New Roman" w:cs="Calibri"/>
                <w:b w:val="0"/>
                <w:sz w:val="24"/>
                <w:szCs w:val="24"/>
                <w:lang w:eastAsia="fr-CA"/>
              </w:rPr>
              <w:t>) ventilé mensuellement</w:t>
            </w:r>
            <w:r w:rsidRPr="00EC1EB1">
              <w:rPr>
                <w:rFonts w:eastAsia="Times New Roman" w:cs="Calibri"/>
                <w:b w:val="0"/>
                <w:sz w:val="24"/>
                <w:szCs w:val="24"/>
                <w:lang w:eastAsia="fr-CA"/>
              </w:rPr>
              <w:t>.</w:t>
            </w:r>
          </w:p>
        </w:tc>
      </w:tr>
      <w:tr w:rsidR="00DC782D" w14:paraId="2A3F1CA1" w14:textId="77777777" w:rsidTr="00CE3152">
        <w:trPr>
          <w:trHeight w:val="255"/>
        </w:trPr>
        <w:tc>
          <w:tcPr>
            <w:tcW w:w="5000" w:type="pct"/>
          </w:tcPr>
          <w:p w14:paraId="54D27E2B" w14:textId="513D8737" w:rsidR="00CE3152" w:rsidRPr="0019430E" w:rsidRDefault="00AA550E" w:rsidP="00695565">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lastRenderedPageBreak/>
              <w:t xml:space="preserve">Le détail du compte de stabilisation du gaz perdu par mois et </w:t>
            </w:r>
            <w:r w:rsidR="00695565" w:rsidRPr="0019430E">
              <w:rPr>
                <w:rFonts w:eastAsia="Times New Roman" w:cs="Calibri"/>
                <w:b w:val="0"/>
                <w:sz w:val="24"/>
                <w:szCs w:val="24"/>
                <w:lang w:eastAsia="fr-CA"/>
              </w:rPr>
              <w:t>cumulati</w:t>
            </w:r>
            <w:r w:rsidR="00695565">
              <w:rPr>
                <w:rFonts w:eastAsia="Times New Roman" w:cs="Calibri"/>
                <w:b w:val="0"/>
                <w:sz w:val="24"/>
                <w:szCs w:val="24"/>
                <w:lang w:eastAsia="fr-CA"/>
              </w:rPr>
              <w:t>f</w:t>
            </w:r>
            <w:r w:rsidR="00695565" w:rsidRPr="0019430E">
              <w:rPr>
                <w:rFonts w:eastAsia="Times New Roman" w:cs="Calibri"/>
                <w:b w:val="0"/>
                <w:sz w:val="24"/>
                <w:szCs w:val="24"/>
                <w:lang w:eastAsia="fr-CA"/>
              </w:rPr>
              <w:t xml:space="preserve"> </w:t>
            </w:r>
            <w:r w:rsidRPr="0019430E">
              <w:rPr>
                <w:rFonts w:eastAsia="Times New Roman" w:cs="Calibri"/>
                <w:b w:val="0"/>
                <w:sz w:val="24"/>
                <w:szCs w:val="24"/>
                <w:lang w:eastAsia="fr-CA"/>
              </w:rPr>
              <w:t>en présentant la stabilisation du gaz perdu</w:t>
            </w:r>
            <w:r w:rsidRPr="00F05D9E">
              <w:rPr>
                <w:rFonts w:eastAsia="Times New Roman" w:cs="Calibri"/>
                <w:b w:val="0"/>
                <w:sz w:val="24"/>
                <w:szCs w:val="24"/>
                <w:lang w:eastAsia="fr-CA"/>
              </w:rPr>
              <w:t>,</w:t>
            </w:r>
            <w:r w:rsidRPr="0019430E">
              <w:rPr>
                <w:rFonts w:eastAsia="Times New Roman" w:cs="Calibri"/>
                <w:b w:val="0"/>
                <w:sz w:val="24"/>
                <w:szCs w:val="24"/>
                <w:lang w:eastAsia="fr-CA"/>
              </w:rPr>
              <w:t xml:space="preserve"> incluant le détail du </w:t>
            </w:r>
            <w:r w:rsidR="00FD57FF" w:rsidRPr="0019430E">
              <w:rPr>
                <w:rFonts w:eastAsia="Times New Roman" w:cs="Calibri"/>
                <w:b w:val="0"/>
                <w:sz w:val="24"/>
                <w:szCs w:val="24"/>
                <w:lang w:eastAsia="fr-CA"/>
              </w:rPr>
              <w:t xml:space="preserve">compte </w:t>
            </w:r>
            <w:r w:rsidR="00FD57FF">
              <w:rPr>
                <w:rFonts w:eastAsia="Times New Roman" w:cs="Calibri"/>
                <w:b w:val="0"/>
                <w:sz w:val="24"/>
                <w:szCs w:val="24"/>
                <w:lang w:eastAsia="fr-CA"/>
              </w:rPr>
              <w:t>(</w:t>
            </w:r>
            <w:r w:rsidR="006805BC">
              <w:rPr>
                <w:rFonts w:eastAsia="Times New Roman" w:cs="Calibri"/>
                <w:b w:val="0"/>
                <w:sz w:val="24"/>
                <w:szCs w:val="24"/>
                <w:lang w:eastAsia="fr-CA"/>
              </w:rPr>
              <w:t>10</w:t>
            </w:r>
            <w:r w:rsidR="006805BC" w:rsidRPr="00F77C47">
              <w:rPr>
                <w:rFonts w:eastAsia="Times New Roman" w:cs="Calibri"/>
                <w:b w:val="0"/>
                <w:sz w:val="24"/>
                <w:szCs w:val="24"/>
                <w:vertAlign w:val="superscript"/>
                <w:lang w:eastAsia="fr-CA"/>
              </w:rPr>
              <w:t>3</w:t>
            </w:r>
            <w:r w:rsidRPr="0019430E">
              <w:rPr>
                <w:rFonts w:eastAsia="Times New Roman" w:cs="Calibri"/>
                <w:b w:val="0"/>
                <w:sz w:val="24"/>
                <w:szCs w:val="24"/>
                <w:lang w:eastAsia="fr-CA"/>
              </w:rPr>
              <w:t>m</w:t>
            </w:r>
            <w:r w:rsidRPr="00A91E2B">
              <w:rPr>
                <w:rFonts w:eastAsia="Times New Roman" w:cs="Calibri"/>
                <w:b w:val="0"/>
                <w:sz w:val="24"/>
                <w:szCs w:val="24"/>
                <w:vertAlign w:val="superscript"/>
                <w:lang w:eastAsia="fr-CA"/>
              </w:rPr>
              <w:t>3</w:t>
            </w:r>
            <w:r w:rsidR="006805BC">
              <w:rPr>
                <w:rFonts w:eastAsia="Times New Roman" w:cs="Calibri"/>
                <w:b w:val="0"/>
                <w:sz w:val="24"/>
                <w:szCs w:val="24"/>
                <w:lang w:eastAsia="fr-CA"/>
              </w:rPr>
              <w:t xml:space="preserve">) </w:t>
            </w:r>
            <w:r w:rsidRPr="0019430E">
              <w:rPr>
                <w:rFonts w:eastAsia="Times New Roman" w:cs="Calibri"/>
                <w:b w:val="0"/>
                <w:sz w:val="24"/>
                <w:szCs w:val="24"/>
                <w:lang w:eastAsia="fr-CA"/>
              </w:rPr>
              <w:t xml:space="preserve">ainsi que le coût du gaz </w:t>
            </w:r>
            <w:r w:rsidR="006805BC">
              <w:rPr>
                <w:rFonts w:eastAsia="Times New Roman" w:cs="Calibri"/>
                <w:b w:val="0"/>
                <w:sz w:val="24"/>
                <w:szCs w:val="24"/>
                <w:lang w:eastAsia="fr-CA"/>
              </w:rPr>
              <w:t>(</w:t>
            </w:r>
            <w:r w:rsidRPr="0019430E">
              <w:rPr>
                <w:rFonts w:eastAsia="Times New Roman" w:cs="Calibri"/>
                <w:b w:val="0"/>
                <w:sz w:val="24"/>
                <w:szCs w:val="24"/>
                <w:lang w:eastAsia="fr-CA"/>
              </w:rPr>
              <w:t>$/</w:t>
            </w:r>
            <w:r w:rsidR="006805BC">
              <w:rPr>
                <w:rFonts w:eastAsia="Times New Roman" w:cs="Calibri"/>
                <w:b w:val="0"/>
                <w:sz w:val="24"/>
                <w:szCs w:val="24"/>
                <w:lang w:eastAsia="fr-CA"/>
              </w:rPr>
              <w:t>10</w:t>
            </w:r>
            <w:r w:rsidR="006805BC" w:rsidRPr="00071A70">
              <w:rPr>
                <w:rFonts w:eastAsia="Times New Roman" w:cs="Calibri"/>
                <w:b w:val="0"/>
                <w:sz w:val="24"/>
                <w:szCs w:val="24"/>
                <w:vertAlign w:val="superscript"/>
                <w:lang w:eastAsia="fr-CA"/>
              </w:rPr>
              <w:t>3</w:t>
            </w:r>
            <w:r w:rsidRPr="0019430E">
              <w:rPr>
                <w:rFonts w:eastAsia="Times New Roman" w:cs="Calibri"/>
                <w:b w:val="0"/>
                <w:sz w:val="24"/>
                <w:szCs w:val="24"/>
                <w:lang w:eastAsia="fr-CA"/>
              </w:rPr>
              <w:t>m</w:t>
            </w:r>
            <w:r w:rsidRPr="00A91E2B">
              <w:rPr>
                <w:rFonts w:eastAsia="Times New Roman" w:cs="Calibri"/>
                <w:b w:val="0"/>
                <w:sz w:val="24"/>
                <w:szCs w:val="24"/>
                <w:vertAlign w:val="superscript"/>
                <w:lang w:eastAsia="fr-CA"/>
              </w:rPr>
              <w:t>3</w:t>
            </w:r>
            <w:r w:rsidR="006805BC">
              <w:rPr>
                <w:rFonts w:eastAsia="Times New Roman" w:cs="Calibri"/>
                <w:b w:val="0"/>
                <w:sz w:val="24"/>
                <w:szCs w:val="24"/>
                <w:lang w:eastAsia="fr-CA"/>
              </w:rPr>
              <w:t>).</w:t>
            </w:r>
          </w:p>
        </w:tc>
      </w:tr>
      <w:tr w:rsidR="00DC782D" w14:paraId="18B57A88" w14:textId="77777777" w:rsidTr="00CE3152">
        <w:trPr>
          <w:trHeight w:val="255"/>
        </w:trPr>
        <w:tc>
          <w:tcPr>
            <w:tcW w:w="5000" w:type="pct"/>
          </w:tcPr>
          <w:p w14:paraId="523A1146" w14:textId="0C81298A"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La comparaison des moyennes des 13 soldes de la base de tarification réelle avec celles de l’exercice précédent et le budget autorisé au dossier tarifaire correspondant, incluant les écarts observés et l’explication de toute variation significative.</w:t>
            </w:r>
          </w:p>
        </w:tc>
      </w:tr>
      <w:tr w:rsidR="00DC782D" w14:paraId="47B99243" w14:textId="77777777" w:rsidTr="00CE3152">
        <w:trPr>
          <w:trHeight w:val="255"/>
        </w:trPr>
        <w:tc>
          <w:tcPr>
            <w:tcW w:w="5000" w:type="pct"/>
          </w:tcPr>
          <w:p w14:paraId="052A6D8E"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La conciliation de chaque composante de la base de tarification avec les différents postes présentés aux états financiers vérifiés à la date de fermeture.</w:t>
            </w:r>
          </w:p>
        </w:tc>
      </w:tr>
      <w:tr w:rsidR="00DC782D" w14:paraId="32821B0C" w14:textId="77777777" w:rsidTr="00CE3152">
        <w:trPr>
          <w:trHeight w:val="255"/>
        </w:trPr>
        <w:tc>
          <w:tcPr>
            <w:tcW w:w="5000" w:type="pct"/>
          </w:tcPr>
          <w:p w14:paraId="352CFE97" w14:textId="2B7BFB51"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L’évolution des immobilisations entre l’année de référence</w:t>
            </w:r>
            <w:r w:rsidR="00B519E7">
              <w:rPr>
                <w:rFonts w:eastAsia="Times New Roman" w:cs="Calibri"/>
                <w:b w:val="0"/>
                <w:sz w:val="24"/>
                <w:szCs w:val="24"/>
                <w:lang w:eastAsia="fr-CA"/>
              </w:rPr>
              <w:t>,</w:t>
            </w:r>
            <w:r w:rsidRPr="0019430E">
              <w:rPr>
                <w:rFonts w:eastAsia="Times New Roman" w:cs="Calibri"/>
                <w:b w:val="0"/>
                <w:sz w:val="24"/>
                <w:szCs w:val="24"/>
                <w:lang w:eastAsia="fr-CA"/>
              </w:rPr>
              <w:t xml:space="preserve"> l’année historique et le budget autorisé au dossier tarifaire correspondant.</w:t>
            </w:r>
          </w:p>
          <w:p w14:paraId="1A2FB010" w14:textId="77777777" w:rsidR="00CE3152" w:rsidRPr="0019430E" w:rsidRDefault="00CE3152" w:rsidP="00352626">
            <w:pPr>
              <w:pStyle w:val="TitreS2"/>
              <w:spacing w:before="200" w:after="0"/>
              <w:rPr>
                <w:rFonts w:eastAsia="Times New Roman" w:cs="Calibri"/>
                <w:b w:val="0"/>
                <w:sz w:val="24"/>
                <w:szCs w:val="24"/>
                <w:lang w:eastAsia="fr-CA"/>
              </w:rPr>
            </w:pPr>
          </w:p>
        </w:tc>
      </w:tr>
      <w:tr w:rsidR="00DC782D" w14:paraId="762F820F" w14:textId="77777777" w:rsidTr="00CE3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000" w:type="pct"/>
            <w:tcBorders>
              <w:top w:val="nil"/>
              <w:left w:val="nil"/>
              <w:bottom w:val="nil"/>
              <w:right w:val="nil"/>
            </w:tcBorders>
          </w:tcPr>
          <w:p w14:paraId="44546EE8" w14:textId="5396E314" w:rsidR="00CE3152" w:rsidRPr="00856C38" w:rsidRDefault="00AA550E" w:rsidP="00352626">
            <w:pPr>
              <w:pStyle w:val="Titre2"/>
              <w:keepNext/>
              <w:tabs>
                <w:tab w:val="clear" w:pos="709"/>
                <w:tab w:val="num" w:pos="851"/>
              </w:tabs>
              <w:ind w:left="851" w:hanging="851"/>
              <w:rPr>
                <w:rFonts w:cs="Calibri"/>
              </w:rPr>
            </w:pPr>
            <w:bookmarkStart w:id="54" w:name="_Toc124329952"/>
            <w:r w:rsidRPr="00856C38">
              <w:rPr>
                <w:rFonts w:cs="Calibri"/>
              </w:rPr>
              <w:t>Gaz perdu</w:t>
            </w:r>
            <w:bookmarkEnd w:id="54"/>
          </w:p>
        </w:tc>
      </w:tr>
      <w:tr w:rsidR="00DC782D" w14:paraId="3F8BB736" w14:textId="77777777" w:rsidTr="00CE3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000" w:type="pct"/>
            <w:tcBorders>
              <w:top w:val="nil"/>
              <w:left w:val="nil"/>
              <w:bottom w:val="nil"/>
              <w:right w:val="nil"/>
            </w:tcBorders>
          </w:tcPr>
          <w:p w14:paraId="179D7A1B"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Un rapport d’analyse des causes du gaz perdu lorsque le taux de gaz perdu réel excède 1 %.</w:t>
            </w:r>
          </w:p>
          <w:p w14:paraId="0F620CA4"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1F482D75" w14:textId="77777777" w:rsidTr="00CE3152">
        <w:trPr>
          <w:trHeight w:val="255"/>
        </w:trPr>
        <w:tc>
          <w:tcPr>
            <w:tcW w:w="5000" w:type="pct"/>
          </w:tcPr>
          <w:p w14:paraId="6E005EF7" w14:textId="156B4661" w:rsidR="00CE3152" w:rsidRPr="00856C38" w:rsidRDefault="00AA550E" w:rsidP="00352626">
            <w:pPr>
              <w:pStyle w:val="Titre2"/>
              <w:keepNext/>
              <w:tabs>
                <w:tab w:val="clear" w:pos="709"/>
                <w:tab w:val="num" w:pos="851"/>
              </w:tabs>
              <w:ind w:left="851" w:hanging="851"/>
              <w:rPr>
                <w:rFonts w:cs="Calibri"/>
              </w:rPr>
            </w:pPr>
            <w:bookmarkStart w:id="55" w:name="_Toc124329953"/>
            <w:r w:rsidRPr="00856C38">
              <w:rPr>
                <w:rFonts w:cs="Calibri"/>
              </w:rPr>
              <w:t>Structure de capital</w:t>
            </w:r>
            <w:bookmarkEnd w:id="55"/>
          </w:p>
        </w:tc>
      </w:tr>
      <w:tr w:rsidR="00DC782D" w14:paraId="5FB71D21" w14:textId="77777777" w:rsidTr="00CE3152">
        <w:trPr>
          <w:trHeight w:val="255"/>
        </w:trPr>
        <w:tc>
          <w:tcPr>
            <w:tcW w:w="5000" w:type="pct"/>
          </w:tcPr>
          <w:p w14:paraId="2F04A192"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détail de la structure de capital mensuelle ainsi que la moyenne des 13 soldes et le calcul du rendement sur la base de tarification.</w:t>
            </w:r>
          </w:p>
        </w:tc>
      </w:tr>
      <w:tr w:rsidR="00DC782D" w14:paraId="0E9DDE92" w14:textId="77777777" w:rsidTr="00CE3152">
        <w:trPr>
          <w:trHeight w:val="255"/>
        </w:trPr>
        <w:tc>
          <w:tcPr>
            <w:tcW w:w="5000" w:type="pct"/>
          </w:tcPr>
          <w:p w14:paraId="0EE55295"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calcul du coût moyen de la dette à long terme et de la dette à court terme et indiquer le taux de rendement autorisé.</w:t>
            </w:r>
          </w:p>
        </w:tc>
      </w:tr>
      <w:tr w:rsidR="00DC782D" w14:paraId="42B81DA8" w14:textId="77777777" w:rsidTr="00CE3152">
        <w:trPr>
          <w:trHeight w:val="255"/>
        </w:trPr>
        <w:tc>
          <w:tcPr>
            <w:tcW w:w="5000" w:type="pct"/>
          </w:tcPr>
          <w:p w14:paraId="5970429B" w14:textId="7489CD2F"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détail de l’ajustement du compte de stabilisation de la température et du compte de stabilisation du gaz perdu inclus dans l’avoir propre, par mois et la moyenne des 13 soldes.</w:t>
            </w:r>
          </w:p>
        </w:tc>
      </w:tr>
      <w:tr w:rsidR="00DC782D" w14:paraId="0ADA0C52" w14:textId="77777777" w:rsidTr="00CE3152">
        <w:trPr>
          <w:trHeight w:val="255"/>
        </w:trPr>
        <w:tc>
          <w:tcPr>
            <w:tcW w:w="5000" w:type="pct"/>
          </w:tcPr>
          <w:p w14:paraId="2C569EB5" w14:textId="3D766B99" w:rsidR="00CE3152"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La comparaison des moyennes des 13 soldes de la structure du capital pour l’année de référence et l’année </w:t>
            </w:r>
            <w:r w:rsidR="00695565">
              <w:rPr>
                <w:rFonts w:eastAsia="Times New Roman" w:cs="Calibri"/>
                <w:b w:val="0"/>
                <w:sz w:val="24"/>
                <w:szCs w:val="24"/>
                <w:lang w:eastAsia="fr-CA"/>
              </w:rPr>
              <w:t>his</w:t>
            </w:r>
            <w:r w:rsidR="000F723A">
              <w:rPr>
                <w:rFonts w:eastAsia="Times New Roman" w:cs="Calibri"/>
                <w:b w:val="0"/>
                <w:sz w:val="24"/>
                <w:szCs w:val="24"/>
                <w:lang w:eastAsia="fr-CA"/>
              </w:rPr>
              <w:t>t</w:t>
            </w:r>
            <w:r w:rsidR="00695565">
              <w:rPr>
                <w:rFonts w:eastAsia="Times New Roman" w:cs="Calibri"/>
                <w:b w:val="0"/>
                <w:sz w:val="24"/>
                <w:szCs w:val="24"/>
                <w:lang w:eastAsia="fr-CA"/>
              </w:rPr>
              <w:t>oriqu</w:t>
            </w:r>
            <w:r w:rsidR="00695565" w:rsidRPr="0019430E">
              <w:rPr>
                <w:rFonts w:eastAsia="Times New Roman" w:cs="Calibri"/>
                <w:b w:val="0"/>
                <w:sz w:val="24"/>
                <w:szCs w:val="24"/>
                <w:lang w:eastAsia="fr-CA"/>
              </w:rPr>
              <w:t>e</w:t>
            </w:r>
            <w:r w:rsidRPr="0019430E">
              <w:rPr>
                <w:rFonts w:eastAsia="Times New Roman" w:cs="Calibri"/>
                <w:b w:val="0"/>
                <w:sz w:val="24"/>
                <w:szCs w:val="24"/>
                <w:lang w:eastAsia="fr-CA"/>
              </w:rPr>
              <w:t xml:space="preserve">, incluant les écarts observés </w:t>
            </w:r>
            <w:r w:rsidR="00695565">
              <w:rPr>
                <w:rFonts w:eastAsia="Times New Roman" w:cs="Calibri"/>
                <w:b w:val="0"/>
                <w:sz w:val="24"/>
                <w:szCs w:val="24"/>
                <w:lang w:eastAsia="fr-CA"/>
              </w:rPr>
              <w:t>($ et %)</w:t>
            </w:r>
            <w:r w:rsidRPr="0019430E">
              <w:rPr>
                <w:rFonts w:eastAsia="Times New Roman" w:cs="Calibri"/>
                <w:b w:val="0"/>
                <w:sz w:val="24"/>
                <w:szCs w:val="24"/>
                <w:lang w:eastAsia="fr-CA"/>
              </w:rPr>
              <w:t xml:space="preserve"> et l’explication de toute variation significative.</w:t>
            </w:r>
          </w:p>
          <w:p w14:paraId="12135615"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1AA90FD2" w14:textId="77777777" w:rsidTr="00CE3152">
        <w:trPr>
          <w:trHeight w:val="255"/>
        </w:trPr>
        <w:tc>
          <w:tcPr>
            <w:tcW w:w="5000" w:type="pct"/>
          </w:tcPr>
          <w:p w14:paraId="6A174B1A" w14:textId="77777777" w:rsidR="00CE3152" w:rsidRPr="00856C38" w:rsidRDefault="00AA550E" w:rsidP="00352626">
            <w:pPr>
              <w:pStyle w:val="Titre2"/>
              <w:keepNext/>
              <w:tabs>
                <w:tab w:val="clear" w:pos="709"/>
                <w:tab w:val="num" w:pos="851"/>
              </w:tabs>
              <w:ind w:left="851" w:hanging="851"/>
              <w:rPr>
                <w:rFonts w:cs="Calibri"/>
              </w:rPr>
            </w:pPr>
            <w:r>
              <w:br w:type="page"/>
            </w:r>
            <w:bookmarkStart w:id="56" w:name="_Toc124329954"/>
            <w:r w:rsidRPr="00856C38">
              <w:rPr>
                <w:rFonts w:cs="Calibri"/>
              </w:rPr>
              <w:t>Indices de performances</w:t>
            </w:r>
            <w:bookmarkEnd w:id="56"/>
          </w:p>
        </w:tc>
      </w:tr>
      <w:tr w:rsidR="00DC782D" w14:paraId="7A13E39A" w14:textId="77777777" w:rsidTr="00CE3152">
        <w:trPr>
          <w:trHeight w:val="255"/>
        </w:trPr>
        <w:tc>
          <w:tcPr>
            <w:tcW w:w="5000" w:type="pct"/>
          </w:tcPr>
          <w:p w14:paraId="62D0A9ED"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sommaire des résultats des indices de qualité du service.</w:t>
            </w:r>
          </w:p>
        </w:tc>
      </w:tr>
      <w:tr w:rsidR="00DC782D" w14:paraId="324A9CFD" w14:textId="77777777" w:rsidTr="00CE3152">
        <w:tc>
          <w:tcPr>
            <w:tcW w:w="5000" w:type="pct"/>
          </w:tcPr>
          <w:p w14:paraId="680F8A79"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Les indices de performance des </w:t>
            </w:r>
            <w:r>
              <w:rPr>
                <w:rFonts w:eastAsia="Times New Roman" w:cs="Calibri"/>
                <w:b w:val="0"/>
                <w:sz w:val="24"/>
                <w:szCs w:val="24"/>
                <w:lang w:eastAsia="fr-CA"/>
              </w:rPr>
              <w:t>catégorie</w:t>
            </w:r>
            <w:r w:rsidRPr="0019430E">
              <w:rPr>
                <w:rFonts w:eastAsia="Times New Roman" w:cs="Calibri"/>
                <w:b w:val="0"/>
                <w:sz w:val="24"/>
                <w:szCs w:val="24"/>
                <w:lang w:eastAsia="fr-CA"/>
              </w:rPr>
              <w:t>s suivants :</w:t>
            </w:r>
          </w:p>
          <w:p w14:paraId="374023CB"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t>Rapport de l’entretien préventif (mensuel);</w:t>
            </w:r>
          </w:p>
          <w:p w14:paraId="32A9E270"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lastRenderedPageBreak/>
              <w:t>Rapidité de réponse aux situations d’urgence (mensuel);</w:t>
            </w:r>
          </w:p>
          <w:p w14:paraId="3A60A54D"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t>Fréquence de lecture des compteurs (mensuel);</w:t>
            </w:r>
          </w:p>
          <w:p w14:paraId="28B240CF"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t>Rapidité de réponse aux appels téléphoniques (mensuel);</w:t>
            </w:r>
          </w:p>
          <w:p w14:paraId="596D03C3"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t>Satisfaction de la clientèle (annuel);</w:t>
            </w:r>
          </w:p>
          <w:p w14:paraId="46364361" w14:textId="77777777" w:rsidR="00CE3152" w:rsidRPr="0019430E" w:rsidRDefault="00AA550E" w:rsidP="00352626">
            <w:pPr>
              <w:pStyle w:val="TitreS2"/>
              <w:numPr>
                <w:ilvl w:val="0"/>
                <w:numId w:val="20"/>
              </w:numPr>
              <w:spacing w:after="0"/>
              <w:rPr>
                <w:rFonts w:eastAsia="Times New Roman" w:cs="Calibri"/>
                <w:b w:val="0"/>
                <w:sz w:val="24"/>
                <w:szCs w:val="24"/>
                <w:lang w:eastAsia="fr-CA"/>
              </w:rPr>
            </w:pPr>
            <w:r w:rsidRPr="0019430E">
              <w:rPr>
                <w:rFonts w:eastAsia="Times New Roman" w:cs="Calibri"/>
                <w:b w:val="0"/>
                <w:sz w:val="24"/>
                <w:szCs w:val="24"/>
                <w:lang w:eastAsia="fr-CA"/>
              </w:rPr>
              <w:t>Autre indice de performance, s’il y a lieu.</w:t>
            </w:r>
          </w:p>
          <w:p w14:paraId="2AC3BD87"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7B91E751" w14:textId="77777777" w:rsidTr="00CE3152">
        <w:trPr>
          <w:trHeight w:val="255"/>
        </w:trPr>
        <w:tc>
          <w:tcPr>
            <w:tcW w:w="5000" w:type="pct"/>
          </w:tcPr>
          <w:p w14:paraId="7375718B" w14:textId="213C41FF" w:rsidR="00CE3152" w:rsidRPr="00856C38" w:rsidRDefault="00AA550E" w:rsidP="00352626">
            <w:pPr>
              <w:pStyle w:val="Titre2"/>
              <w:keepNext/>
              <w:tabs>
                <w:tab w:val="clear" w:pos="709"/>
                <w:tab w:val="num" w:pos="851"/>
              </w:tabs>
              <w:ind w:left="851" w:hanging="851"/>
              <w:rPr>
                <w:rFonts w:cs="Calibri"/>
              </w:rPr>
            </w:pPr>
            <w:bookmarkStart w:id="57" w:name="_Toc124329955"/>
            <w:r w:rsidRPr="00856C38">
              <w:rPr>
                <w:rFonts w:cs="Calibri"/>
              </w:rPr>
              <w:lastRenderedPageBreak/>
              <w:t>Excédent de rendement et impôts</w:t>
            </w:r>
            <w:bookmarkEnd w:id="57"/>
          </w:p>
        </w:tc>
      </w:tr>
      <w:tr w:rsidR="00DC782D" w14:paraId="4133AF08" w14:textId="77777777" w:rsidTr="00CE3152">
        <w:trPr>
          <w:trHeight w:val="255"/>
        </w:trPr>
        <w:tc>
          <w:tcPr>
            <w:tcW w:w="5000" w:type="pct"/>
          </w:tcPr>
          <w:p w14:paraId="2763F827"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 calcul de l’excédent de rendement, de son partage et de l’impôt sur le revenu.</w:t>
            </w:r>
          </w:p>
        </w:tc>
      </w:tr>
      <w:tr w:rsidR="00DC782D" w14:paraId="0656F4B9" w14:textId="77777777" w:rsidTr="00CE3152">
        <w:trPr>
          <w:trHeight w:val="255"/>
        </w:trPr>
        <w:tc>
          <w:tcPr>
            <w:tcW w:w="5000" w:type="pct"/>
          </w:tcPr>
          <w:p w14:paraId="76CEAEF4" w14:textId="118C4E42"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Les composantes du </w:t>
            </w:r>
            <w:r w:rsidR="00FD57FF">
              <w:rPr>
                <w:rFonts w:eastAsia="Times New Roman" w:cs="Calibri"/>
                <w:b w:val="0"/>
                <w:sz w:val="24"/>
                <w:szCs w:val="24"/>
                <w:lang w:eastAsia="fr-CA"/>
              </w:rPr>
              <w:t>trop-perçu</w:t>
            </w:r>
            <w:r w:rsidR="00695565">
              <w:rPr>
                <w:rFonts w:eastAsia="Times New Roman" w:cs="Calibri"/>
                <w:b w:val="0"/>
                <w:sz w:val="24"/>
                <w:szCs w:val="24"/>
                <w:lang w:eastAsia="fr-CA"/>
              </w:rPr>
              <w:t>/</w:t>
            </w:r>
            <w:r w:rsidRPr="0019430E">
              <w:rPr>
                <w:rFonts w:eastAsia="Times New Roman" w:cs="Calibri"/>
                <w:b w:val="0"/>
                <w:sz w:val="24"/>
                <w:szCs w:val="24"/>
                <w:lang w:eastAsia="fr-CA"/>
              </w:rPr>
              <w:t>manque</w:t>
            </w:r>
            <w:r w:rsidR="00FD57FF">
              <w:rPr>
                <w:rFonts w:eastAsia="Times New Roman" w:cs="Calibri"/>
                <w:b w:val="0"/>
                <w:sz w:val="24"/>
                <w:szCs w:val="24"/>
                <w:lang w:eastAsia="fr-CA"/>
              </w:rPr>
              <w:t>-</w:t>
            </w:r>
            <w:r w:rsidRPr="0019430E">
              <w:rPr>
                <w:rFonts w:eastAsia="Times New Roman" w:cs="Calibri"/>
                <w:b w:val="0"/>
                <w:sz w:val="24"/>
                <w:szCs w:val="24"/>
                <w:lang w:eastAsia="fr-CA"/>
              </w:rPr>
              <w:t>à</w:t>
            </w:r>
            <w:r w:rsidR="00FD57FF">
              <w:rPr>
                <w:rFonts w:eastAsia="Times New Roman" w:cs="Calibri"/>
                <w:b w:val="0"/>
                <w:sz w:val="24"/>
                <w:szCs w:val="24"/>
                <w:lang w:eastAsia="fr-CA"/>
              </w:rPr>
              <w:t>-</w:t>
            </w:r>
            <w:r w:rsidRPr="0019430E">
              <w:rPr>
                <w:rFonts w:eastAsia="Times New Roman" w:cs="Calibri"/>
                <w:b w:val="0"/>
                <w:sz w:val="24"/>
                <w:szCs w:val="24"/>
                <w:lang w:eastAsia="fr-CA"/>
              </w:rPr>
              <w:t>gagner (année de référence versus le budget autorisé au dossier tarifaire correspondant).</w:t>
            </w:r>
          </w:p>
          <w:p w14:paraId="721AB9CD"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307EA44D" w14:textId="77777777" w:rsidTr="00CE3152">
        <w:trPr>
          <w:trHeight w:val="255"/>
        </w:trPr>
        <w:tc>
          <w:tcPr>
            <w:tcW w:w="5000" w:type="pct"/>
          </w:tcPr>
          <w:p w14:paraId="50F70B70" w14:textId="20A1223B" w:rsidR="00CE3152" w:rsidRPr="00856C38" w:rsidRDefault="00AA550E" w:rsidP="00352626">
            <w:pPr>
              <w:pStyle w:val="Titre2"/>
              <w:keepNext/>
              <w:tabs>
                <w:tab w:val="clear" w:pos="709"/>
                <w:tab w:val="num" w:pos="851"/>
              </w:tabs>
              <w:ind w:left="851" w:hanging="851"/>
              <w:rPr>
                <w:rFonts w:cs="Calibri"/>
              </w:rPr>
            </w:pPr>
            <w:bookmarkStart w:id="58" w:name="_Toc124329956"/>
            <w:r w:rsidRPr="00856C38">
              <w:rPr>
                <w:rFonts w:cs="Calibri"/>
              </w:rPr>
              <w:t>Suivi des programmes commerciaux</w:t>
            </w:r>
            <w:bookmarkEnd w:id="58"/>
          </w:p>
        </w:tc>
      </w:tr>
      <w:tr w:rsidR="00DC782D" w14:paraId="07343E24" w14:textId="77777777" w:rsidTr="00CE3152">
        <w:trPr>
          <w:trHeight w:val="255"/>
        </w:trPr>
        <w:tc>
          <w:tcPr>
            <w:tcW w:w="5000" w:type="pct"/>
          </w:tcPr>
          <w:p w14:paraId="65DA6A7E" w14:textId="1A2E04DA" w:rsidR="00CE3152" w:rsidRPr="0019430E" w:rsidRDefault="00CE3152" w:rsidP="00F03A8E">
            <w:pPr>
              <w:pStyle w:val="TitreS2"/>
              <w:spacing w:after="0"/>
              <w:rPr>
                <w:rFonts w:cs="Calibri"/>
                <w:b w:val="0"/>
                <w:color w:val="000000"/>
                <w:sz w:val="24"/>
                <w:szCs w:val="24"/>
                <w:lang w:eastAsia="fr-CA"/>
              </w:rPr>
            </w:pPr>
          </w:p>
        </w:tc>
      </w:tr>
      <w:tr w:rsidR="00DC782D" w:rsidRPr="00457E0F" w14:paraId="1E7A1FB3" w14:textId="77777777" w:rsidTr="00CE3152">
        <w:trPr>
          <w:trHeight w:val="255"/>
        </w:trPr>
        <w:tc>
          <w:tcPr>
            <w:tcW w:w="5000" w:type="pct"/>
          </w:tcPr>
          <w:p w14:paraId="7A40A0CC" w14:textId="1FB35F8E" w:rsidR="00CE3152" w:rsidRPr="006805BC" w:rsidRDefault="00591D6C" w:rsidP="00352626">
            <w:pPr>
              <w:pStyle w:val="TitreS2"/>
              <w:numPr>
                <w:ilvl w:val="3"/>
                <w:numId w:val="8"/>
              </w:numPr>
              <w:spacing w:before="200" w:after="0"/>
              <w:ind w:left="567" w:hanging="567"/>
              <w:rPr>
                <w:rFonts w:eastAsia="Times New Roman" w:cs="Calibri"/>
                <w:b w:val="0"/>
                <w:color w:val="000000"/>
                <w:sz w:val="24"/>
                <w:szCs w:val="24"/>
                <w:lang w:eastAsia="fr-CA"/>
              </w:rPr>
            </w:pPr>
            <w:r w:rsidRPr="006805BC">
              <w:rPr>
                <w:rFonts w:cs="Calibri"/>
                <w:b w:val="0"/>
                <w:color w:val="000000"/>
                <w:sz w:val="24"/>
                <w:szCs w:val="24"/>
                <w:lang w:eastAsia="fr-CA"/>
              </w:rPr>
              <w:t xml:space="preserve">De manière plus précise, pour les programmes suivants, un rapport sommaire </w:t>
            </w:r>
            <w:r w:rsidR="00DD3875" w:rsidRPr="006805BC">
              <w:rPr>
                <w:rFonts w:cs="Calibri"/>
                <w:b w:val="0"/>
                <w:color w:val="000000"/>
                <w:sz w:val="24"/>
                <w:szCs w:val="24"/>
                <w:lang w:eastAsia="fr-CA"/>
              </w:rPr>
              <w:t>indiquant</w:t>
            </w:r>
            <w:r w:rsidRPr="006805BC">
              <w:rPr>
                <w:rFonts w:cs="Calibri"/>
                <w:b w:val="0"/>
                <w:color w:val="000000"/>
                <w:sz w:val="24"/>
                <w:szCs w:val="24"/>
                <w:lang w:eastAsia="fr-CA"/>
              </w:rPr>
              <w:t xml:space="preserve"> les informations présentées ci-dessous</w:t>
            </w:r>
            <w:r w:rsidR="00DD3875" w:rsidRPr="006805BC">
              <w:rPr>
                <w:rFonts w:cs="Calibri"/>
                <w:b w:val="0"/>
                <w:color w:val="000000"/>
                <w:sz w:val="24"/>
                <w:szCs w:val="24"/>
                <w:lang w:eastAsia="fr-CA"/>
              </w:rPr>
              <w:t xml:space="preserve"> : </w:t>
            </w:r>
          </w:p>
          <w:p w14:paraId="6A4F9F1D" w14:textId="242F30B7" w:rsidR="00FD271C" w:rsidRPr="006805BC" w:rsidRDefault="00FD271C" w:rsidP="00FD271C">
            <w:pPr>
              <w:pStyle w:val="TitreS2"/>
              <w:spacing w:after="0" w:line="240" w:lineRule="auto"/>
              <w:rPr>
                <w:rFonts w:cs="Calibri"/>
                <w:b w:val="0"/>
                <w:bCs w:val="0"/>
                <w:color w:val="000000"/>
                <w:sz w:val="24"/>
                <w:szCs w:val="24"/>
                <w:lang w:eastAsia="fr-CA"/>
              </w:rPr>
            </w:pPr>
          </w:p>
          <w:p w14:paraId="3AB6F7E9" w14:textId="78A5A2C0" w:rsidR="00454CFE" w:rsidRPr="005003C2" w:rsidRDefault="004B593D" w:rsidP="004B593D">
            <w:pPr>
              <w:pStyle w:val="TitreS2"/>
              <w:numPr>
                <w:ilvl w:val="0"/>
                <w:numId w:val="40"/>
              </w:numPr>
              <w:spacing w:after="0" w:line="240" w:lineRule="auto"/>
              <w:rPr>
                <w:rFonts w:cs="Calibri"/>
                <w:bCs w:val="0"/>
                <w:color w:val="000000"/>
                <w:sz w:val="24"/>
                <w:szCs w:val="24"/>
                <w:lang w:eastAsia="fr-CA"/>
              </w:rPr>
            </w:pPr>
            <w:r w:rsidRPr="005003C2">
              <w:rPr>
                <w:rFonts w:cs="Calibri"/>
                <w:color w:val="000000" w:themeColor="text1"/>
                <w:sz w:val="24"/>
                <w:szCs w:val="24"/>
                <w:lang w:eastAsia="fr-CA"/>
              </w:rPr>
              <w:t xml:space="preserve">Programme dédié à la </w:t>
            </w:r>
            <w:r w:rsidR="007C4693" w:rsidRPr="005003C2">
              <w:rPr>
                <w:rFonts w:cs="Calibri"/>
                <w:color w:val="000000" w:themeColor="text1"/>
                <w:sz w:val="24"/>
                <w:szCs w:val="24"/>
                <w:lang w:eastAsia="fr-CA"/>
              </w:rPr>
              <w:t xml:space="preserve">diversification </w:t>
            </w:r>
            <w:r w:rsidR="00374ED3" w:rsidRPr="005003C2">
              <w:rPr>
                <w:rFonts w:cs="Calibri"/>
                <w:color w:val="000000" w:themeColor="text1"/>
                <w:sz w:val="24"/>
                <w:szCs w:val="24"/>
                <w:lang w:eastAsia="fr-CA"/>
              </w:rPr>
              <w:t>de l’utilisation du gaz naturel dans le secteur résidentiel</w:t>
            </w:r>
          </w:p>
          <w:p w14:paraId="5FC8A0F8" w14:textId="77777777" w:rsidR="00F03A8E" w:rsidRPr="006805BC" w:rsidRDefault="00F03A8E" w:rsidP="00F03A8E">
            <w:pPr>
              <w:pStyle w:val="TitreS2"/>
              <w:spacing w:after="0" w:line="240" w:lineRule="auto"/>
              <w:ind w:left="720"/>
              <w:rPr>
                <w:rFonts w:cs="Calibri"/>
                <w:b w:val="0"/>
                <w:color w:val="000000" w:themeColor="text1"/>
                <w:sz w:val="24"/>
                <w:szCs w:val="24"/>
                <w:lang w:eastAsia="fr-CA"/>
              </w:rPr>
            </w:pPr>
          </w:p>
          <w:p w14:paraId="5CD2C067" w14:textId="65754AEF" w:rsidR="00E54627" w:rsidRPr="006805BC" w:rsidRDefault="00E54627" w:rsidP="00F03A8E">
            <w:pPr>
              <w:pStyle w:val="TitreS2"/>
              <w:spacing w:after="0" w:line="240" w:lineRule="auto"/>
              <w:ind w:left="720"/>
              <w:rPr>
                <w:rFonts w:cs="Calibri"/>
                <w:b w:val="0"/>
                <w:bCs w:val="0"/>
                <w:color w:val="000000"/>
                <w:sz w:val="24"/>
                <w:szCs w:val="24"/>
                <w:lang w:eastAsia="fr-CA"/>
              </w:rPr>
            </w:pPr>
            <w:r w:rsidRPr="006805BC">
              <w:rPr>
                <w:rFonts w:cs="Calibri"/>
                <w:b w:val="0"/>
                <w:color w:val="000000" w:themeColor="text1"/>
                <w:sz w:val="24"/>
                <w:szCs w:val="24"/>
                <w:lang w:eastAsia="fr-CA"/>
              </w:rPr>
              <w:t xml:space="preserve">Pour </w:t>
            </w:r>
            <w:r w:rsidR="00A1389C" w:rsidRPr="006805BC">
              <w:rPr>
                <w:rFonts w:cs="Calibri"/>
                <w:b w:val="0"/>
                <w:color w:val="000000" w:themeColor="text1"/>
                <w:sz w:val="24"/>
                <w:szCs w:val="24"/>
                <w:lang w:eastAsia="fr-CA"/>
              </w:rPr>
              <w:t xml:space="preserve">chaque </w:t>
            </w:r>
            <w:r w:rsidR="00C66690" w:rsidRPr="006805BC">
              <w:rPr>
                <w:rFonts w:cs="Calibri"/>
                <w:b w:val="0"/>
                <w:color w:val="000000" w:themeColor="text1"/>
                <w:sz w:val="24"/>
                <w:szCs w:val="24"/>
                <w:lang w:eastAsia="fr-CA"/>
              </w:rPr>
              <w:t>programme subventionné, un rapport sommaire indiquant les informations suivantes :</w:t>
            </w:r>
          </w:p>
          <w:p w14:paraId="4A65FE1F" w14:textId="78A5A2C0" w:rsidR="00374ED3" w:rsidRPr="00507F6B" w:rsidRDefault="00C66690" w:rsidP="00374ED3">
            <w:pPr>
              <w:pStyle w:val="TitreS2"/>
              <w:numPr>
                <w:ilvl w:val="1"/>
                <w:numId w:val="40"/>
              </w:numPr>
              <w:spacing w:after="0" w:line="240" w:lineRule="auto"/>
              <w:rPr>
                <w:rFonts w:cs="Calibri"/>
                <w:b w:val="0"/>
                <w:bCs w:val="0"/>
                <w:color w:val="000000"/>
                <w:sz w:val="24"/>
                <w:szCs w:val="24"/>
                <w:lang w:eastAsia="fr-CA"/>
              </w:rPr>
            </w:pPr>
            <w:r w:rsidRPr="00507F6B">
              <w:rPr>
                <w:rFonts w:cs="Calibri"/>
                <w:b w:val="0"/>
                <w:color w:val="000000" w:themeColor="text1"/>
                <w:sz w:val="24"/>
                <w:szCs w:val="24"/>
                <w:lang w:eastAsia="fr-CA"/>
              </w:rPr>
              <w:t xml:space="preserve">Nombre de participants </w:t>
            </w:r>
            <w:r w:rsidR="000A7AF7" w:rsidRPr="00507F6B">
              <w:rPr>
                <w:rFonts w:cs="Calibri"/>
                <w:b w:val="0"/>
                <w:color w:val="000000" w:themeColor="text1"/>
                <w:sz w:val="24"/>
                <w:szCs w:val="24"/>
                <w:lang w:eastAsia="fr-CA"/>
              </w:rPr>
              <w:t>par type d’appareil;</w:t>
            </w:r>
          </w:p>
          <w:p w14:paraId="75B0CBDC" w14:textId="78A5A2C0" w:rsidR="000A7AF7" w:rsidRPr="00457E0F" w:rsidRDefault="00037412" w:rsidP="00374ED3">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t xml:space="preserve">Montant </w:t>
            </w:r>
            <w:r w:rsidR="00DA5B61" w:rsidRPr="00457E0F">
              <w:rPr>
                <w:rFonts w:cs="Calibri"/>
                <w:b w:val="0"/>
                <w:color w:val="000000" w:themeColor="text1"/>
                <w:sz w:val="24"/>
                <w:szCs w:val="24"/>
                <w:lang w:eastAsia="fr-CA"/>
              </w:rPr>
              <w:t>total des aides financières octroyés;</w:t>
            </w:r>
          </w:p>
          <w:p w14:paraId="1419438B" w14:textId="78A5A2C0" w:rsidR="00DA5B61" w:rsidRPr="00457E0F" w:rsidRDefault="00DA5B61" w:rsidP="00374ED3">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t>Nombre de participant</w:t>
            </w:r>
            <w:r w:rsidR="00E605E9" w:rsidRPr="00457E0F">
              <w:rPr>
                <w:rFonts w:cs="Calibri"/>
                <w:b w:val="0"/>
                <w:color w:val="000000" w:themeColor="text1"/>
                <w:sz w:val="24"/>
                <w:szCs w:val="24"/>
                <w:lang w:eastAsia="fr-CA"/>
              </w:rPr>
              <w:t>s versus les dollars octroyés;</w:t>
            </w:r>
          </w:p>
          <w:p w14:paraId="61CA7FB1" w14:textId="78A5A2C0" w:rsidR="00E605E9" w:rsidRPr="00457E0F" w:rsidRDefault="00967145" w:rsidP="00F03A8E">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t>Détails des coûts associés à la promotion desdits programmes commerciaux.</w:t>
            </w:r>
          </w:p>
          <w:p w14:paraId="78A128D1" w14:textId="77777777" w:rsidR="0001587D" w:rsidRPr="000C5E15" w:rsidRDefault="0001587D" w:rsidP="0001587D">
            <w:pPr>
              <w:pStyle w:val="TitreS2"/>
              <w:spacing w:after="0" w:line="240" w:lineRule="auto"/>
              <w:rPr>
                <w:rFonts w:cs="Calibri"/>
                <w:b w:val="0"/>
                <w:bCs w:val="0"/>
                <w:color w:val="000000"/>
                <w:sz w:val="24"/>
                <w:szCs w:val="24"/>
                <w:lang w:eastAsia="fr-CA"/>
              </w:rPr>
            </w:pPr>
          </w:p>
          <w:p w14:paraId="258A300B" w14:textId="6CAB09BA" w:rsidR="00374ED3" w:rsidRPr="005003C2" w:rsidRDefault="00374ED3" w:rsidP="004B593D">
            <w:pPr>
              <w:pStyle w:val="TitreS2"/>
              <w:numPr>
                <w:ilvl w:val="0"/>
                <w:numId w:val="40"/>
              </w:numPr>
              <w:spacing w:after="0" w:line="240" w:lineRule="auto"/>
              <w:rPr>
                <w:rFonts w:cs="Calibri"/>
                <w:bCs w:val="0"/>
                <w:color w:val="000000"/>
                <w:sz w:val="24"/>
                <w:szCs w:val="24"/>
                <w:lang w:eastAsia="fr-CA"/>
              </w:rPr>
            </w:pPr>
            <w:r w:rsidRPr="005003C2">
              <w:rPr>
                <w:rFonts w:cs="Calibri"/>
                <w:color w:val="000000" w:themeColor="text1"/>
                <w:sz w:val="24"/>
                <w:szCs w:val="24"/>
                <w:lang w:eastAsia="fr-CA"/>
              </w:rPr>
              <w:t>Programme dédié à la diversification de l’utilisation du gaz naturel dans le secteur commercial</w:t>
            </w:r>
          </w:p>
          <w:p w14:paraId="64715C4E" w14:textId="77777777" w:rsidR="00F03A8E" w:rsidRPr="006805BC" w:rsidRDefault="00F03A8E" w:rsidP="00F03A8E">
            <w:pPr>
              <w:pStyle w:val="TitreS2"/>
              <w:spacing w:after="0" w:line="240" w:lineRule="auto"/>
              <w:ind w:left="720"/>
              <w:rPr>
                <w:rFonts w:cs="Calibri"/>
                <w:b w:val="0"/>
                <w:color w:val="000000" w:themeColor="text1"/>
                <w:sz w:val="24"/>
                <w:szCs w:val="24"/>
                <w:lang w:eastAsia="fr-CA"/>
              </w:rPr>
            </w:pPr>
          </w:p>
          <w:p w14:paraId="3D78E713" w14:textId="481839E2" w:rsidR="00D015D9" w:rsidRPr="006805BC" w:rsidRDefault="00D015D9" w:rsidP="00F03A8E">
            <w:pPr>
              <w:pStyle w:val="TitreS2"/>
              <w:spacing w:after="0" w:line="240" w:lineRule="auto"/>
              <w:ind w:left="720"/>
              <w:rPr>
                <w:rFonts w:cs="Calibri"/>
                <w:b w:val="0"/>
                <w:bCs w:val="0"/>
                <w:color w:val="000000"/>
                <w:sz w:val="24"/>
                <w:szCs w:val="24"/>
                <w:lang w:eastAsia="fr-CA"/>
              </w:rPr>
            </w:pPr>
            <w:r w:rsidRPr="006805BC">
              <w:rPr>
                <w:rFonts w:cs="Calibri"/>
                <w:b w:val="0"/>
                <w:color w:val="000000" w:themeColor="text1"/>
                <w:sz w:val="24"/>
                <w:szCs w:val="24"/>
                <w:lang w:eastAsia="fr-CA"/>
              </w:rPr>
              <w:t xml:space="preserve">Pour chaque programme </w:t>
            </w:r>
            <w:r w:rsidR="000C2597" w:rsidRPr="006805BC">
              <w:rPr>
                <w:rFonts w:cs="Calibri"/>
                <w:b w:val="0"/>
                <w:color w:val="000000" w:themeColor="text1"/>
                <w:sz w:val="24"/>
                <w:szCs w:val="24"/>
                <w:lang w:eastAsia="fr-CA"/>
              </w:rPr>
              <w:t>subventionné, un rapport sommaire indiquant les informations suivantes :</w:t>
            </w:r>
          </w:p>
          <w:p w14:paraId="2BC0C1EC" w14:textId="78A5A2C0" w:rsidR="00967145" w:rsidRPr="00507F6B" w:rsidRDefault="00D30F17" w:rsidP="00967145">
            <w:pPr>
              <w:pStyle w:val="TitreS2"/>
              <w:numPr>
                <w:ilvl w:val="1"/>
                <w:numId w:val="40"/>
              </w:numPr>
              <w:spacing w:after="0" w:line="240" w:lineRule="auto"/>
              <w:rPr>
                <w:rFonts w:cs="Calibri"/>
                <w:b w:val="0"/>
                <w:bCs w:val="0"/>
                <w:color w:val="000000"/>
                <w:sz w:val="24"/>
                <w:szCs w:val="24"/>
                <w:lang w:eastAsia="fr-CA"/>
              </w:rPr>
            </w:pPr>
            <w:r w:rsidRPr="00507F6B">
              <w:rPr>
                <w:rFonts w:cs="Calibri"/>
                <w:b w:val="0"/>
                <w:color w:val="000000" w:themeColor="text1"/>
                <w:sz w:val="24"/>
                <w:szCs w:val="24"/>
                <w:lang w:eastAsia="fr-CA"/>
              </w:rPr>
              <w:t>Nombre de participants;</w:t>
            </w:r>
          </w:p>
          <w:p w14:paraId="5E4B476E" w14:textId="78A5A2C0" w:rsidR="00D30F17" w:rsidRPr="00457E0F" w:rsidRDefault="00D30F17" w:rsidP="00967145">
            <w:pPr>
              <w:pStyle w:val="TitreS2"/>
              <w:numPr>
                <w:ilvl w:val="1"/>
                <w:numId w:val="40"/>
              </w:numPr>
              <w:spacing w:after="0" w:line="240" w:lineRule="auto"/>
              <w:rPr>
                <w:rFonts w:cs="Calibri"/>
                <w:b w:val="0"/>
                <w:bCs w:val="0"/>
                <w:color w:val="000000"/>
                <w:sz w:val="24"/>
                <w:szCs w:val="24"/>
                <w:lang w:eastAsia="fr-CA"/>
              </w:rPr>
            </w:pPr>
            <w:r w:rsidRPr="00507F6B">
              <w:rPr>
                <w:rFonts w:cs="Calibri"/>
                <w:b w:val="0"/>
                <w:color w:val="000000" w:themeColor="text1"/>
                <w:sz w:val="24"/>
                <w:szCs w:val="24"/>
                <w:lang w:eastAsia="fr-CA"/>
              </w:rPr>
              <w:t>Description du programme, soit les types et le nombre d’équipements;</w:t>
            </w:r>
          </w:p>
          <w:p w14:paraId="44DA5055" w14:textId="78A5A2C0" w:rsidR="006F1DE2" w:rsidRPr="00457E0F" w:rsidRDefault="006F1DE2" w:rsidP="00967145">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t>Les montants d’aide financière offerts;</w:t>
            </w:r>
          </w:p>
          <w:p w14:paraId="79BB0B8F" w14:textId="78A5A2C0" w:rsidR="006F1DE2" w:rsidRPr="00457E0F" w:rsidRDefault="006F1DE2" w:rsidP="00967145">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t>Le suivi sur les trois an</w:t>
            </w:r>
            <w:r w:rsidR="00BE499C" w:rsidRPr="00457E0F">
              <w:rPr>
                <w:rFonts w:cs="Calibri"/>
                <w:b w:val="0"/>
                <w:color w:val="000000" w:themeColor="text1"/>
                <w:sz w:val="24"/>
                <w:szCs w:val="24"/>
                <w:lang w:eastAsia="fr-CA"/>
              </w:rPr>
              <w:t>s</w:t>
            </w:r>
            <w:r w:rsidRPr="00457E0F">
              <w:rPr>
                <w:rFonts w:cs="Calibri"/>
                <w:b w:val="0"/>
                <w:color w:val="000000" w:themeColor="text1"/>
                <w:sz w:val="24"/>
                <w:szCs w:val="24"/>
                <w:lang w:eastAsia="fr-CA"/>
              </w:rPr>
              <w:t xml:space="preserve"> de l’obligation minimale annuelle et le respect de cette condition;</w:t>
            </w:r>
          </w:p>
          <w:p w14:paraId="1485DE8D" w14:textId="78A5A2C0" w:rsidR="00D30F17" w:rsidRPr="00457E0F" w:rsidRDefault="006F1DE2" w:rsidP="00F03A8E">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themeColor="text1"/>
                <w:sz w:val="24"/>
                <w:szCs w:val="24"/>
                <w:lang w:eastAsia="fr-CA"/>
              </w:rPr>
              <w:lastRenderedPageBreak/>
              <w:t>Les autres coûts associés au programme tels que le démarchage, le financement, la contribution étalée, la promotion et l’é</w:t>
            </w:r>
            <w:r w:rsidR="00BE499C" w:rsidRPr="00457E0F">
              <w:rPr>
                <w:rFonts w:cs="Calibri"/>
                <w:b w:val="0"/>
                <w:color w:val="000000" w:themeColor="text1"/>
                <w:sz w:val="24"/>
                <w:szCs w:val="24"/>
                <w:lang w:eastAsia="fr-CA"/>
              </w:rPr>
              <w:t>valuation de l’aide financière, le cas échéant.</w:t>
            </w:r>
            <w:r w:rsidRPr="00457E0F">
              <w:rPr>
                <w:rFonts w:cs="Calibri"/>
                <w:b w:val="0"/>
                <w:color w:val="000000" w:themeColor="text1"/>
                <w:sz w:val="24"/>
                <w:szCs w:val="24"/>
                <w:lang w:eastAsia="fr-CA"/>
              </w:rPr>
              <w:t xml:space="preserve"> </w:t>
            </w:r>
          </w:p>
          <w:p w14:paraId="640AA68E" w14:textId="242F30B7" w:rsidR="00374ED3" w:rsidRPr="00457E0F" w:rsidRDefault="00374ED3" w:rsidP="0001587D">
            <w:pPr>
              <w:pStyle w:val="TitreS2"/>
              <w:spacing w:after="0" w:line="240" w:lineRule="auto"/>
              <w:rPr>
                <w:rFonts w:cs="Calibri"/>
                <w:b w:val="0"/>
                <w:bCs w:val="0"/>
                <w:color w:val="000000"/>
                <w:sz w:val="24"/>
                <w:szCs w:val="24"/>
                <w:lang w:eastAsia="fr-CA"/>
              </w:rPr>
            </w:pPr>
          </w:p>
          <w:p w14:paraId="0AE11CBC" w14:textId="445F084B" w:rsidR="00165408" w:rsidRPr="005003C2" w:rsidRDefault="00165408" w:rsidP="0001587D">
            <w:pPr>
              <w:pStyle w:val="TitreS2"/>
              <w:numPr>
                <w:ilvl w:val="0"/>
                <w:numId w:val="40"/>
              </w:numPr>
              <w:spacing w:after="0" w:line="240" w:lineRule="auto"/>
              <w:rPr>
                <w:bCs w:val="0"/>
                <w:sz w:val="24"/>
                <w:szCs w:val="24"/>
              </w:rPr>
            </w:pPr>
            <w:r w:rsidRPr="005003C2">
              <w:rPr>
                <w:bCs w:val="0"/>
                <w:sz w:val="24"/>
                <w:szCs w:val="24"/>
              </w:rPr>
              <w:t xml:space="preserve">Programme </w:t>
            </w:r>
            <w:r w:rsidR="003210C7" w:rsidRPr="005003C2">
              <w:rPr>
                <w:bCs w:val="0"/>
                <w:sz w:val="24"/>
                <w:szCs w:val="24"/>
              </w:rPr>
              <w:t>dédié aux immeubles multilogements</w:t>
            </w:r>
          </w:p>
          <w:p w14:paraId="2D70FB1C" w14:textId="77777777" w:rsidR="00165408" w:rsidRPr="006805BC" w:rsidRDefault="00165408" w:rsidP="00FD271C">
            <w:pPr>
              <w:pStyle w:val="TitreS2"/>
              <w:spacing w:after="0" w:line="240" w:lineRule="auto"/>
              <w:rPr>
                <w:b w:val="0"/>
                <w:bCs w:val="0"/>
                <w:sz w:val="24"/>
                <w:szCs w:val="24"/>
              </w:rPr>
            </w:pPr>
          </w:p>
          <w:p w14:paraId="55EDBE98" w14:textId="77777777" w:rsidR="003210C7" w:rsidRPr="006805BC" w:rsidRDefault="00165408" w:rsidP="00F03A8E">
            <w:pPr>
              <w:pStyle w:val="TitreS2"/>
              <w:spacing w:after="0" w:line="240" w:lineRule="auto"/>
              <w:ind w:left="720"/>
              <w:rPr>
                <w:b w:val="0"/>
                <w:bCs w:val="0"/>
                <w:sz w:val="24"/>
                <w:szCs w:val="24"/>
              </w:rPr>
            </w:pPr>
            <w:r w:rsidRPr="006805BC">
              <w:rPr>
                <w:b w:val="0"/>
                <w:bCs w:val="0"/>
                <w:sz w:val="24"/>
                <w:szCs w:val="24"/>
              </w:rPr>
              <w:t>Pour chaque projet subventionné, un rapport sommaire indiquant les informations suivantes :</w:t>
            </w:r>
          </w:p>
          <w:p w14:paraId="7CBD72DF" w14:textId="62E366A6" w:rsidR="003210C7" w:rsidRPr="00507F6B" w:rsidRDefault="00165408" w:rsidP="00F03A8E">
            <w:pPr>
              <w:pStyle w:val="TitreS2"/>
              <w:numPr>
                <w:ilvl w:val="1"/>
                <w:numId w:val="40"/>
              </w:numPr>
              <w:spacing w:after="0" w:line="240" w:lineRule="auto"/>
              <w:rPr>
                <w:b w:val="0"/>
                <w:bCs w:val="0"/>
                <w:sz w:val="24"/>
                <w:szCs w:val="24"/>
              </w:rPr>
            </w:pPr>
            <w:r w:rsidRPr="00507F6B">
              <w:rPr>
                <w:b w:val="0"/>
                <w:bCs w:val="0"/>
                <w:sz w:val="24"/>
                <w:szCs w:val="24"/>
              </w:rPr>
              <w:t xml:space="preserve"> la description du projet, soit le nombre d’étages et d’unités et, le cas échéant, les types et le nombre d’équipements et de sorties de gaz installés</w:t>
            </w:r>
            <w:r w:rsidR="003210C7" w:rsidRPr="00507F6B">
              <w:rPr>
                <w:b w:val="0"/>
                <w:bCs w:val="0"/>
                <w:sz w:val="24"/>
                <w:szCs w:val="24"/>
              </w:rPr>
              <w:t>;</w:t>
            </w:r>
          </w:p>
          <w:p w14:paraId="7D807CD3" w14:textId="3532E2F9"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le montant d’aide offert</w:t>
            </w:r>
            <w:r w:rsidR="003210C7" w:rsidRPr="00457E0F">
              <w:rPr>
                <w:b w:val="0"/>
                <w:bCs w:val="0"/>
                <w:sz w:val="24"/>
                <w:szCs w:val="24"/>
              </w:rPr>
              <w:t>;</w:t>
            </w:r>
          </w:p>
          <w:p w14:paraId="04C2B409" w14:textId="30AC6A8F"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les évaluations effectuées par l’entrepreneur de Gazifère et par l’installateur du promoteur</w:t>
            </w:r>
          </w:p>
          <w:p w14:paraId="591ECC91" w14:textId="4EA2FE16"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l’analyse globale de la rentabilité</w:t>
            </w:r>
            <w:r w:rsidR="003210C7" w:rsidRPr="00457E0F">
              <w:rPr>
                <w:b w:val="0"/>
                <w:bCs w:val="0"/>
                <w:sz w:val="24"/>
                <w:szCs w:val="24"/>
              </w:rPr>
              <w:t>;</w:t>
            </w:r>
            <w:r w:rsidRPr="00457E0F">
              <w:rPr>
                <w:b w:val="0"/>
                <w:bCs w:val="0"/>
                <w:sz w:val="24"/>
                <w:szCs w:val="24"/>
              </w:rPr>
              <w:t xml:space="preserve"> </w:t>
            </w:r>
          </w:p>
          <w:p w14:paraId="039D7C2E" w14:textId="28C184A8"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l’analyse globale de l’impact tarifaire</w:t>
            </w:r>
            <w:r w:rsidR="003210C7" w:rsidRPr="00457E0F">
              <w:rPr>
                <w:b w:val="0"/>
                <w:bCs w:val="0"/>
                <w:sz w:val="24"/>
                <w:szCs w:val="24"/>
              </w:rPr>
              <w:t>;</w:t>
            </w:r>
          </w:p>
          <w:p w14:paraId="5C7B04D6" w14:textId="52549DB9"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le détail des autres coûts associés au programme tels que, pour le démarchage, le financement, la contribution étalée, la promotion et l’évaluation de l’ai</w:t>
            </w:r>
            <w:r w:rsidR="00695565">
              <w:rPr>
                <w:b w:val="0"/>
                <w:bCs w:val="0"/>
                <w:sz w:val="24"/>
                <w:szCs w:val="24"/>
              </w:rPr>
              <w:t>d</w:t>
            </w:r>
            <w:r w:rsidRPr="00457E0F">
              <w:rPr>
                <w:b w:val="0"/>
                <w:bCs w:val="0"/>
                <w:sz w:val="24"/>
                <w:szCs w:val="24"/>
              </w:rPr>
              <w:t>e financière, le cas échéant;</w:t>
            </w:r>
          </w:p>
          <w:p w14:paraId="145E7513" w14:textId="77777777" w:rsidR="003210C7" w:rsidRPr="00457E0F" w:rsidRDefault="003210C7" w:rsidP="00FD271C">
            <w:pPr>
              <w:pStyle w:val="TitreS2"/>
              <w:spacing w:after="0" w:line="240" w:lineRule="auto"/>
              <w:rPr>
                <w:b w:val="0"/>
                <w:bCs w:val="0"/>
                <w:sz w:val="24"/>
                <w:szCs w:val="24"/>
              </w:rPr>
            </w:pPr>
          </w:p>
          <w:p w14:paraId="4436925C" w14:textId="560CE43F" w:rsidR="003210C7" w:rsidRPr="00457E0F" w:rsidRDefault="00165408" w:rsidP="00F03A8E">
            <w:pPr>
              <w:pStyle w:val="TitreS2"/>
              <w:spacing w:after="0" w:line="240" w:lineRule="auto"/>
              <w:ind w:left="720"/>
              <w:rPr>
                <w:b w:val="0"/>
                <w:bCs w:val="0"/>
                <w:sz w:val="24"/>
                <w:szCs w:val="24"/>
              </w:rPr>
            </w:pPr>
            <w:r w:rsidRPr="00457E0F">
              <w:rPr>
                <w:b w:val="0"/>
                <w:bCs w:val="0"/>
                <w:sz w:val="24"/>
                <w:szCs w:val="24"/>
              </w:rPr>
              <w:t>Pour l’ensemble des subventions offertes par le programme commercial dédié aux multilogements :</w:t>
            </w:r>
          </w:p>
          <w:p w14:paraId="5D095A51" w14:textId="73430522" w:rsidR="003210C7"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l’analyse globale de la rentabilité</w:t>
            </w:r>
            <w:r w:rsidR="003210C7" w:rsidRPr="00457E0F">
              <w:rPr>
                <w:b w:val="0"/>
                <w:bCs w:val="0"/>
                <w:sz w:val="24"/>
                <w:szCs w:val="24"/>
              </w:rPr>
              <w:t>;</w:t>
            </w:r>
          </w:p>
          <w:p w14:paraId="3607F882" w14:textId="554A01B2" w:rsidR="00165408" w:rsidRPr="00457E0F" w:rsidRDefault="00165408" w:rsidP="00F03A8E">
            <w:pPr>
              <w:pStyle w:val="TitreS2"/>
              <w:numPr>
                <w:ilvl w:val="1"/>
                <w:numId w:val="40"/>
              </w:numPr>
              <w:spacing w:after="0" w:line="240" w:lineRule="auto"/>
              <w:rPr>
                <w:b w:val="0"/>
                <w:bCs w:val="0"/>
                <w:sz w:val="24"/>
                <w:szCs w:val="24"/>
              </w:rPr>
            </w:pPr>
            <w:r w:rsidRPr="00457E0F">
              <w:rPr>
                <w:b w:val="0"/>
                <w:bCs w:val="0"/>
                <w:sz w:val="24"/>
                <w:szCs w:val="24"/>
              </w:rPr>
              <w:t>l’analyse globale de l’impact tarifaire.</w:t>
            </w:r>
          </w:p>
          <w:p w14:paraId="7A97ADEF" w14:textId="132FE228" w:rsidR="00037402" w:rsidRPr="00457E0F" w:rsidRDefault="0001587D" w:rsidP="00037402">
            <w:pPr>
              <w:pStyle w:val="TitreS2"/>
              <w:numPr>
                <w:ilvl w:val="0"/>
                <w:numId w:val="20"/>
              </w:numPr>
              <w:spacing w:after="0"/>
              <w:rPr>
                <w:rFonts w:cs="Calibri"/>
                <w:b w:val="0"/>
                <w:color w:val="000000"/>
                <w:sz w:val="24"/>
                <w:szCs w:val="24"/>
                <w:lang w:eastAsia="fr-CA"/>
              </w:rPr>
            </w:pPr>
            <w:r w:rsidRPr="00457E0F">
              <w:rPr>
                <w:rFonts w:cs="Calibri"/>
                <w:b w:val="0"/>
                <w:color w:val="000000"/>
                <w:sz w:val="24"/>
                <w:szCs w:val="24"/>
                <w:lang w:eastAsia="fr-CA"/>
              </w:rPr>
              <w:t>les d</w:t>
            </w:r>
            <w:r w:rsidR="00037402" w:rsidRPr="00457E0F">
              <w:rPr>
                <w:rFonts w:cs="Calibri"/>
                <w:b w:val="0"/>
                <w:color w:val="000000"/>
                <w:sz w:val="24"/>
                <w:szCs w:val="24"/>
                <w:lang w:eastAsia="fr-CA"/>
              </w:rPr>
              <w:t>onnées relatives au volume réel moyen de consommation de gaz naturel des appartements possédant :</w:t>
            </w:r>
          </w:p>
          <w:p w14:paraId="27F8A9BB" w14:textId="77777777" w:rsidR="00037402" w:rsidRPr="00457E0F" w:rsidRDefault="00037402" w:rsidP="00037402">
            <w:pPr>
              <w:pStyle w:val="Paragraphedeliste"/>
              <w:numPr>
                <w:ilvl w:val="2"/>
                <w:numId w:val="10"/>
              </w:numPr>
              <w:spacing w:before="0" w:after="60" w:line="240" w:lineRule="auto"/>
              <w:ind w:right="147"/>
              <w:jc w:val="both"/>
              <w:rPr>
                <w:rFonts w:eastAsia="Times New Roman" w:cs="Calibri"/>
                <w:color w:val="000000"/>
                <w:sz w:val="24"/>
                <w:szCs w:val="24"/>
                <w:lang w:eastAsia="fr-CA"/>
              </w:rPr>
            </w:pPr>
            <w:r w:rsidRPr="00457E0F">
              <w:rPr>
                <w:rFonts w:eastAsia="Times New Roman" w:cs="Calibri"/>
                <w:color w:val="000000"/>
                <w:sz w:val="24"/>
                <w:szCs w:val="24"/>
                <w:lang w:eastAsia="fr-CA"/>
              </w:rPr>
              <w:t>uniquement un chauffe-eau;</w:t>
            </w:r>
          </w:p>
          <w:p w14:paraId="099420D0" w14:textId="77777777" w:rsidR="00037402" w:rsidRPr="00457E0F" w:rsidRDefault="00037402" w:rsidP="00037402">
            <w:pPr>
              <w:pStyle w:val="Paragraphedeliste"/>
              <w:numPr>
                <w:ilvl w:val="2"/>
                <w:numId w:val="10"/>
              </w:numPr>
              <w:spacing w:before="0" w:after="60" w:line="240" w:lineRule="auto"/>
              <w:ind w:right="147"/>
              <w:jc w:val="both"/>
              <w:rPr>
                <w:rFonts w:eastAsia="Times New Roman" w:cs="Calibri"/>
                <w:color w:val="000000"/>
                <w:sz w:val="24"/>
                <w:szCs w:val="24"/>
                <w:lang w:eastAsia="fr-CA"/>
              </w:rPr>
            </w:pPr>
            <w:r w:rsidRPr="00457E0F">
              <w:rPr>
                <w:rFonts w:eastAsia="Times New Roman" w:cs="Calibri"/>
                <w:color w:val="000000"/>
                <w:sz w:val="24"/>
                <w:szCs w:val="24"/>
                <w:lang w:eastAsia="fr-CA"/>
              </w:rPr>
              <w:t>un chauffe-eau et un BBQ;</w:t>
            </w:r>
          </w:p>
          <w:p w14:paraId="12BB6FAE" w14:textId="77777777" w:rsidR="00037402" w:rsidRPr="00457E0F" w:rsidRDefault="00037402" w:rsidP="00037402">
            <w:pPr>
              <w:pStyle w:val="Paragraphedeliste"/>
              <w:numPr>
                <w:ilvl w:val="2"/>
                <w:numId w:val="10"/>
              </w:numPr>
              <w:spacing w:before="0" w:after="60" w:line="240" w:lineRule="auto"/>
              <w:ind w:right="147"/>
              <w:jc w:val="both"/>
              <w:rPr>
                <w:rFonts w:eastAsia="Times New Roman" w:cs="Calibri"/>
                <w:color w:val="000000"/>
                <w:sz w:val="24"/>
                <w:szCs w:val="24"/>
                <w:lang w:eastAsia="fr-CA"/>
              </w:rPr>
            </w:pPr>
            <w:r w:rsidRPr="00457E0F">
              <w:rPr>
                <w:rFonts w:eastAsia="Times New Roman" w:cs="Calibri"/>
                <w:color w:val="000000"/>
                <w:sz w:val="24"/>
                <w:szCs w:val="24"/>
                <w:lang w:eastAsia="fr-CA"/>
              </w:rPr>
              <w:t>un chauffe-eau, une cuisinière et un BBQ;</w:t>
            </w:r>
          </w:p>
          <w:p w14:paraId="3BB82ED1" w14:textId="77777777" w:rsidR="00037402" w:rsidRPr="00457E0F" w:rsidRDefault="00037402" w:rsidP="00037402">
            <w:pPr>
              <w:pStyle w:val="Paragraphedeliste"/>
              <w:numPr>
                <w:ilvl w:val="2"/>
                <w:numId w:val="10"/>
              </w:numPr>
              <w:spacing w:before="0" w:after="60" w:line="240" w:lineRule="auto"/>
              <w:ind w:right="147"/>
              <w:jc w:val="both"/>
              <w:rPr>
                <w:rFonts w:eastAsia="Times New Roman" w:cs="Calibri"/>
                <w:color w:val="000000"/>
                <w:sz w:val="24"/>
                <w:szCs w:val="24"/>
                <w:lang w:eastAsia="fr-CA"/>
              </w:rPr>
            </w:pPr>
            <w:r w:rsidRPr="00457E0F">
              <w:rPr>
                <w:rFonts w:eastAsia="Times New Roman" w:cs="Calibri"/>
                <w:color w:val="000000"/>
                <w:sz w:val="24"/>
                <w:szCs w:val="24"/>
                <w:lang w:eastAsia="fr-CA"/>
              </w:rPr>
              <w:t>un chauffe-eau, une cuisinière, un BBQ et un foyer;</w:t>
            </w:r>
          </w:p>
          <w:p w14:paraId="23E8E224" w14:textId="77777777" w:rsidR="00037402" w:rsidRPr="00457E0F" w:rsidRDefault="00037402" w:rsidP="00037402">
            <w:pPr>
              <w:pStyle w:val="Paragraphedeliste"/>
              <w:numPr>
                <w:ilvl w:val="2"/>
                <w:numId w:val="10"/>
              </w:numPr>
              <w:spacing w:before="0" w:after="60" w:line="240" w:lineRule="auto"/>
              <w:ind w:right="147"/>
              <w:jc w:val="both"/>
              <w:rPr>
                <w:rFonts w:eastAsia="Times New Roman" w:cs="Calibri"/>
                <w:color w:val="000000"/>
                <w:sz w:val="24"/>
                <w:szCs w:val="24"/>
                <w:lang w:eastAsia="fr-CA"/>
              </w:rPr>
            </w:pPr>
            <w:r w:rsidRPr="00457E0F">
              <w:rPr>
                <w:rFonts w:eastAsia="Times New Roman" w:cs="Calibri"/>
                <w:color w:val="000000"/>
                <w:sz w:val="24"/>
                <w:szCs w:val="24"/>
                <w:lang w:eastAsia="fr-CA"/>
              </w:rPr>
              <w:t>ou toute autre combinaison d’appareils.</w:t>
            </w:r>
          </w:p>
          <w:p w14:paraId="73CF8113" w14:textId="2F03DFDD" w:rsidR="00037402" w:rsidRPr="00457E0F" w:rsidRDefault="0001587D" w:rsidP="00F03A8E">
            <w:pPr>
              <w:pStyle w:val="TitreS2"/>
              <w:numPr>
                <w:ilvl w:val="1"/>
                <w:numId w:val="40"/>
              </w:numPr>
              <w:spacing w:after="0" w:line="240" w:lineRule="auto"/>
              <w:rPr>
                <w:rFonts w:cs="Calibri"/>
                <w:b w:val="0"/>
                <w:bCs w:val="0"/>
                <w:color w:val="000000"/>
                <w:sz w:val="24"/>
                <w:szCs w:val="24"/>
                <w:lang w:eastAsia="fr-CA"/>
              </w:rPr>
            </w:pPr>
            <w:r w:rsidRPr="00457E0F">
              <w:rPr>
                <w:rFonts w:cs="Calibri"/>
                <w:b w:val="0"/>
                <w:color w:val="000000"/>
                <w:sz w:val="24"/>
                <w:szCs w:val="24"/>
                <w:lang w:eastAsia="fr-CA"/>
              </w:rPr>
              <w:t>les c</w:t>
            </w:r>
            <w:r w:rsidR="00037402" w:rsidRPr="00457E0F">
              <w:rPr>
                <w:rFonts w:cs="Calibri"/>
                <w:b w:val="0"/>
                <w:color w:val="000000"/>
                <w:sz w:val="24"/>
                <w:szCs w:val="24"/>
                <w:lang w:eastAsia="fr-CA"/>
              </w:rPr>
              <w:t>onstats de Gazifère, à partir des volumes moyens de consommation de gaz naturel des appartements, portant sur la consommation de certains types d’appareils.</w:t>
            </w:r>
          </w:p>
          <w:p w14:paraId="16929033" w14:textId="77777777" w:rsidR="00165408" w:rsidRPr="000C5E15" w:rsidRDefault="00165408" w:rsidP="00FD271C">
            <w:pPr>
              <w:pStyle w:val="TitreS2"/>
              <w:spacing w:after="0" w:line="240" w:lineRule="auto"/>
              <w:rPr>
                <w:rFonts w:cs="Calibri"/>
                <w:b w:val="0"/>
                <w:bCs w:val="0"/>
                <w:color w:val="000000"/>
                <w:sz w:val="24"/>
                <w:szCs w:val="24"/>
                <w:lang w:eastAsia="fr-CA"/>
              </w:rPr>
            </w:pPr>
          </w:p>
          <w:p w14:paraId="6184A056" w14:textId="6AD55E61" w:rsidR="00FD271C" w:rsidRPr="005003C2" w:rsidRDefault="00FD271C" w:rsidP="00F03A8E">
            <w:pPr>
              <w:pStyle w:val="TitreS2"/>
              <w:numPr>
                <w:ilvl w:val="0"/>
                <w:numId w:val="40"/>
              </w:numPr>
              <w:spacing w:after="0" w:line="240" w:lineRule="auto"/>
              <w:rPr>
                <w:rFonts w:cs="Calibri"/>
                <w:bCs w:val="0"/>
                <w:color w:val="000000"/>
                <w:sz w:val="24"/>
                <w:szCs w:val="24"/>
                <w:lang w:eastAsia="fr-CA"/>
              </w:rPr>
            </w:pPr>
            <w:r w:rsidRPr="005003C2">
              <w:rPr>
                <w:rFonts w:cs="Calibri"/>
                <w:bCs w:val="0"/>
                <w:color w:val="000000"/>
                <w:sz w:val="24"/>
                <w:szCs w:val="24"/>
                <w:lang w:eastAsia="fr-CA"/>
              </w:rPr>
              <w:t xml:space="preserve">Compte d’aide à la </w:t>
            </w:r>
            <w:r w:rsidR="0079360B" w:rsidRPr="005003C2">
              <w:rPr>
                <w:rFonts w:cs="Calibri"/>
                <w:bCs w:val="0"/>
                <w:color w:val="000000"/>
                <w:sz w:val="24"/>
                <w:szCs w:val="24"/>
                <w:lang w:eastAsia="fr-CA"/>
              </w:rPr>
              <w:t>sub</w:t>
            </w:r>
            <w:r w:rsidR="003D6400" w:rsidRPr="005003C2">
              <w:rPr>
                <w:rFonts w:cs="Calibri"/>
                <w:bCs w:val="0"/>
                <w:color w:val="000000"/>
                <w:sz w:val="24"/>
                <w:szCs w:val="24"/>
                <w:lang w:eastAsia="fr-CA"/>
              </w:rPr>
              <w:t>s</w:t>
            </w:r>
            <w:r w:rsidR="0079360B" w:rsidRPr="005003C2">
              <w:rPr>
                <w:rFonts w:cs="Calibri"/>
                <w:bCs w:val="0"/>
                <w:color w:val="000000"/>
                <w:sz w:val="24"/>
                <w:szCs w:val="24"/>
                <w:lang w:eastAsia="fr-CA"/>
              </w:rPr>
              <w:t xml:space="preserve">titution </w:t>
            </w:r>
            <w:r w:rsidRPr="005003C2">
              <w:rPr>
                <w:rFonts w:cs="Calibri"/>
                <w:bCs w:val="0"/>
                <w:color w:val="000000"/>
                <w:sz w:val="24"/>
                <w:szCs w:val="24"/>
                <w:lang w:eastAsia="fr-CA"/>
              </w:rPr>
              <w:t>d’énergie</w:t>
            </w:r>
            <w:r w:rsidR="003D6400" w:rsidRPr="005003C2">
              <w:rPr>
                <w:rFonts w:cs="Calibri"/>
                <w:bCs w:val="0"/>
                <w:color w:val="000000"/>
                <w:sz w:val="24"/>
                <w:szCs w:val="24"/>
                <w:lang w:eastAsia="fr-CA"/>
              </w:rPr>
              <w:t>s</w:t>
            </w:r>
            <w:r w:rsidRPr="005003C2">
              <w:rPr>
                <w:rFonts w:cs="Calibri"/>
                <w:bCs w:val="0"/>
                <w:color w:val="000000"/>
                <w:sz w:val="24"/>
                <w:szCs w:val="24"/>
                <w:lang w:eastAsia="fr-CA"/>
              </w:rPr>
              <w:t xml:space="preserve"> plus polluantes</w:t>
            </w:r>
          </w:p>
          <w:p w14:paraId="008458E0" w14:textId="77777777" w:rsidR="00B2005C" w:rsidRPr="006805BC" w:rsidRDefault="00B2005C" w:rsidP="003C5C4A">
            <w:pPr>
              <w:pStyle w:val="NBP1"/>
            </w:pPr>
          </w:p>
          <w:p w14:paraId="1D880DC9" w14:textId="20F851A3" w:rsidR="00B2005C" w:rsidRPr="006805BC" w:rsidRDefault="00B2005C" w:rsidP="00F03A8E">
            <w:pPr>
              <w:pStyle w:val="TitreS2"/>
              <w:spacing w:after="0" w:line="240" w:lineRule="auto"/>
              <w:ind w:left="720"/>
              <w:rPr>
                <w:b w:val="0"/>
                <w:sz w:val="24"/>
                <w:szCs w:val="24"/>
              </w:rPr>
            </w:pPr>
            <w:r w:rsidRPr="006805BC">
              <w:rPr>
                <w:b w:val="0"/>
                <w:bCs w:val="0"/>
                <w:sz w:val="24"/>
                <w:szCs w:val="24"/>
              </w:rPr>
              <w:t>Un</w:t>
            </w:r>
            <w:r w:rsidRPr="006805BC">
              <w:rPr>
                <w:b w:val="0"/>
                <w:sz w:val="24"/>
                <w:szCs w:val="24"/>
              </w:rPr>
              <w:t xml:space="preserve"> suivi </w:t>
            </w:r>
            <w:r w:rsidR="00695565">
              <w:rPr>
                <w:b w:val="0"/>
                <w:sz w:val="24"/>
                <w:szCs w:val="24"/>
              </w:rPr>
              <w:t xml:space="preserve">annuel </w:t>
            </w:r>
            <w:r w:rsidRPr="006805BC">
              <w:rPr>
                <w:b w:val="0"/>
                <w:sz w:val="24"/>
                <w:szCs w:val="24"/>
              </w:rPr>
              <w:t>des projets réalisés grâce à l’utilisation des sommes du CASEP inclus au rapport annuel du distributeur. Ce suivi comprendra l</w:t>
            </w:r>
            <w:r w:rsidR="00D80F54" w:rsidRPr="006805BC">
              <w:rPr>
                <w:b w:val="0"/>
                <w:sz w:val="24"/>
                <w:szCs w:val="24"/>
              </w:rPr>
              <w:t xml:space="preserve">es informations suivantes : </w:t>
            </w:r>
          </w:p>
          <w:p w14:paraId="5A06EFF3" w14:textId="77777777" w:rsidR="00D80F54" w:rsidRPr="00507F6B" w:rsidRDefault="00B2005C" w:rsidP="00F03A8E">
            <w:pPr>
              <w:pStyle w:val="TitreS2"/>
              <w:numPr>
                <w:ilvl w:val="1"/>
                <w:numId w:val="40"/>
              </w:numPr>
              <w:spacing w:after="0" w:line="240" w:lineRule="auto"/>
              <w:rPr>
                <w:b w:val="0"/>
                <w:sz w:val="24"/>
                <w:szCs w:val="24"/>
              </w:rPr>
            </w:pPr>
            <w:r w:rsidRPr="00507F6B">
              <w:rPr>
                <w:b w:val="0"/>
                <w:sz w:val="24"/>
                <w:szCs w:val="24"/>
              </w:rPr>
              <w:t>Type de projets réalisés et nombre de participants;</w:t>
            </w:r>
          </w:p>
          <w:p w14:paraId="582E1C48" w14:textId="42AFF821" w:rsidR="00D80F54" w:rsidRPr="00507F6B" w:rsidRDefault="00B2005C" w:rsidP="00F03A8E">
            <w:pPr>
              <w:pStyle w:val="TitreS2"/>
              <w:numPr>
                <w:ilvl w:val="1"/>
                <w:numId w:val="40"/>
              </w:numPr>
              <w:spacing w:after="0" w:line="240" w:lineRule="auto"/>
              <w:rPr>
                <w:b w:val="0"/>
                <w:sz w:val="24"/>
                <w:szCs w:val="24"/>
              </w:rPr>
            </w:pPr>
            <w:r w:rsidRPr="00507F6B">
              <w:rPr>
                <w:b w:val="0"/>
                <w:sz w:val="24"/>
                <w:szCs w:val="24"/>
              </w:rPr>
              <w:t>Nombre et montants des contributions et aides financières versées;</w:t>
            </w:r>
          </w:p>
          <w:p w14:paraId="23AC8F57" w14:textId="73CED178" w:rsidR="00D80F54" w:rsidRPr="00457E0F" w:rsidRDefault="00B2005C" w:rsidP="00F03A8E">
            <w:pPr>
              <w:pStyle w:val="TitreS2"/>
              <w:numPr>
                <w:ilvl w:val="1"/>
                <w:numId w:val="40"/>
              </w:numPr>
              <w:spacing w:after="0" w:line="240" w:lineRule="auto"/>
              <w:rPr>
                <w:b w:val="0"/>
                <w:sz w:val="24"/>
                <w:szCs w:val="24"/>
              </w:rPr>
            </w:pPr>
            <w:r w:rsidRPr="00457E0F">
              <w:rPr>
                <w:b w:val="0"/>
                <w:sz w:val="24"/>
                <w:szCs w:val="24"/>
              </w:rPr>
              <w:t>Volumes de CO2 déplacés, par source d’énergie;</w:t>
            </w:r>
          </w:p>
          <w:p w14:paraId="155BE7A6" w14:textId="77777777" w:rsidR="0001587D" w:rsidRPr="00457E0F" w:rsidRDefault="0001587D" w:rsidP="003C5C4A">
            <w:pPr>
              <w:pStyle w:val="NBP1"/>
            </w:pPr>
          </w:p>
          <w:p w14:paraId="6138C843" w14:textId="2492CD69" w:rsidR="00D80F54" w:rsidRPr="00457E0F" w:rsidRDefault="00B2005C" w:rsidP="00F03A8E">
            <w:pPr>
              <w:pStyle w:val="TitreS2"/>
              <w:spacing w:after="0" w:line="240" w:lineRule="auto"/>
              <w:ind w:left="720"/>
              <w:rPr>
                <w:b w:val="0"/>
                <w:sz w:val="24"/>
                <w:szCs w:val="24"/>
              </w:rPr>
            </w:pPr>
            <w:r w:rsidRPr="00457E0F">
              <w:rPr>
                <w:b w:val="0"/>
                <w:sz w:val="24"/>
                <w:szCs w:val="24"/>
              </w:rPr>
              <w:lastRenderedPageBreak/>
              <w:t xml:space="preserve">Pour ce qui est du programme de conversion dans le secteur commercial, présenter également les informations suivantes : </w:t>
            </w:r>
          </w:p>
          <w:p w14:paraId="1452A91D" w14:textId="4AEB6CEF" w:rsidR="00D80F54" w:rsidRPr="00457E0F" w:rsidRDefault="00B2005C" w:rsidP="00F03A8E">
            <w:pPr>
              <w:pStyle w:val="TitreS2"/>
              <w:numPr>
                <w:ilvl w:val="1"/>
                <w:numId w:val="40"/>
              </w:numPr>
              <w:spacing w:after="0" w:line="240" w:lineRule="auto"/>
              <w:rPr>
                <w:b w:val="0"/>
                <w:sz w:val="24"/>
                <w:szCs w:val="24"/>
              </w:rPr>
            </w:pPr>
            <w:r w:rsidRPr="00457E0F">
              <w:rPr>
                <w:b w:val="0"/>
                <w:sz w:val="24"/>
                <w:szCs w:val="24"/>
              </w:rPr>
              <w:t xml:space="preserve">Description du programme, soit le type et le nombre d’équipements installés; </w:t>
            </w:r>
          </w:p>
          <w:p w14:paraId="68E7F5EE" w14:textId="44BEE743" w:rsidR="00B2005C" w:rsidRPr="00457E0F" w:rsidRDefault="00B2005C" w:rsidP="00F03A8E">
            <w:pPr>
              <w:pStyle w:val="TitreS2"/>
              <w:numPr>
                <w:ilvl w:val="1"/>
                <w:numId w:val="40"/>
              </w:numPr>
              <w:spacing w:after="0" w:line="240" w:lineRule="auto"/>
              <w:rPr>
                <w:b w:val="0"/>
                <w:sz w:val="24"/>
                <w:szCs w:val="24"/>
              </w:rPr>
            </w:pPr>
            <w:r w:rsidRPr="00457E0F">
              <w:rPr>
                <w:b w:val="0"/>
                <w:sz w:val="24"/>
                <w:szCs w:val="24"/>
              </w:rPr>
              <w:t>Suivi, sur trois ans, de l’obligation minimale annuelle et le respect de cette condition.</w:t>
            </w:r>
          </w:p>
          <w:p w14:paraId="6F4AAA74" w14:textId="77777777" w:rsidR="00CE3152" w:rsidRPr="00457E0F" w:rsidRDefault="00CE3152" w:rsidP="00352626">
            <w:pPr>
              <w:ind w:left="1135" w:right="147"/>
              <w:rPr>
                <w:rFonts w:cs="Calibri"/>
                <w:color w:val="000000"/>
                <w:szCs w:val="24"/>
                <w:lang w:eastAsia="fr-CA"/>
              </w:rPr>
            </w:pPr>
          </w:p>
        </w:tc>
      </w:tr>
      <w:tr w:rsidR="00DC782D" w14:paraId="112D489F" w14:textId="77777777" w:rsidTr="00CE3152">
        <w:trPr>
          <w:trHeight w:val="255"/>
        </w:trPr>
        <w:tc>
          <w:tcPr>
            <w:tcW w:w="5000" w:type="pct"/>
          </w:tcPr>
          <w:p w14:paraId="4E1EDDBC" w14:textId="61543710" w:rsidR="00CE3152" w:rsidRPr="00856C38" w:rsidRDefault="00AA550E" w:rsidP="0001587D">
            <w:pPr>
              <w:pStyle w:val="Titre2"/>
              <w:keepNext/>
              <w:tabs>
                <w:tab w:val="clear" w:pos="709"/>
                <w:tab w:val="num" w:pos="851"/>
              </w:tabs>
              <w:ind w:left="851" w:hanging="851"/>
              <w:rPr>
                <w:rFonts w:cs="Calibri"/>
              </w:rPr>
            </w:pPr>
            <w:bookmarkStart w:id="59" w:name="_Toc124329957"/>
            <w:r w:rsidRPr="00856C38">
              <w:rPr>
                <w:rFonts w:cs="Calibri"/>
              </w:rPr>
              <w:lastRenderedPageBreak/>
              <w:t>Suivi des projets</w:t>
            </w:r>
            <w:r w:rsidR="00D4015D">
              <w:rPr>
                <w:rFonts w:cs="Calibri"/>
              </w:rPr>
              <w:t xml:space="preserve"> d’investissement</w:t>
            </w:r>
            <w:r w:rsidR="0097482D">
              <w:rPr>
                <w:rFonts w:cs="Calibri"/>
              </w:rPr>
              <w:t xml:space="preserve"> de plus de 1</w:t>
            </w:r>
            <w:r w:rsidR="0001587D">
              <w:rPr>
                <w:rFonts w:cs="Calibri"/>
              </w:rPr>
              <w:t>,</w:t>
            </w:r>
            <w:r w:rsidR="0097482D">
              <w:rPr>
                <w:rFonts w:cs="Calibri"/>
              </w:rPr>
              <w:t>2</w:t>
            </w:r>
            <w:r w:rsidR="006805BC">
              <w:rPr>
                <w:rFonts w:cs="Calibri"/>
              </w:rPr>
              <w:t xml:space="preserve"> </w:t>
            </w:r>
            <w:r w:rsidR="0097482D">
              <w:rPr>
                <w:rFonts w:cs="Calibri"/>
              </w:rPr>
              <w:t>M$</w:t>
            </w:r>
            <w:bookmarkEnd w:id="59"/>
          </w:p>
        </w:tc>
      </w:tr>
      <w:tr w:rsidR="00DC782D" w14:paraId="6EE7F906" w14:textId="77777777" w:rsidTr="00CE3152">
        <w:trPr>
          <w:trHeight w:val="255"/>
        </w:trPr>
        <w:tc>
          <w:tcPr>
            <w:tcW w:w="5000" w:type="pct"/>
          </w:tcPr>
          <w:p w14:paraId="1147AEA4"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Le suivi du projet d’extension de réseau en comparant les données réelles et celles préalablement autorisées des </w:t>
            </w:r>
            <w:r>
              <w:rPr>
                <w:rFonts w:cs="Calibri"/>
                <w:b w:val="0"/>
                <w:sz w:val="24"/>
                <w:szCs w:val="24"/>
                <w:lang w:eastAsia="fr-CA"/>
              </w:rPr>
              <w:t>information</w:t>
            </w:r>
            <w:r w:rsidRPr="0019430E">
              <w:rPr>
                <w:rFonts w:cs="Calibri"/>
                <w:b w:val="0"/>
                <w:sz w:val="24"/>
                <w:szCs w:val="24"/>
                <w:lang w:eastAsia="fr-CA"/>
              </w:rPr>
              <w:t>s</w:t>
            </w:r>
            <w:r w:rsidRPr="0019430E">
              <w:rPr>
                <w:rFonts w:eastAsia="Times New Roman" w:cs="Calibri"/>
                <w:b w:val="0"/>
                <w:sz w:val="24"/>
                <w:szCs w:val="24"/>
                <w:lang w:eastAsia="fr-CA"/>
              </w:rPr>
              <w:t xml:space="preserve"> suivant</w:t>
            </w:r>
            <w:r>
              <w:rPr>
                <w:rFonts w:eastAsia="Times New Roman" w:cs="Calibri"/>
                <w:b w:val="0"/>
                <w:sz w:val="24"/>
                <w:szCs w:val="24"/>
                <w:lang w:eastAsia="fr-CA"/>
              </w:rPr>
              <w:t>e</w:t>
            </w:r>
            <w:r w:rsidRPr="0019430E">
              <w:rPr>
                <w:rFonts w:eastAsia="Times New Roman" w:cs="Calibri"/>
                <w:b w:val="0"/>
                <w:sz w:val="24"/>
                <w:szCs w:val="24"/>
                <w:lang w:eastAsia="fr-CA"/>
              </w:rPr>
              <w:t>s :</w:t>
            </w:r>
          </w:p>
          <w:p w14:paraId="060389DF" w14:textId="77777777" w:rsidR="00CE3152" w:rsidRPr="0019430E" w:rsidRDefault="00AA550E" w:rsidP="00352626">
            <w:pPr>
              <w:pStyle w:val="TitreS2"/>
              <w:numPr>
                <w:ilvl w:val="0"/>
                <w:numId w:val="20"/>
              </w:numPr>
              <w:spacing w:after="0"/>
              <w:rPr>
                <w:rFonts w:cs="Calibri"/>
                <w:b w:val="0"/>
                <w:color w:val="000000"/>
                <w:sz w:val="24"/>
                <w:szCs w:val="24"/>
                <w:lang w:eastAsia="fr-CA"/>
              </w:rPr>
            </w:pPr>
            <w:r w:rsidRPr="0019430E">
              <w:rPr>
                <w:rFonts w:cs="Calibri"/>
                <w:b w:val="0"/>
                <w:color w:val="000000"/>
                <w:sz w:val="24"/>
                <w:szCs w:val="24"/>
                <w:lang w:eastAsia="fr-CA"/>
              </w:rPr>
              <w:t>Additions de clients cumulatives par secteur de marchés;</w:t>
            </w:r>
          </w:p>
          <w:p w14:paraId="50CCDDA4" w14:textId="77777777" w:rsidR="00CE3152" w:rsidRPr="0019430E" w:rsidRDefault="00AA550E" w:rsidP="00352626">
            <w:pPr>
              <w:pStyle w:val="TitreS2"/>
              <w:numPr>
                <w:ilvl w:val="0"/>
                <w:numId w:val="20"/>
              </w:numPr>
              <w:spacing w:after="0"/>
              <w:rPr>
                <w:rFonts w:cs="Calibri"/>
                <w:b w:val="0"/>
                <w:color w:val="000000"/>
                <w:sz w:val="24"/>
                <w:szCs w:val="24"/>
                <w:lang w:eastAsia="fr-CA"/>
              </w:rPr>
            </w:pPr>
            <w:r w:rsidRPr="0019430E">
              <w:rPr>
                <w:rFonts w:cs="Calibri"/>
                <w:b w:val="0"/>
                <w:color w:val="000000"/>
                <w:sz w:val="24"/>
                <w:szCs w:val="24"/>
                <w:lang w:eastAsia="fr-CA"/>
              </w:rPr>
              <w:t>Volumes annuels en m</w:t>
            </w:r>
            <w:r w:rsidRPr="00A91E2B">
              <w:rPr>
                <w:rFonts w:cs="Calibri"/>
                <w:b w:val="0"/>
                <w:color w:val="000000"/>
                <w:sz w:val="24"/>
                <w:szCs w:val="24"/>
                <w:vertAlign w:val="superscript"/>
                <w:lang w:eastAsia="fr-CA"/>
              </w:rPr>
              <w:t>3</w:t>
            </w:r>
            <w:r w:rsidRPr="0019430E">
              <w:rPr>
                <w:rFonts w:cs="Calibri"/>
                <w:b w:val="0"/>
                <w:color w:val="000000"/>
                <w:sz w:val="24"/>
                <w:szCs w:val="24"/>
                <w:lang w:eastAsia="fr-CA"/>
              </w:rPr>
              <w:t xml:space="preserve"> par secteur de marchés;</w:t>
            </w:r>
          </w:p>
          <w:p w14:paraId="5E5FCE2B" w14:textId="77777777" w:rsidR="00CE3152" w:rsidRPr="0019430E" w:rsidRDefault="00AA550E" w:rsidP="00352626">
            <w:pPr>
              <w:pStyle w:val="TitreS2"/>
              <w:numPr>
                <w:ilvl w:val="0"/>
                <w:numId w:val="20"/>
              </w:numPr>
              <w:spacing w:after="0"/>
              <w:rPr>
                <w:rFonts w:cs="Calibri"/>
                <w:b w:val="0"/>
                <w:color w:val="000000"/>
                <w:sz w:val="24"/>
                <w:szCs w:val="24"/>
                <w:lang w:eastAsia="fr-CA"/>
              </w:rPr>
            </w:pPr>
            <w:r w:rsidRPr="0019430E">
              <w:rPr>
                <w:rFonts w:cs="Calibri"/>
                <w:b w:val="0"/>
                <w:color w:val="000000"/>
                <w:sz w:val="24"/>
                <w:szCs w:val="24"/>
                <w:lang w:eastAsia="fr-CA"/>
              </w:rPr>
              <w:t>Investissements;</w:t>
            </w:r>
          </w:p>
          <w:p w14:paraId="1C752F8D" w14:textId="77777777" w:rsidR="00CE3152" w:rsidRPr="0019430E" w:rsidRDefault="00AA550E" w:rsidP="00352626">
            <w:pPr>
              <w:pStyle w:val="TitreS2"/>
              <w:numPr>
                <w:ilvl w:val="0"/>
                <w:numId w:val="20"/>
              </w:numPr>
              <w:spacing w:after="0"/>
              <w:rPr>
                <w:rFonts w:cs="Calibri"/>
                <w:b w:val="0"/>
                <w:color w:val="000000"/>
                <w:sz w:val="24"/>
                <w:szCs w:val="24"/>
                <w:lang w:eastAsia="fr-CA"/>
              </w:rPr>
            </w:pPr>
            <w:r w:rsidRPr="0019430E">
              <w:rPr>
                <w:rFonts w:cs="Calibri"/>
                <w:b w:val="0"/>
                <w:color w:val="000000"/>
                <w:sz w:val="24"/>
                <w:szCs w:val="24"/>
                <w:lang w:eastAsia="fr-CA"/>
              </w:rPr>
              <w:t>Valeur actuelle nette (VAN);</w:t>
            </w:r>
          </w:p>
          <w:p w14:paraId="56ADE53A" w14:textId="77777777" w:rsidR="00CE3152" w:rsidRPr="0019430E" w:rsidRDefault="00AA550E" w:rsidP="00352626">
            <w:pPr>
              <w:pStyle w:val="TitreS2"/>
              <w:numPr>
                <w:ilvl w:val="0"/>
                <w:numId w:val="20"/>
              </w:numPr>
              <w:spacing w:after="0"/>
              <w:rPr>
                <w:rFonts w:cs="Calibri"/>
                <w:b w:val="0"/>
                <w:color w:val="000000"/>
                <w:sz w:val="24"/>
                <w:szCs w:val="24"/>
                <w:lang w:eastAsia="fr-CA"/>
              </w:rPr>
            </w:pPr>
            <w:r w:rsidRPr="0019430E">
              <w:rPr>
                <w:rFonts w:cs="Calibri"/>
                <w:b w:val="0"/>
                <w:color w:val="000000"/>
                <w:sz w:val="24"/>
                <w:szCs w:val="24"/>
                <w:lang w:eastAsia="fr-CA"/>
              </w:rPr>
              <w:t>Taux de rendement interne (TRI) après impôts;</w:t>
            </w:r>
          </w:p>
          <w:p w14:paraId="683FB3F7" w14:textId="77777777" w:rsidR="00CE3152" w:rsidRPr="0019430E" w:rsidRDefault="00AA550E" w:rsidP="00352626">
            <w:pPr>
              <w:pStyle w:val="TitreS2"/>
              <w:numPr>
                <w:ilvl w:val="0"/>
                <w:numId w:val="20"/>
              </w:numPr>
              <w:spacing w:after="0"/>
              <w:rPr>
                <w:rFonts w:cs="Calibri"/>
                <w:b w:val="0"/>
                <w:sz w:val="24"/>
                <w:szCs w:val="24"/>
                <w:lang w:eastAsia="fr-CA"/>
              </w:rPr>
            </w:pPr>
            <w:r w:rsidRPr="0019430E">
              <w:rPr>
                <w:rFonts w:cs="Calibri"/>
                <w:b w:val="0"/>
                <w:color w:val="000000"/>
                <w:sz w:val="24"/>
                <w:szCs w:val="24"/>
                <w:lang w:eastAsia="fr-CA"/>
              </w:rPr>
              <w:t>Date</w:t>
            </w:r>
            <w:r w:rsidRPr="0019430E">
              <w:rPr>
                <w:rFonts w:cs="Calibri"/>
                <w:b w:val="0"/>
                <w:sz w:val="24"/>
                <w:szCs w:val="24"/>
                <w:lang w:eastAsia="fr-CA"/>
              </w:rPr>
              <w:t xml:space="preserve"> de mise en gaz.</w:t>
            </w:r>
          </w:p>
        </w:tc>
      </w:tr>
      <w:tr w:rsidR="00DC782D" w14:paraId="19ABB9BC" w14:textId="77777777" w:rsidTr="00CE3152">
        <w:trPr>
          <w:trHeight w:val="255"/>
        </w:trPr>
        <w:tc>
          <w:tcPr>
            <w:tcW w:w="5000" w:type="pct"/>
          </w:tcPr>
          <w:p w14:paraId="54494367"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Les paramètres et les résultats de l’analyse de rentabilité du projet d’extension de réseau et les comparer à ceux anticipés lors de l’approbation du projet.</w:t>
            </w:r>
          </w:p>
        </w:tc>
      </w:tr>
      <w:tr w:rsidR="00DC782D" w14:paraId="7B7B71E7" w14:textId="77777777" w:rsidTr="00CE3152">
        <w:trPr>
          <w:trHeight w:val="255"/>
        </w:trPr>
        <w:tc>
          <w:tcPr>
            <w:tcW w:w="5000" w:type="pct"/>
            <w:shd w:val="clear" w:color="auto" w:fill="auto"/>
          </w:tcPr>
          <w:p w14:paraId="6C0129AD" w14:textId="29ADDDA3" w:rsidR="00CE3152"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Le suivi de tout autre projet en comparant les charges réelles et celles préalablement autorisés, ainsi que tout autre </w:t>
            </w:r>
            <w:r>
              <w:rPr>
                <w:rFonts w:eastAsia="Times New Roman" w:cs="Calibri"/>
                <w:b w:val="0"/>
                <w:sz w:val="24"/>
                <w:szCs w:val="24"/>
                <w:lang w:eastAsia="fr-CA"/>
              </w:rPr>
              <w:t>information</w:t>
            </w:r>
            <w:r w:rsidRPr="0019430E">
              <w:rPr>
                <w:rFonts w:eastAsia="Times New Roman" w:cs="Calibri"/>
                <w:b w:val="0"/>
                <w:sz w:val="24"/>
                <w:szCs w:val="24"/>
                <w:lang w:eastAsia="fr-CA"/>
              </w:rPr>
              <w:t xml:space="preserve"> identifié</w:t>
            </w:r>
            <w:r>
              <w:rPr>
                <w:rFonts w:eastAsia="Times New Roman" w:cs="Calibri"/>
                <w:b w:val="0"/>
                <w:sz w:val="24"/>
                <w:szCs w:val="24"/>
                <w:lang w:eastAsia="fr-CA"/>
              </w:rPr>
              <w:t>e</w:t>
            </w:r>
            <w:r w:rsidRPr="0019430E">
              <w:rPr>
                <w:rFonts w:eastAsia="Times New Roman" w:cs="Calibri"/>
                <w:b w:val="0"/>
                <w:sz w:val="24"/>
                <w:szCs w:val="24"/>
                <w:lang w:eastAsia="fr-CA"/>
              </w:rPr>
              <w:t xml:space="preserve"> au point </w:t>
            </w:r>
            <w:r w:rsidR="00352626">
              <w:rPr>
                <w:rFonts w:eastAsia="Times New Roman" w:cs="Calibri"/>
                <w:b w:val="0"/>
                <w:sz w:val="24"/>
                <w:szCs w:val="24"/>
                <w:lang w:eastAsia="fr-CA"/>
              </w:rPr>
              <w:t>148</w:t>
            </w:r>
            <w:r w:rsidRPr="0019430E">
              <w:rPr>
                <w:rFonts w:eastAsia="Times New Roman" w:cs="Calibri"/>
                <w:b w:val="0"/>
                <w:sz w:val="24"/>
                <w:szCs w:val="24"/>
                <w:lang w:eastAsia="fr-CA"/>
              </w:rPr>
              <w:t>, lorsqu’applicable.</w:t>
            </w:r>
          </w:p>
          <w:p w14:paraId="03A8BD86" w14:textId="77777777" w:rsidR="00CE3152" w:rsidRPr="0019430E" w:rsidRDefault="00CE3152" w:rsidP="00352626">
            <w:pPr>
              <w:pStyle w:val="TitreS2"/>
              <w:spacing w:before="200" w:after="0"/>
              <w:ind w:left="567"/>
              <w:rPr>
                <w:rFonts w:eastAsia="Times New Roman" w:cs="Calibri"/>
                <w:b w:val="0"/>
                <w:sz w:val="24"/>
                <w:szCs w:val="24"/>
                <w:lang w:eastAsia="fr-CA"/>
              </w:rPr>
            </w:pPr>
          </w:p>
        </w:tc>
      </w:tr>
      <w:tr w:rsidR="00DC782D" w14:paraId="6FE3102F" w14:textId="77777777" w:rsidTr="00CE3152">
        <w:trPr>
          <w:trHeight w:val="255"/>
        </w:trPr>
        <w:tc>
          <w:tcPr>
            <w:tcW w:w="5000" w:type="pct"/>
          </w:tcPr>
          <w:p w14:paraId="49CD9BE9" w14:textId="77777777" w:rsidR="00CE3152" w:rsidRPr="00856C38" w:rsidRDefault="00AA550E" w:rsidP="00352626">
            <w:pPr>
              <w:pStyle w:val="Titre2"/>
              <w:keepNext/>
              <w:tabs>
                <w:tab w:val="clear" w:pos="709"/>
                <w:tab w:val="num" w:pos="851"/>
              </w:tabs>
              <w:ind w:left="851" w:hanging="851"/>
              <w:rPr>
                <w:rFonts w:cs="Calibri"/>
              </w:rPr>
            </w:pPr>
            <w:r>
              <w:br w:type="page"/>
            </w:r>
            <w:bookmarkStart w:id="60" w:name="_Toc124329958"/>
            <w:r w:rsidRPr="00856C38">
              <w:rPr>
                <w:rFonts w:cs="Calibri"/>
              </w:rPr>
              <w:t>Compte d’ajustement du coût du gaz</w:t>
            </w:r>
            <w:bookmarkEnd w:id="60"/>
          </w:p>
        </w:tc>
      </w:tr>
      <w:tr w:rsidR="00DC782D" w14:paraId="654FAF24" w14:textId="77777777" w:rsidTr="00CE3152">
        <w:trPr>
          <w:trHeight w:val="255"/>
        </w:trPr>
        <w:tc>
          <w:tcPr>
            <w:tcW w:w="5000" w:type="pct"/>
            <w:shd w:val="clear" w:color="auto" w:fill="auto"/>
          </w:tcPr>
          <w:p w14:paraId="74F0D368"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L’allocation du compte d’ajustement du coût du gaz et le calcul de la récupération ou du remboursement total par classe tarifaire.</w:t>
            </w:r>
          </w:p>
          <w:p w14:paraId="55EB3231" w14:textId="6F47FA38"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 xml:space="preserve">Le calcul et les explications pour chaque </w:t>
            </w:r>
            <w:r w:rsidR="000F723A">
              <w:rPr>
                <w:rFonts w:eastAsia="Times New Roman" w:cs="Calibri"/>
                <w:b w:val="0"/>
                <w:sz w:val="24"/>
                <w:szCs w:val="24"/>
                <w:lang w:eastAsia="fr-CA"/>
              </w:rPr>
              <w:t>information</w:t>
            </w:r>
            <w:r w:rsidR="000F723A" w:rsidRPr="0019430E">
              <w:rPr>
                <w:rFonts w:eastAsia="Times New Roman" w:cs="Calibri"/>
                <w:b w:val="0"/>
                <w:sz w:val="24"/>
                <w:szCs w:val="24"/>
                <w:lang w:eastAsia="fr-CA"/>
              </w:rPr>
              <w:t xml:space="preserve"> portée</w:t>
            </w:r>
            <w:r w:rsidRPr="0019430E">
              <w:rPr>
                <w:rFonts w:eastAsia="Times New Roman" w:cs="Calibri"/>
                <w:b w:val="0"/>
                <w:sz w:val="24"/>
                <w:szCs w:val="24"/>
                <w:lang w:eastAsia="fr-CA"/>
              </w:rPr>
              <w:t xml:space="preserve"> au compte d'ajustement du coût du gaz naturel;</w:t>
            </w:r>
          </w:p>
          <w:p w14:paraId="3AF173EB"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L’illustration des ajustements au coût du gaz naturel liés au compte cumulatif de gaz naturel et leur répartition, conformément à la décision D</w:t>
            </w:r>
            <w:r w:rsidRPr="0019430E">
              <w:rPr>
                <w:rFonts w:eastAsia="Times New Roman" w:cs="Calibri"/>
                <w:b w:val="0"/>
                <w:sz w:val="24"/>
                <w:szCs w:val="24"/>
                <w:lang w:eastAsia="fr-CA"/>
              </w:rPr>
              <w:noBreakHyphen/>
              <w:t>2019</w:t>
            </w:r>
            <w:r w:rsidRPr="0019430E">
              <w:rPr>
                <w:rFonts w:eastAsia="Times New Roman" w:cs="Calibri"/>
                <w:b w:val="0"/>
                <w:sz w:val="24"/>
                <w:szCs w:val="24"/>
                <w:lang w:eastAsia="fr-CA"/>
              </w:rPr>
              <w:noBreakHyphen/>
              <w:t>154</w:t>
            </w:r>
            <w:r>
              <w:rPr>
                <w:rStyle w:val="Appelnotedebasdep"/>
                <w:rFonts w:ascii="Calibri" w:eastAsia="Times New Roman" w:hAnsi="Calibri" w:cs="Calibri"/>
                <w:bCs w:val="0"/>
                <w:sz w:val="24"/>
                <w:szCs w:val="24"/>
                <w:lang w:eastAsia="fr-CA"/>
              </w:rPr>
              <w:footnoteReference w:id="47"/>
            </w:r>
            <w:r w:rsidRPr="0019430E">
              <w:rPr>
                <w:rFonts w:eastAsia="Times New Roman" w:cs="Calibri"/>
                <w:b w:val="0"/>
                <w:sz w:val="24"/>
                <w:szCs w:val="24"/>
                <w:lang w:eastAsia="fr-CA"/>
              </w:rPr>
              <w:t>;</w:t>
            </w:r>
          </w:p>
          <w:p w14:paraId="5BF8CA59"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t>L’indication, pour les montants à liquider, des autorisations requises par la Commission de l’énergie de l’Ontario (CÉO) ou par la Régie lors de l'examen du rapport annuel;</w:t>
            </w:r>
          </w:p>
          <w:p w14:paraId="72779936" w14:textId="77777777" w:rsidR="00CE3152" w:rsidRPr="0019430E"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19430E">
              <w:rPr>
                <w:rFonts w:eastAsia="Times New Roman" w:cs="Calibri"/>
                <w:b w:val="0"/>
                <w:sz w:val="24"/>
                <w:szCs w:val="24"/>
                <w:lang w:eastAsia="fr-CA"/>
              </w:rPr>
              <w:lastRenderedPageBreak/>
              <w:t>L'écart entre le coût réel facturé et le coût budgétisé pour le service de Niagara, ventilé par élément de coût, conformément à la décision D</w:t>
            </w:r>
            <w:r w:rsidRPr="0019430E">
              <w:rPr>
                <w:rFonts w:eastAsia="Times New Roman" w:cs="Calibri"/>
                <w:b w:val="0"/>
                <w:sz w:val="24"/>
                <w:szCs w:val="24"/>
                <w:lang w:eastAsia="fr-CA"/>
              </w:rPr>
              <w:noBreakHyphen/>
              <w:t>2019</w:t>
            </w:r>
            <w:r w:rsidRPr="0019430E">
              <w:rPr>
                <w:rFonts w:eastAsia="Times New Roman" w:cs="Calibri"/>
                <w:b w:val="0"/>
                <w:sz w:val="24"/>
                <w:szCs w:val="24"/>
                <w:lang w:eastAsia="fr-CA"/>
              </w:rPr>
              <w:noBreakHyphen/>
              <w:t>154</w:t>
            </w:r>
            <w:r>
              <w:rPr>
                <w:rStyle w:val="Appelnotedebasdep"/>
                <w:rFonts w:ascii="Calibri" w:eastAsia="Times New Roman" w:hAnsi="Calibri" w:cs="Calibri"/>
                <w:bCs w:val="0"/>
                <w:sz w:val="24"/>
                <w:szCs w:val="24"/>
                <w:lang w:eastAsia="fr-CA"/>
              </w:rPr>
              <w:footnoteReference w:id="48"/>
            </w:r>
            <w:r w:rsidRPr="0019430E">
              <w:rPr>
                <w:rFonts w:eastAsia="Times New Roman" w:cs="Calibri"/>
                <w:b w:val="0"/>
                <w:sz w:val="24"/>
                <w:szCs w:val="24"/>
                <w:lang w:eastAsia="fr-CA"/>
              </w:rPr>
              <w:t>.</w:t>
            </w:r>
          </w:p>
          <w:p w14:paraId="713DA77F" w14:textId="77777777" w:rsidR="00CE3152" w:rsidRPr="00803E9F" w:rsidRDefault="00CE3152" w:rsidP="00352626">
            <w:pPr>
              <w:pStyle w:val="Paragraphedeliste"/>
              <w:spacing w:after="60" w:line="264" w:lineRule="auto"/>
              <w:ind w:left="851" w:right="147"/>
              <w:contextualSpacing w:val="0"/>
              <w:jc w:val="both"/>
              <w:rPr>
                <w:rFonts w:eastAsia="Times New Roman" w:cs="Calibri"/>
                <w:sz w:val="24"/>
                <w:szCs w:val="24"/>
                <w:lang w:eastAsia="fr-CA"/>
              </w:rPr>
            </w:pPr>
          </w:p>
        </w:tc>
      </w:tr>
      <w:tr w:rsidR="00DC782D" w14:paraId="1A544D2E" w14:textId="77777777" w:rsidTr="00CE3152">
        <w:trPr>
          <w:trHeight w:val="255"/>
        </w:trPr>
        <w:tc>
          <w:tcPr>
            <w:tcW w:w="5000" w:type="pct"/>
            <w:shd w:val="clear" w:color="auto" w:fill="auto"/>
          </w:tcPr>
          <w:p w14:paraId="3CFEE998" w14:textId="0CA40E64" w:rsidR="00CE3152" w:rsidRPr="00856C38" w:rsidRDefault="00AA550E" w:rsidP="00352626">
            <w:pPr>
              <w:pStyle w:val="Titre2"/>
              <w:keepNext/>
              <w:tabs>
                <w:tab w:val="clear" w:pos="709"/>
                <w:tab w:val="num" w:pos="851"/>
              </w:tabs>
              <w:ind w:left="851" w:hanging="851"/>
              <w:rPr>
                <w:rFonts w:cs="Calibri"/>
              </w:rPr>
            </w:pPr>
            <w:bookmarkStart w:id="61" w:name="_Toc124329959"/>
            <w:r w:rsidRPr="00856C38">
              <w:rPr>
                <w:rFonts w:cs="Calibri"/>
              </w:rPr>
              <w:lastRenderedPageBreak/>
              <w:t>Évolution des revenus et des coûts de distribution</w:t>
            </w:r>
            <w:bookmarkEnd w:id="61"/>
          </w:p>
        </w:tc>
      </w:tr>
      <w:tr w:rsidR="00DC782D" w14:paraId="4272DC45" w14:textId="77777777" w:rsidTr="00CE3152">
        <w:trPr>
          <w:trHeight w:val="255"/>
        </w:trPr>
        <w:tc>
          <w:tcPr>
            <w:tcW w:w="5000" w:type="pct"/>
            <w:shd w:val="clear" w:color="auto" w:fill="auto"/>
          </w:tcPr>
          <w:p w14:paraId="2F2192D6" w14:textId="6331B6F6" w:rsidR="00CE3152" w:rsidRPr="00A91E2B"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A91E2B">
              <w:rPr>
                <w:rFonts w:eastAsia="Times New Roman" w:cs="Calibri"/>
                <w:b w:val="0"/>
                <w:sz w:val="24"/>
                <w:szCs w:val="24"/>
                <w:lang w:eastAsia="fr-CA"/>
              </w:rPr>
              <w:t>Les données réelles et autorisées des éléments suivants :</w:t>
            </w:r>
          </w:p>
          <w:p w14:paraId="360AED44"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Revenus de distribution ($);</w:t>
            </w:r>
          </w:p>
          <w:p w14:paraId="5C3D1528"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Coûts de distribution totaux nets de l’excédent de rendement remboursé aux clients ($);</w:t>
            </w:r>
          </w:p>
          <w:p w14:paraId="2E617600" w14:textId="77777777" w:rsidR="00CE3152" w:rsidRPr="00A91E2B" w:rsidRDefault="00AA550E" w:rsidP="00352626">
            <w:pPr>
              <w:pStyle w:val="TitreS2"/>
              <w:numPr>
                <w:ilvl w:val="0"/>
                <w:numId w:val="20"/>
              </w:numPr>
              <w:spacing w:after="0"/>
              <w:rPr>
                <w:rFonts w:cs="Calibri"/>
                <w:b w:val="0"/>
                <w:sz w:val="24"/>
                <w:szCs w:val="24"/>
              </w:rPr>
            </w:pPr>
            <w:r w:rsidRPr="00A91E2B">
              <w:rPr>
                <w:rFonts w:cs="Calibri"/>
                <w:b w:val="0"/>
                <w:color w:val="000000"/>
                <w:sz w:val="24"/>
                <w:szCs w:val="24"/>
                <w:lang w:eastAsia="fr-CA"/>
              </w:rPr>
              <w:t>Volumes de ventes normalisés</w:t>
            </w:r>
            <w:r w:rsidRPr="00A91E2B">
              <w:rPr>
                <w:rFonts w:cs="Calibri"/>
                <w:b w:val="0"/>
                <w:sz w:val="24"/>
                <w:szCs w:val="24"/>
              </w:rPr>
              <w:t xml:space="preserve"> (m</w:t>
            </w:r>
            <w:r w:rsidRPr="00A91E2B">
              <w:rPr>
                <w:rFonts w:cs="Calibri"/>
                <w:b w:val="0"/>
                <w:sz w:val="24"/>
                <w:szCs w:val="24"/>
                <w:vertAlign w:val="superscript"/>
              </w:rPr>
              <w:t>3</w:t>
            </w:r>
            <w:r w:rsidRPr="00A91E2B">
              <w:rPr>
                <w:rFonts w:cs="Calibri"/>
                <w:b w:val="0"/>
                <w:sz w:val="24"/>
                <w:szCs w:val="24"/>
              </w:rPr>
              <w:t>);</w:t>
            </w:r>
          </w:p>
          <w:p w14:paraId="6BF8A900"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Nombre moyen de clients;</w:t>
            </w:r>
          </w:p>
          <w:p w14:paraId="3D785E62" w14:textId="712E4FFF" w:rsidR="00CE3152" w:rsidRPr="00A91E2B" w:rsidRDefault="00AA550E" w:rsidP="00352626">
            <w:pPr>
              <w:pStyle w:val="TitreS2"/>
              <w:numPr>
                <w:ilvl w:val="0"/>
                <w:numId w:val="20"/>
              </w:numPr>
              <w:spacing w:after="0"/>
              <w:rPr>
                <w:rFonts w:cs="Calibri"/>
                <w:b w:val="0"/>
                <w:sz w:val="24"/>
                <w:szCs w:val="24"/>
              </w:rPr>
            </w:pPr>
            <w:r w:rsidRPr="00A91E2B">
              <w:rPr>
                <w:rFonts w:cs="Calibri"/>
                <w:b w:val="0"/>
                <w:color w:val="000000"/>
                <w:sz w:val="24"/>
                <w:szCs w:val="24"/>
                <w:lang w:eastAsia="fr-CA"/>
              </w:rPr>
              <w:t>Revenus</w:t>
            </w:r>
            <w:r w:rsidRPr="00A91E2B">
              <w:rPr>
                <w:rFonts w:cs="Calibri"/>
                <w:b w:val="0"/>
                <w:sz w:val="24"/>
                <w:szCs w:val="24"/>
              </w:rPr>
              <w:t xml:space="preserve"> de distribution par m</w:t>
            </w:r>
            <w:r w:rsidRPr="00A91E2B">
              <w:rPr>
                <w:rFonts w:cs="Calibri"/>
                <w:b w:val="0"/>
                <w:sz w:val="24"/>
                <w:szCs w:val="24"/>
                <w:vertAlign w:val="superscript"/>
              </w:rPr>
              <w:t>3</w:t>
            </w:r>
            <w:r w:rsidRPr="00A91E2B">
              <w:rPr>
                <w:rFonts w:cs="Calibri"/>
                <w:b w:val="0"/>
                <w:sz w:val="24"/>
                <w:szCs w:val="24"/>
              </w:rPr>
              <w:t xml:space="preserve"> ($ courants et constants);</w:t>
            </w:r>
          </w:p>
          <w:p w14:paraId="4DC9B955" w14:textId="6721CC35" w:rsidR="00CE3152" w:rsidRPr="00A91E2B" w:rsidRDefault="00AA550E" w:rsidP="00352626">
            <w:pPr>
              <w:pStyle w:val="TitreS2"/>
              <w:numPr>
                <w:ilvl w:val="0"/>
                <w:numId w:val="20"/>
              </w:numPr>
              <w:spacing w:after="0"/>
              <w:rPr>
                <w:rFonts w:cs="Calibri"/>
                <w:b w:val="0"/>
                <w:sz w:val="24"/>
                <w:szCs w:val="24"/>
              </w:rPr>
            </w:pPr>
            <w:r w:rsidRPr="00A91E2B">
              <w:rPr>
                <w:rFonts w:cs="Calibri"/>
                <w:b w:val="0"/>
                <w:color w:val="000000"/>
                <w:sz w:val="24"/>
                <w:szCs w:val="24"/>
                <w:lang w:eastAsia="fr-CA"/>
              </w:rPr>
              <w:t>Coûts</w:t>
            </w:r>
            <w:r w:rsidRPr="00A91E2B">
              <w:rPr>
                <w:rFonts w:cs="Calibri"/>
                <w:b w:val="0"/>
                <w:sz w:val="24"/>
                <w:szCs w:val="24"/>
              </w:rPr>
              <w:t xml:space="preserve"> </w:t>
            </w:r>
            <w:r w:rsidRPr="00A91E2B">
              <w:rPr>
                <w:rFonts w:cs="Calibri"/>
                <w:b w:val="0"/>
                <w:color w:val="000000"/>
                <w:sz w:val="24"/>
                <w:szCs w:val="24"/>
                <w:lang w:eastAsia="fr-CA"/>
              </w:rPr>
              <w:t>de</w:t>
            </w:r>
            <w:r w:rsidRPr="00A91E2B">
              <w:rPr>
                <w:rFonts w:cs="Calibri"/>
                <w:b w:val="0"/>
                <w:sz w:val="24"/>
                <w:szCs w:val="24"/>
              </w:rPr>
              <w:t xml:space="preserve"> distribution par m</w:t>
            </w:r>
            <w:r w:rsidRPr="00A91E2B">
              <w:rPr>
                <w:rFonts w:cs="Calibri"/>
                <w:b w:val="0"/>
                <w:sz w:val="24"/>
                <w:szCs w:val="24"/>
                <w:vertAlign w:val="superscript"/>
              </w:rPr>
              <w:t>3</w:t>
            </w:r>
            <w:r w:rsidRPr="00A91E2B">
              <w:rPr>
                <w:rFonts w:cs="Calibri"/>
                <w:b w:val="0"/>
                <w:sz w:val="24"/>
                <w:szCs w:val="24"/>
              </w:rPr>
              <w:t xml:space="preserve"> ($ courants et constants);</w:t>
            </w:r>
          </w:p>
          <w:p w14:paraId="4ED7C2A7" w14:textId="61704FD7" w:rsidR="00CE3152" w:rsidRPr="00A91E2B" w:rsidRDefault="00AA550E" w:rsidP="00352626">
            <w:pPr>
              <w:pStyle w:val="TitreS2"/>
              <w:numPr>
                <w:ilvl w:val="0"/>
                <w:numId w:val="20"/>
              </w:numPr>
              <w:spacing w:after="0"/>
              <w:rPr>
                <w:rFonts w:cs="Calibri"/>
                <w:b w:val="0"/>
                <w:sz w:val="24"/>
                <w:szCs w:val="24"/>
              </w:rPr>
            </w:pPr>
            <w:r w:rsidRPr="00A91E2B">
              <w:rPr>
                <w:rFonts w:cs="Calibri"/>
                <w:b w:val="0"/>
                <w:color w:val="000000"/>
                <w:sz w:val="24"/>
                <w:szCs w:val="24"/>
                <w:lang w:eastAsia="fr-CA"/>
              </w:rPr>
              <w:t>Revenus</w:t>
            </w:r>
            <w:r w:rsidRPr="00A91E2B">
              <w:rPr>
                <w:rFonts w:cs="Calibri"/>
                <w:b w:val="0"/>
                <w:sz w:val="24"/>
                <w:szCs w:val="24"/>
              </w:rPr>
              <w:t xml:space="preserve"> de distribution par client ($ courants et constants);</w:t>
            </w:r>
          </w:p>
          <w:p w14:paraId="4653532A" w14:textId="0C7601EB" w:rsidR="00CE3152" w:rsidRPr="00A91E2B" w:rsidRDefault="00AA550E" w:rsidP="00352626">
            <w:pPr>
              <w:pStyle w:val="TitreS2"/>
              <w:numPr>
                <w:ilvl w:val="0"/>
                <w:numId w:val="20"/>
              </w:numPr>
              <w:spacing w:after="0"/>
              <w:rPr>
                <w:rFonts w:cs="Calibri"/>
                <w:b w:val="0"/>
                <w:sz w:val="24"/>
                <w:szCs w:val="24"/>
              </w:rPr>
            </w:pPr>
            <w:r w:rsidRPr="00A91E2B">
              <w:rPr>
                <w:rFonts w:cs="Calibri"/>
                <w:b w:val="0"/>
                <w:color w:val="000000"/>
                <w:sz w:val="24"/>
                <w:szCs w:val="24"/>
                <w:lang w:eastAsia="fr-CA"/>
              </w:rPr>
              <w:t>Coûts</w:t>
            </w:r>
            <w:r w:rsidRPr="00A91E2B">
              <w:rPr>
                <w:rFonts w:cs="Calibri"/>
                <w:b w:val="0"/>
                <w:sz w:val="24"/>
                <w:szCs w:val="24"/>
              </w:rPr>
              <w:t xml:space="preserve"> de distribution par client ($ courants et constants);</w:t>
            </w:r>
          </w:p>
          <w:p w14:paraId="05AA4B94"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sz w:val="24"/>
                <w:szCs w:val="24"/>
              </w:rPr>
              <w:t xml:space="preserve">Taux </w:t>
            </w:r>
            <w:r w:rsidRPr="00A91E2B">
              <w:rPr>
                <w:rFonts w:cs="Calibri"/>
                <w:b w:val="0"/>
                <w:color w:val="000000"/>
                <w:sz w:val="24"/>
                <w:szCs w:val="24"/>
                <w:lang w:eastAsia="fr-CA"/>
              </w:rPr>
              <w:t>d’inflation</w:t>
            </w:r>
            <w:r w:rsidRPr="00A91E2B">
              <w:rPr>
                <w:rFonts w:cs="Calibri"/>
                <w:b w:val="0"/>
                <w:sz w:val="24"/>
                <w:szCs w:val="24"/>
              </w:rPr>
              <w:t xml:space="preserve"> réel (IPC Québec) pour les douze mois se terminant le 31 décembre.</w:t>
            </w:r>
          </w:p>
          <w:p w14:paraId="71220DA8" w14:textId="77777777" w:rsidR="00CE3152" w:rsidRPr="00803E9F" w:rsidRDefault="00CE3152" w:rsidP="00352626">
            <w:pPr>
              <w:ind w:left="1135" w:right="147"/>
              <w:rPr>
                <w:rFonts w:cs="Calibri"/>
                <w:szCs w:val="24"/>
                <w:lang w:eastAsia="fr-CA"/>
              </w:rPr>
            </w:pPr>
          </w:p>
        </w:tc>
      </w:tr>
      <w:tr w:rsidR="00DC782D" w14:paraId="7E3A5A43" w14:textId="77777777" w:rsidTr="005003C2">
        <w:trPr>
          <w:trHeight w:val="255"/>
        </w:trPr>
        <w:tc>
          <w:tcPr>
            <w:tcW w:w="5000" w:type="pct"/>
          </w:tcPr>
          <w:p w14:paraId="4B790ED2" w14:textId="4E341B6C" w:rsidR="00CE3152" w:rsidRPr="00856C38" w:rsidRDefault="00AA550E" w:rsidP="00352626">
            <w:pPr>
              <w:pStyle w:val="Titre2"/>
              <w:keepNext/>
              <w:tabs>
                <w:tab w:val="clear" w:pos="709"/>
                <w:tab w:val="num" w:pos="851"/>
              </w:tabs>
              <w:ind w:left="851" w:hanging="851"/>
              <w:rPr>
                <w:rFonts w:cs="Calibri"/>
              </w:rPr>
            </w:pPr>
            <w:bookmarkStart w:id="62" w:name="_Toc124329960"/>
            <w:r w:rsidRPr="00856C38">
              <w:rPr>
                <w:rFonts w:cs="Calibri"/>
              </w:rPr>
              <w:t>Système de plafonnement et d’échange des droits d’émission (SPEDE)</w:t>
            </w:r>
            <w:bookmarkEnd w:id="62"/>
          </w:p>
        </w:tc>
      </w:tr>
      <w:tr w:rsidR="00DC782D" w14:paraId="1CA362C7" w14:textId="77777777" w:rsidTr="005003C2">
        <w:trPr>
          <w:trHeight w:val="255"/>
        </w:trPr>
        <w:tc>
          <w:tcPr>
            <w:tcW w:w="5000" w:type="pct"/>
            <w:shd w:val="clear" w:color="auto" w:fill="auto"/>
          </w:tcPr>
          <w:p w14:paraId="1FA5C396" w14:textId="2DEB7024" w:rsidR="00CE3152" w:rsidRPr="00A91E2B"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A91E2B">
              <w:rPr>
                <w:rFonts w:eastAsia="Times New Roman" w:cs="Calibri"/>
                <w:b w:val="0"/>
                <w:color w:val="000000"/>
                <w:sz w:val="24"/>
                <w:szCs w:val="24"/>
                <w:lang w:eastAsia="fr-CA"/>
              </w:rPr>
              <w:t xml:space="preserve">Le rapport annuel sur le SPEDE comportant les </w:t>
            </w:r>
            <w:r>
              <w:rPr>
                <w:rFonts w:eastAsia="Times New Roman" w:cs="Calibri"/>
                <w:b w:val="0"/>
                <w:color w:val="000000"/>
                <w:sz w:val="24"/>
                <w:szCs w:val="24"/>
                <w:lang w:eastAsia="fr-CA"/>
              </w:rPr>
              <w:t>information</w:t>
            </w:r>
            <w:r w:rsidRPr="00A91E2B">
              <w:rPr>
                <w:rFonts w:eastAsia="Times New Roman" w:cs="Calibri"/>
                <w:b w:val="0"/>
                <w:color w:val="000000"/>
                <w:sz w:val="24"/>
                <w:szCs w:val="24"/>
                <w:lang w:eastAsia="fr-CA"/>
              </w:rPr>
              <w:t>s suivant</w:t>
            </w:r>
            <w:r>
              <w:rPr>
                <w:rFonts w:eastAsia="Times New Roman" w:cs="Calibri"/>
                <w:b w:val="0"/>
                <w:color w:val="000000"/>
                <w:sz w:val="24"/>
                <w:szCs w:val="24"/>
                <w:lang w:eastAsia="fr-CA"/>
              </w:rPr>
              <w:t>e</w:t>
            </w:r>
            <w:r w:rsidRPr="00A91E2B">
              <w:rPr>
                <w:rFonts w:eastAsia="Times New Roman" w:cs="Calibri"/>
                <w:b w:val="0"/>
                <w:color w:val="000000"/>
                <w:sz w:val="24"/>
                <w:szCs w:val="24"/>
                <w:lang w:eastAsia="fr-CA"/>
              </w:rPr>
              <w:t>s</w:t>
            </w:r>
            <w:r w:rsidR="006805BC">
              <w:rPr>
                <w:rStyle w:val="Appelnotedebasdep"/>
                <w:rFonts w:eastAsia="Times New Roman" w:cs="Calibri"/>
                <w:b w:val="0"/>
                <w:color w:val="000000"/>
                <w:sz w:val="24"/>
                <w:szCs w:val="24"/>
                <w:lang w:eastAsia="fr-CA"/>
              </w:rPr>
              <w:footnoteReference w:id="49"/>
            </w:r>
            <w:r w:rsidRPr="00A91E2B">
              <w:rPr>
                <w:rFonts w:eastAsia="Times New Roman" w:cs="Calibri"/>
                <w:b w:val="0"/>
                <w:color w:val="000000"/>
                <w:sz w:val="24"/>
                <w:szCs w:val="24"/>
                <w:lang w:eastAsia="fr-CA"/>
              </w:rPr>
              <w:t> :</w:t>
            </w:r>
          </w:p>
          <w:p w14:paraId="354D2616" w14:textId="38E90F45"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 xml:space="preserve">Résultats </w:t>
            </w:r>
            <w:r w:rsidR="00386D01">
              <w:rPr>
                <w:rFonts w:cs="Calibri"/>
                <w:b w:val="0"/>
                <w:color w:val="000000"/>
                <w:sz w:val="24"/>
                <w:szCs w:val="24"/>
                <w:lang w:eastAsia="fr-CA"/>
              </w:rPr>
              <w:t>trimestriels</w:t>
            </w:r>
            <w:r w:rsidR="00386D01" w:rsidRPr="00A91E2B">
              <w:rPr>
                <w:rFonts w:cs="Calibri"/>
                <w:b w:val="0"/>
                <w:color w:val="000000"/>
                <w:sz w:val="24"/>
                <w:szCs w:val="24"/>
                <w:lang w:eastAsia="fr-CA"/>
              </w:rPr>
              <w:t xml:space="preserve"> </w:t>
            </w:r>
            <w:r w:rsidRPr="00A91E2B">
              <w:rPr>
                <w:rFonts w:cs="Calibri"/>
                <w:b w:val="0"/>
                <w:color w:val="000000"/>
                <w:sz w:val="24"/>
                <w:szCs w:val="24"/>
                <w:lang w:eastAsia="fr-CA"/>
              </w:rPr>
              <w:t>des enchères;</w:t>
            </w:r>
          </w:p>
          <w:p w14:paraId="6BBAF69A"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Écarts annuels entre les unités d’émission détenues pour chaque période de conformité concernée;</w:t>
            </w:r>
          </w:p>
          <w:p w14:paraId="7E935F43"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Évolution des prix de marché du carbone, du taux de change et de l’indice de performance;</w:t>
            </w:r>
          </w:p>
          <w:p w14:paraId="76BA8E23"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color w:val="000000"/>
                <w:sz w:val="24"/>
                <w:szCs w:val="24"/>
                <w:lang w:eastAsia="fr-CA"/>
              </w:rPr>
              <w:t xml:space="preserve">Commentaires sur la stratégie </w:t>
            </w:r>
            <w:r w:rsidRPr="00A91E2B">
              <w:rPr>
                <w:rFonts w:cs="Calibri"/>
                <w:b w:val="0"/>
                <w:sz w:val="24"/>
                <w:szCs w:val="24"/>
                <w:lang w:eastAsia="fr-CA"/>
              </w:rPr>
              <w:t>déployée et réalisée par rapport à la stratégie autorisée;</w:t>
            </w:r>
          </w:p>
          <w:p w14:paraId="0CB87D16" w14:textId="3408A175" w:rsidR="00CE3152" w:rsidRPr="00CB3A1B" w:rsidRDefault="00AA550E" w:rsidP="00CB3A1B">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 xml:space="preserve">Suivi des comptes CFR-SPEDE permettant </w:t>
            </w:r>
            <w:r w:rsidR="000F723A">
              <w:rPr>
                <w:rFonts w:cs="Calibri"/>
                <w:b w:val="0"/>
                <w:color w:val="000000"/>
                <w:sz w:val="24"/>
                <w:szCs w:val="24"/>
                <w:lang w:eastAsia="fr-CA"/>
              </w:rPr>
              <w:t>(</w:t>
            </w:r>
            <w:r w:rsidRPr="00A91E2B">
              <w:rPr>
                <w:rFonts w:cs="Calibri"/>
                <w:b w:val="0"/>
                <w:color w:val="000000"/>
                <w:sz w:val="24"/>
                <w:szCs w:val="24"/>
                <w:lang w:eastAsia="fr-CA"/>
              </w:rPr>
              <w:t>frais financiers reliés à l’acquisition de droits d’émission et à l’émission des lettres de crédit</w:t>
            </w:r>
            <w:r w:rsidR="000F723A">
              <w:rPr>
                <w:rFonts w:cs="Calibri"/>
                <w:b w:val="0"/>
                <w:color w:val="000000"/>
                <w:sz w:val="24"/>
                <w:szCs w:val="24"/>
                <w:lang w:eastAsia="fr-CA"/>
              </w:rPr>
              <w:t>)</w:t>
            </w:r>
            <w:r w:rsidRPr="00A91E2B">
              <w:rPr>
                <w:rFonts w:cs="Calibri"/>
                <w:b w:val="0"/>
                <w:color w:val="000000"/>
                <w:sz w:val="24"/>
                <w:szCs w:val="24"/>
                <w:lang w:eastAsia="fr-CA"/>
              </w:rPr>
              <w:t>;</w:t>
            </w:r>
          </w:p>
        </w:tc>
      </w:tr>
      <w:tr w:rsidR="00DC782D" w14:paraId="4F3C3688" w14:textId="77777777" w:rsidTr="005003C2">
        <w:trPr>
          <w:trHeight w:val="255"/>
        </w:trPr>
        <w:tc>
          <w:tcPr>
            <w:tcW w:w="5000" w:type="pct"/>
            <w:shd w:val="clear" w:color="auto" w:fill="auto"/>
          </w:tcPr>
          <w:p w14:paraId="43111F18"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eastAsia="Times New Roman" w:cs="Calibri"/>
                <w:b w:val="0"/>
                <w:color w:val="000000"/>
                <w:sz w:val="24"/>
                <w:szCs w:val="24"/>
                <w:lang w:eastAsia="fr-CA"/>
              </w:rPr>
              <w:t>Le tableau de suivi des principales composantes relatives à l’acquisition des unités d’émission pour chaque période de conformité concernée.</w:t>
            </w:r>
          </w:p>
          <w:p w14:paraId="02E2BB68" w14:textId="77777777" w:rsidR="00CE3152" w:rsidRPr="00A91E2B" w:rsidRDefault="00CE3152" w:rsidP="00352626">
            <w:pPr>
              <w:pStyle w:val="Paragraphedeliste"/>
              <w:spacing w:after="60" w:line="264" w:lineRule="auto"/>
              <w:ind w:left="851" w:right="147"/>
              <w:contextualSpacing w:val="0"/>
              <w:jc w:val="both"/>
              <w:rPr>
                <w:rFonts w:cs="Calibri"/>
                <w:color w:val="000000"/>
                <w:sz w:val="24"/>
                <w:szCs w:val="24"/>
                <w:lang w:eastAsia="fr-CA"/>
              </w:rPr>
            </w:pPr>
          </w:p>
        </w:tc>
      </w:tr>
      <w:tr w:rsidR="00DC782D" w14:paraId="5C900636" w14:textId="77777777" w:rsidTr="00CE3152">
        <w:trPr>
          <w:trHeight w:val="255"/>
        </w:trPr>
        <w:tc>
          <w:tcPr>
            <w:tcW w:w="5000" w:type="pct"/>
          </w:tcPr>
          <w:p w14:paraId="5404F0A0" w14:textId="55EBDEA2" w:rsidR="00CE3152" w:rsidRPr="00856C38" w:rsidRDefault="00AA550E" w:rsidP="00352626">
            <w:pPr>
              <w:pStyle w:val="Titre2"/>
              <w:keepNext/>
              <w:tabs>
                <w:tab w:val="clear" w:pos="709"/>
                <w:tab w:val="num" w:pos="851"/>
              </w:tabs>
              <w:ind w:left="851" w:hanging="851"/>
              <w:rPr>
                <w:rFonts w:cs="Calibri"/>
              </w:rPr>
            </w:pPr>
            <w:bookmarkStart w:id="63" w:name="_Toc124329961"/>
            <w:r w:rsidRPr="00856C38">
              <w:rPr>
                <w:rFonts w:cs="Calibri"/>
              </w:rPr>
              <w:lastRenderedPageBreak/>
              <w:t>États financiers vérifiés</w:t>
            </w:r>
            <w:bookmarkEnd w:id="63"/>
          </w:p>
        </w:tc>
      </w:tr>
      <w:tr w:rsidR="00DC782D" w14:paraId="639CAD81" w14:textId="77777777" w:rsidTr="00CE3152">
        <w:trPr>
          <w:trHeight w:val="255"/>
        </w:trPr>
        <w:tc>
          <w:tcPr>
            <w:tcW w:w="5000" w:type="pct"/>
          </w:tcPr>
          <w:p w14:paraId="1C4B2886" w14:textId="5BE82BFD" w:rsidR="00CE3152" w:rsidRPr="00A91E2B"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A91E2B">
              <w:rPr>
                <w:rFonts w:eastAsia="Times New Roman" w:cs="Calibri"/>
                <w:b w:val="0"/>
                <w:color w:val="000000"/>
                <w:sz w:val="24"/>
                <w:szCs w:val="24"/>
                <w:lang w:eastAsia="fr-CA"/>
              </w:rPr>
              <w:t>Les états financiers vérifiés pour l’exercice terminé le 31 décembre de l’année de référence.</w:t>
            </w:r>
          </w:p>
          <w:p w14:paraId="0A5E6D88" w14:textId="77777777" w:rsidR="00CE3152" w:rsidRPr="00A91E2B" w:rsidRDefault="00CE3152" w:rsidP="00352626">
            <w:pPr>
              <w:pStyle w:val="Paragraphedeliste"/>
              <w:spacing w:after="60" w:line="264" w:lineRule="auto"/>
              <w:ind w:left="851" w:right="147"/>
              <w:contextualSpacing w:val="0"/>
              <w:jc w:val="both"/>
              <w:rPr>
                <w:rFonts w:eastAsia="Times New Roman" w:cs="Calibri"/>
                <w:color w:val="000000"/>
                <w:sz w:val="24"/>
                <w:szCs w:val="24"/>
                <w:lang w:eastAsia="fr-CA"/>
              </w:rPr>
            </w:pPr>
          </w:p>
        </w:tc>
      </w:tr>
      <w:tr w:rsidR="00DC782D" w14:paraId="3676DBDE" w14:textId="77777777" w:rsidTr="00CE3152">
        <w:trPr>
          <w:trHeight w:val="255"/>
        </w:trPr>
        <w:tc>
          <w:tcPr>
            <w:tcW w:w="5000" w:type="pct"/>
          </w:tcPr>
          <w:p w14:paraId="0CB9296C" w14:textId="255545D6" w:rsidR="00CE3152" w:rsidRPr="00856C38" w:rsidRDefault="00AA550E" w:rsidP="00352626">
            <w:pPr>
              <w:pStyle w:val="Titre2"/>
              <w:keepNext/>
              <w:tabs>
                <w:tab w:val="clear" w:pos="709"/>
                <w:tab w:val="num" w:pos="851"/>
              </w:tabs>
              <w:ind w:left="851" w:hanging="851"/>
              <w:rPr>
                <w:rFonts w:cs="Calibri"/>
              </w:rPr>
            </w:pPr>
            <w:bookmarkStart w:id="64" w:name="_Toc124329962"/>
            <w:r w:rsidRPr="00856C38">
              <w:rPr>
                <w:rFonts w:cs="Calibri"/>
              </w:rPr>
              <w:t>Plan global en efficacité énergétique (PGEÉ)</w:t>
            </w:r>
            <w:bookmarkEnd w:id="64"/>
          </w:p>
        </w:tc>
      </w:tr>
      <w:tr w:rsidR="00DC782D" w14:paraId="394FFD5D" w14:textId="77777777" w:rsidTr="00CE3152">
        <w:trPr>
          <w:trHeight w:val="255"/>
        </w:trPr>
        <w:tc>
          <w:tcPr>
            <w:tcW w:w="5000" w:type="pct"/>
          </w:tcPr>
          <w:p w14:paraId="08DDA001" w14:textId="77777777" w:rsidR="00CE3152" w:rsidRPr="00803E9F" w:rsidRDefault="00AA550E" w:rsidP="00352626">
            <w:pPr>
              <w:pStyle w:val="Default"/>
              <w:spacing w:before="60" w:after="60" w:line="264" w:lineRule="auto"/>
              <w:ind w:right="147"/>
              <w:jc w:val="both"/>
              <w:rPr>
                <w:rFonts w:ascii="Calibri" w:hAnsi="Calibri" w:cs="Calibri"/>
                <w:lang w:eastAsia="fr-CA"/>
              </w:rPr>
            </w:pPr>
            <w:r w:rsidRPr="00803E9F">
              <w:rPr>
                <w:rFonts w:ascii="Calibri" w:eastAsia="Times New Roman" w:hAnsi="Calibri" w:cs="Calibri"/>
                <w:lang w:eastAsia="fr-CA"/>
              </w:rPr>
              <w:t>Conformément à la décision D-2019-088</w:t>
            </w:r>
            <w:r>
              <w:rPr>
                <w:rStyle w:val="Appelnotedebasdep"/>
                <w:rFonts w:ascii="Calibri" w:hAnsi="Calibri" w:cs="Calibri"/>
                <w:lang w:eastAsia="fr-CA"/>
              </w:rPr>
              <w:footnoteReference w:id="50"/>
            </w:r>
            <w:r w:rsidRPr="00803E9F">
              <w:rPr>
                <w:rFonts w:ascii="Calibri" w:hAnsi="Calibri" w:cs="Calibri"/>
                <w:lang w:eastAsia="fr-CA"/>
              </w:rPr>
              <w:t> :</w:t>
            </w:r>
          </w:p>
        </w:tc>
      </w:tr>
      <w:tr w:rsidR="00DC782D" w14:paraId="3A69E28B" w14:textId="77777777" w:rsidTr="00CE3152">
        <w:trPr>
          <w:trHeight w:val="255"/>
        </w:trPr>
        <w:tc>
          <w:tcPr>
            <w:tcW w:w="5000" w:type="pct"/>
          </w:tcPr>
          <w:p w14:paraId="4CB798B3" w14:textId="5C648866" w:rsidR="00CE3152" w:rsidRPr="00A91E2B" w:rsidRDefault="00AA550E" w:rsidP="000F723A">
            <w:pPr>
              <w:pStyle w:val="TitreS2"/>
              <w:numPr>
                <w:ilvl w:val="3"/>
                <w:numId w:val="8"/>
              </w:numPr>
              <w:spacing w:before="200" w:after="0"/>
              <w:ind w:left="567" w:hanging="567"/>
              <w:rPr>
                <w:rFonts w:cs="Calibri"/>
                <w:b w:val="0"/>
                <w:color w:val="000000"/>
                <w:sz w:val="24"/>
                <w:szCs w:val="24"/>
                <w:lang w:eastAsia="fr-CA"/>
              </w:rPr>
            </w:pPr>
            <w:r w:rsidRPr="00A91E2B">
              <w:rPr>
                <w:rFonts w:eastAsia="Times New Roman" w:cs="Calibri"/>
                <w:b w:val="0"/>
                <w:color w:val="000000"/>
                <w:sz w:val="24"/>
                <w:szCs w:val="24"/>
                <w:lang w:eastAsia="fr-CA"/>
              </w:rPr>
              <w:t>L</w:t>
            </w:r>
            <w:r w:rsidRPr="00A91E2B">
              <w:rPr>
                <w:rFonts w:cs="Calibri"/>
                <w:b w:val="0"/>
                <w:color w:val="000000"/>
                <w:sz w:val="24"/>
                <w:szCs w:val="24"/>
                <w:lang w:eastAsia="fr-CA"/>
              </w:rPr>
              <w:t>es résultats annuels du PGEÉ.</w:t>
            </w:r>
          </w:p>
        </w:tc>
      </w:tr>
      <w:tr w:rsidR="00DC782D" w14:paraId="1E0C5292" w14:textId="77777777" w:rsidTr="00CE3152">
        <w:trPr>
          <w:trHeight w:val="255"/>
        </w:trPr>
        <w:tc>
          <w:tcPr>
            <w:tcW w:w="5000" w:type="pct"/>
          </w:tcPr>
          <w:p w14:paraId="0B24CE55" w14:textId="77777777" w:rsidR="00CE3152" w:rsidRPr="00A91E2B"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A91E2B">
              <w:rPr>
                <w:rFonts w:cs="Calibri"/>
                <w:b w:val="0"/>
                <w:color w:val="000000"/>
                <w:sz w:val="24"/>
                <w:szCs w:val="24"/>
                <w:lang w:eastAsia="fr-CA"/>
              </w:rPr>
              <w:t xml:space="preserve">S’assurer d’utiliser et de référencier les formules de calcul des tests </w:t>
            </w:r>
            <w:r w:rsidRPr="00A91E2B">
              <w:rPr>
                <w:rFonts w:eastAsia="Times New Roman" w:cs="Calibri"/>
                <w:b w:val="0"/>
                <w:color w:val="000000"/>
                <w:sz w:val="24"/>
                <w:szCs w:val="24"/>
                <w:lang w:eastAsia="fr-CA"/>
              </w:rPr>
              <w:t>économiques</w:t>
            </w:r>
            <w:r w:rsidRPr="00A91E2B">
              <w:rPr>
                <w:rFonts w:cs="Calibri"/>
                <w:b w:val="0"/>
                <w:color w:val="000000"/>
                <w:sz w:val="24"/>
                <w:szCs w:val="24"/>
                <w:lang w:eastAsia="fr-CA"/>
              </w:rPr>
              <w:t xml:space="preserve"> décrites lors de l’établissement des prévisions. En cas de changement, documenter, référencier et justifier celui-ci.</w:t>
            </w:r>
          </w:p>
        </w:tc>
      </w:tr>
      <w:tr w:rsidR="00DC782D" w14:paraId="7923657F" w14:textId="77777777" w:rsidTr="00CE3152">
        <w:trPr>
          <w:trHeight w:val="255"/>
        </w:trPr>
        <w:tc>
          <w:tcPr>
            <w:tcW w:w="5000" w:type="pct"/>
          </w:tcPr>
          <w:p w14:paraId="59C86DA6" w14:textId="77777777" w:rsidR="00CE3152" w:rsidRPr="00A91E2B"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A91E2B">
              <w:rPr>
                <w:rFonts w:cs="Calibri"/>
                <w:b w:val="0"/>
                <w:color w:val="000000"/>
                <w:sz w:val="24"/>
                <w:szCs w:val="24"/>
                <w:lang w:eastAsia="fr-CA"/>
              </w:rPr>
              <w:t>Présenter et adéquatement référencier toute mise à jour des coûts évités de gaz (base et chauffage) ainsi que des coûts évités d’autres formes d’énergie autorisées par la Régie</w:t>
            </w:r>
            <w:r>
              <w:rPr>
                <w:rStyle w:val="Appelnotedebasdep"/>
                <w:rFonts w:cs="Calibri"/>
                <w:b w:val="0"/>
                <w:color w:val="000000"/>
                <w:sz w:val="24"/>
                <w:szCs w:val="24"/>
                <w:lang w:eastAsia="fr-CA"/>
              </w:rPr>
              <w:footnoteReference w:id="51"/>
            </w:r>
            <w:r w:rsidRPr="00A91E2B">
              <w:rPr>
                <w:rFonts w:cs="Calibri"/>
                <w:b w:val="0"/>
                <w:color w:val="000000"/>
                <w:sz w:val="24"/>
                <w:szCs w:val="24"/>
                <w:lang w:eastAsia="fr-CA"/>
              </w:rPr>
              <w:t xml:space="preserve"> (exemple : kWh d’électricité), différant des coûts évités considérés lors de l’établissement des prévisions.</w:t>
            </w:r>
          </w:p>
        </w:tc>
      </w:tr>
      <w:tr w:rsidR="00DC782D" w14:paraId="51F17D36" w14:textId="77777777" w:rsidTr="00CE3152">
        <w:trPr>
          <w:trHeight w:val="255"/>
        </w:trPr>
        <w:tc>
          <w:tcPr>
            <w:tcW w:w="5000" w:type="pct"/>
          </w:tcPr>
          <w:p w14:paraId="5DF9C46D" w14:textId="77777777" w:rsidR="00CE3152" w:rsidRPr="00A91E2B" w:rsidRDefault="00AA550E" w:rsidP="00352626">
            <w:pPr>
              <w:pStyle w:val="TitreS2"/>
              <w:numPr>
                <w:ilvl w:val="3"/>
                <w:numId w:val="8"/>
              </w:numPr>
              <w:spacing w:before="200" w:after="0"/>
              <w:ind w:left="567" w:hanging="567"/>
              <w:rPr>
                <w:rFonts w:eastAsia="Times New Roman" w:cs="Calibri"/>
                <w:b w:val="0"/>
                <w:color w:val="000000"/>
                <w:sz w:val="24"/>
                <w:szCs w:val="24"/>
                <w:lang w:eastAsia="fr-CA"/>
              </w:rPr>
            </w:pPr>
            <w:r w:rsidRPr="00A91E2B">
              <w:rPr>
                <w:rFonts w:cs="Calibri"/>
                <w:b w:val="0"/>
                <w:color w:val="000000"/>
                <w:sz w:val="24"/>
                <w:szCs w:val="24"/>
                <w:lang w:eastAsia="fr-CA"/>
              </w:rPr>
              <w:t>Documenter tout changement aux taux d’actualisation utilisés lors de l’établissement des prévisions.</w:t>
            </w:r>
          </w:p>
        </w:tc>
      </w:tr>
      <w:tr w:rsidR="00DC782D" w14:paraId="3389F412" w14:textId="77777777" w:rsidTr="00CE3152">
        <w:trPr>
          <w:trHeight w:val="255"/>
        </w:trPr>
        <w:tc>
          <w:tcPr>
            <w:tcW w:w="5000" w:type="pct"/>
          </w:tcPr>
          <w:p w14:paraId="296F728A" w14:textId="31169203" w:rsidR="00CE3152" w:rsidRPr="00A91E2B" w:rsidRDefault="00AA550E" w:rsidP="004277D4">
            <w:pPr>
              <w:pStyle w:val="TitreS2"/>
              <w:numPr>
                <w:ilvl w:val="3"/>
                <w:numId w:val="8"/>
              </w:numPr>
              <w:spacing w:before="200" w:after="0"/>
              <w:ind w:left="567" w:hanging="567"/>
              <w:rPr>
                <w:rFonts w:eastAsia="Times New Roman" w:cs="Calibri"/>
                <w:b w:val="0"/>
                <w:color w:val="000000"/>
                <w:sz w:val="24"/>
                <w:szCs w:val="24"/>
                <w:lang w:eastAsia="fr-CA"/>
              </w:rPr>
            </w:pPr>
            <w:r w:rsidRPr="00A91E2B">
              <w:rPr>
                <w:b w:val="0"/>
                <w:sz w:val="24"/>
                <w:szCs w:val="24"/>
              </w:rPr>
              <w:br w:type="page"/>
            </w:r>
            <w:r w:rsidRPr="00A91E2B">
              <w:rPr>
                <w:rFonts w:cs="Calibri"/>
                <w:b w:val="0"/>
                <w:color w:val="000000"/>
                <w:sz w:val="24"/>
                <w:szCs w:val="24"/>
                <w:lang w:eastAsia="fr-CA"/>
              </w:rPr>
              <w:t xml:space="preserve">Le cas échéant, toute évaluation (par exemple : impact, processus, marché et transformation de marché) ou toute étude connexe (par exemple : calcul des économies réelles, du surcoût et révision du calcul du TCTR, révision périodique des coûts évités de gaz, entre autres), en fonction du calendrier approuvé </w:t>
            </w:r>
            <w:r w:rsidR="000F723A">
              <w:rPr>
                <w:rFonts w:cs="Calibri"/>
                <w:b w:val="0"/>
                <w:color w:val="000000"/>
                <w:sz w:val="24"/>
                <w:szCs w:val="24"/>
                <w:lang w:eastAsia="fr-CA"/>
              </w:rPr>
              <w:t>en</w:t>
            </w:r>
            <w:r w:rsidR="000F723A" w:rsidRPr="00A91E2B">
              <w:rPr>
                <w:rFonts w:cs="Calibri"/>
                <w:b w:val="0"/>
                <w:color w:val="000000"/>
                <w:sz w:val="24"/>
                <w:szCs w:val="24"/>
                <w:lang w:eastAsia="fr-CA"/>
              </w:rPr>
              <w:t xml:space="preserve"> </w:t>
            </w:r>
            <w:r w:rsidRPr="00A91E2B">
              <w:rPr>
                <w:rFonts w:cs="Calibri"/>
                <w:b w:val="0"/>
                <w:color w:val="000000"/>
                <w:sz w:val="24"/>
                <w:szCs w:val="24"/>
                <w:lang w:eastAsia="fr-CA"/>
              </w:rPr>
              <w:t>tenant compte des principes établis à la section 8 (8.1 à 8.4.2) de la décision D</w:t>
            </w:r>
            <w:r w:rsidRPr="00A91E2B">
              <w:rPr>
                <w:rFonts w:cs="Calibri"/>
                <w:b w:val="0"/>
                <w:color w:val="000000"/>
                <w:sz w:val="24"/>
                <w:szCs w:val="24"/>
                <w:lang w:eastAsia="fr-CA"/>
              </w:rPr>
              <w:noBreakHyphen/>
              <w:t>2019</w:t>
            </w:r>
            <w:r w:rsidRPr="00A91E2B">
              <w:rPr>
                <w:rFonts w:cs="Calibri"/>
                <w:b w:val="0"/>
                <w:color w:val="000000"/>
                <w:sz w:val="24"/>
                <w:szCs w:val="24"/>
                <w:lang w:eastAsia="fr-CA"/>
              </w:rPr>
              <w:noBreakHyphen/>
              <w:t>088</w:t>
            </w:r>
            <w:r>
              <w:rPr>
                <w:rStyle w:val="Appelnotedebasdep"/>
                <w:rFonts w:cs="Calibri"/>
                <w:b w:val="0"/>
                <w:color w:val="000000"/>
                <w:sz w:val="24"/>
                <w:szCs w:val="24"/>
                <w:lang w:eastAsia="fr-CA"/>
              </w:rPr>
              <w:footnoteReference w:id="52"/>
            </w:r>
            <w:r w:rsidRPr="00A91E2B">
              <w:rPr>
                <w:rFonts w:cs="Calibri"/>
                <w:b w:val="0"/>
                <w:color w:val="000000"/>
                <w:sz w:val="24"/>
                <w:szCs w:val="24"/>
                <w:lang w:eastAsia="fr-CA"/>
              </w:rPr>
              <w:t>.</w:t>
            </w:r>
          </w:p>
        </w:tc>
      </w:tr>
      <w:tr w:rsidR="00DC782D" w14:paraId="1A42F352" w14:textId="77777777" w:rsidTr="00CE3152">
        <w:trPr>
          <w:trHeight w:val="255"/>
        </w:trPr>
        <w:tc>
          <w:tcPr>
            <w:tcW w:w="5000" w:type="pct"/>
          </w:tcPr>
          <w:p w14:paraId="4E652B82" w14:textId="77777777" w:rsidR="00CE3152" w:rsidRPr="00A91E2B" w:rsidRDefault="00AA550E" w:rsidP="00352626">
            <w:pPr>
              <w:pStyle w:val="TitreS2"/>
              <w:numPr>
                <w:ilvl w:val="3"/>
                <w:numId w:val="8"/>
              </w:numPr>
              <w:spacing w:before="200" w:after="0"/>
              <w:ind w:left="567" w:hanging="567"/>
              <w:rPr>
                <w:rFonts w:eastAsia="Times New Roman" w:cs="Calibri"/>
                <w:b w:val="0"/>
                <w:sz w:val="24"/>
                <w:szCs w:val="24"/>
                <w:lang w:eastAsia="fr-CA"/>
              </w:rPr>
            </w:pPr>
            <w:r w:rsidRPr="00A91E2B">
              <w:rPr>
                <w:rFonts w:cs="Calibri"/>
                <w:b w:val="0"/>
                <w:sz w:val="24"/>
                <w:szCs w:val="24"/>
                <w:lang w:eastAsia="fr-CA"/>
              </w:rPr>
              <w:t xml:space="preserve">Le cas </w:t>
            </w:r>
            <w:r w:rsidRPr="00A91E2B">
              <w:rPr>
                <w:rFonts w:cs="Calibri"/>
                <w:b w:val="0"/>
                <w:color w:val="000000"/>
                <w:sz w:val="24"/>
                <w:szCs w:val="24"/>
                <w:lang w:eastAsia="fr-CA"/>
              </w:rPr>
              <w:t>échéant</w:t>
            </w:r>
            <w:r w:rsidRPr="00A91E2B">
              <w:rPr>
                <w:rFonts w:cs="Calibri"/>
                <w:b w:val="0"/>
                <w:sz w:val="24"/>
                <w:szCs w:val="24"/>
                <w:lang w:eastAsia="fr-CA"/>
              </w:rPr>
              <w:t>, tout suivi de décision pertinent à la constatation de résultats.</w:t>
            </w:r>
          </w:p>
        </w:tc>
      </w:tr>
      <w:tr w:rsidR="00DC782D" w14:paraId="4244CD9F" w14:textId="77777777" w:rsidTr="00CE3152">
        <w:trPr>
          <w:trHeight w:val="255"/>
        </w:trPr>
        <w:tc>
          <w:tcPr>
            <w:tcW w:w="5000" w:type="pct"/>
          </w:tcPr>
          <w:p w14:paraId="157D4325" w14:textId="53489167" w:rsidR="00CE3152" w:rsidRPr="00A91E2B" w:rsidRDefault="00507F6B" w:rsidP="00352626">
            <w:pPr>
              <w:pStyle w:val="TitreS2"/>
              <w:numPr>
                <w:ilvl w:val="3"/>
                <w:numId w:val="8"/>
              </w:numPr>
              <w:spacing w:before="200" w:after="0"/>
              <w:ind w:left="567" w:hanging="567"/>
              <w:rPr>
                <w:rFonts w:cs="Calibri"/>
                <w:b w:val="0"/>
                <w:sz w:val="24"/>
                <w:szCs w:val="24"/>
                <w:lang w:eastAsia="fr-CA"/>
              </w:rPr>
            </w:pPr>
            <w:r>
              <w:rPr>
                <w:rFonts w:cs="Calibri"/>
                <w:b w:val="0"/>
                <w:sz w:val="24"/>
                <w:szCs w:val="24"/>
                <w:lang w:eastAsia="fr-CA"/>
              </w:rPr>
              <w:t>Dépos</w:t>
            </w:r>
            <w:r w:rsidRPr="005576CD">
              <w:rPr>
                <w:rFonts w:cs="Calibri"/>
                <w:b w:val="0"/>
                <w:sz w:val="24"/>
                <w:szCs w:val="24"/>
                <w:lang w:eastAsia="fr-CA"/>
              </w:rPr>
              <w:t xml:space="preserve">er </w:t>
            </w:r>
            <w:r>
              <w:rPr>
                <w:rFonts w:cs="Calibri"/>
                <w:b w:val="0"/>
                <w:sz w:val="24"/>
                <w:szCs w:val="24"/>
                <w:lang w:eastAsia="fr-CA"/>
              </w:rPr>
              <w:t xml:space="preserve">sous forme de tableau(x) les composantes du PGEÉ, </w:t>
            </w:r>
            <w:r w:rsidRPr="005576CD">
              <w:rPr>
                <w:rFonts w:cs="Calibri"/>
                <w:b w:val="0"/>
                <w:sz w:val="24"/>
                <w:szCs w:val="24"/>
                <w:lang w:eastAsia="fr-CA"/>
              </w:rPr>
              <w:t xml:space="preserve">ventilées par programme, </w:t>
            </w:r>
            <w:r>
              <w:rPr>
                <w:rFonts w:cs="Calibri"/>
                <w:b w:val="0"/>
                <w:sz w:val="24"/>
                <w:szCs w:val="24"/>
                <w:lang w:eastAsia="fr-CA"/>
              </w:rPr>
              <w:t>volets</w:t>
            </w:r>
            <w:r w:rsidRPr="005576CD">
              <w:rPr>
                <w:rFonts w:cs="Calibri"/>
                <w:b w:val="0"/>
                <w:sz w:val="24"/>
                <w:szCs w:val="24"/>
                <w:lang w:eastAsia="fr-CA"/>
              </w:rPr>
              <w:t xml:space="preserve"> et mesure</w:t>
            </w:r>
            <w:r>
              <w:rPr>
                <w:rFonts w:cs="Calibri"/>
                <w:b w:val="0"/>
                <w:sz w:val="24"/>
                <w:szCs w:val="24"/>
                <w:lang w:eastAsia="fr-CA"/>
              </w:rPr>
              <w:t>s</w:t>
            </w:r>
            <w:r w:rsidRPr="005576CD">
              <w:rPr>
                <w:rFonts w:cs="Calibri"/>
                <w:b w:val="0"/>
                <w:sz w:val="24"/>
                <w:szCs w:val="24"/>
                <w:lang w:eastAsia="fr-CA"/>
              </w:rPr>
              <w:t>. Ci-dessous une liste non limitative de données </w:t>
            </w:r>
            <w:r w:rsidR="00AA550E" w:rsidRPr="00A91E2B">
              <w:rPr>
                <w:rFonts w:cs="Calibri"/>
                <w:b w:val="0"/>
                <w:sz w:val="24"/>
                <w:szCs w:val="24"/>
                <w:lang w:eastAsia="fr-CA"/>
              </w:rPr>
              <w:t>:</w:t>
            </w:r>
          </w:p>
          <w:p w14:paraId="01859852" w14:textId="77777777" w:rsidR="00CE3152" w:rsidRPr="00A91E2B" w:rsidRDefault="00AA550E" w:rsidP="00352626">
            <w:pPr>
              <w:pStyle w:val="TitreS2"/>
              <w:numPr>
                <w:ilvl w:val="0"/>
                <w:numId w:val="20"/>
              </w:numPr>
              <w:spacing w:after="0"/>
              <w:rPr>
                <w:rFonts w:cs="Calibri"/>
                <w:b w:val="0"/>
                <w:color w:val="000000"/>
                <w:sz w:val="24"/>
                <w:szCs w:val="24"/>
                <w:lang w:eastAsia="fr-CA"/>
              </w:rPr>
            </w:pPr>
            <w:r w:rsidRPr="00A91E2B">
              <w:rPr>
                <w:rFonts w:cs="Calibri"/>
                <w:b w:val="0"/>
                <w:color w:val="000000"/>
                <w:sz w:val="24"/>
                <w:szCs w:val="24"/>
                <w:lang w:eastAsia="fr-CA"/>
              </w:rPr>
              <w:t>Coût total annuel ($);</w:t>
            </w:r>
          </w:p>
          <w:p w14:paraId="7D3125E7"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color w:val="000000"/>
                <w:sz w:val="24"/>
                <w:szCs w:val="24"/>
                <w:lang w:eastAsia="fr-CA"/>
              </w:rPr>
              <w:t>Aides financières</w:t>
            </w:r>
            <w:r w:rsidRPr="00A91E2B">
              <w:rPr>
                <w:rFonts w:cs="Calibri"/>
                <w:b w:val="0"/>
                <w:sz w:val="24"/>
                <w:szCs w:val="24"/>
                <w:lang w:eastAsia="fr-CA"/>
              </w:rPr>
              <w:t xml:space="preserve"> ($);</w:t>
            </w:r>
          </w:p>
          <w:p w14:paraId="6187FDE3"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color w:val="000000"/>
                <w:sz w:val="24"/>
                <w:szCs w:val="24"/>
                <w:lang w:eastAsia="fr-CA"/>
              </w:rPr>
              <w:t>Économies</w:t>
            </w:r>
            <w:r w:rsidRPr="00A91E2B">
              <w:rPr>
                <w:rFonts w:cs="Calibri"/>
                <w:b w:val="0"/>
                <w:sz w:val="24"/>
                <w:szCs w:val="24"/>
                <w:lang w:eastAsia="fr-CA"/>
              </w:rPr>
              <w:t xml:space="preserve"> nettes totales de gaz naturel (m</w:t>
            </w:r>
            <w:r w:rsidRPr="00A91E2B">
              <w:rPr>
                <w:rFonts w:cs="Calibri"/>
                <w:b w:val="0"/>
                <w:sz w:val="24"/>
                <w:szCs w:val="24"/>
                <w:vertAlign w:val="superscript"/>
                <w:lang w:eastAsia="fr-CA"/>
              </w:rPr>
              <w:t>3</w:t>
            </w:r>
            <w:r w:rsidRPr="00A91E2B">
              <w:rPr>
                <w:rFonts w:cs="Calibri"/>
                <w:b w:val="0"/>
                <w:sz w:val="24"/>
                <w:szCs w:val="24"/>
                <w:lang w:eastAsia="fr-CA"/>
              </w:rPr>
              <w:t>);</w:t>
            </w:r>
          </w:p>
          <w:p w14:paraId="2E6DB851"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color w:val="000000"/>
                <w:sz w:val="24"/>
                <w:szCs w:val="24"/>
                <w:lang w:eastAsia="fr-CA"/>
              </w:rPr>
              <w:t>Émissions</w:t>
            </w:r>
            <w:r w:rsidRPr="00A91E2B">
              <w:rPr>
                <w:rFonts w:cs="Calibri"/>
                <w:b w:val="0"/>
                <w:sz w:val="24"/>
                <w:szCs w:val="24"/>
                <w:lang w:eastAsia="fr-CA"/>
              </w:rPr>
              <w:t xml:space="preserve"> de CO</w:t>
            </w:r>
            <w:r w:rsidRPr="00A91E2B">
              <w:rPr>
                <w:rFonts w:cs="Calibri"/>
                <w:b w:val="0"/>
                <w:sz w:val="24"/>
                <w:szCs w:val="24"/>
                <w:vertAlign w:val="subscript"/>
                <w:lang w:eastAsia="fr-CA"/>
              </w:rPr>
              <w:t>2</w:t>
            </w:r>
            <w:r w:rsidRPr="00A91E2B">
              <w:rPr>
                <w:rFonts w:cs="Calibri"/>
                <w:b w:val="0"/>
                <w:sz w:val="24"/>
                <w:szCs w:val="24"/>
                <w:lang w:eastAsia="fr-CA"/>
              </w:rPr>
              <w:t xml:space="preserve"> évitées annuelles (</w:t>
            </w:r>
            <w:r w:rsidRPr="00F058A5">
              <w:rPr>
                <w:rFonts w:cs="Calibri"/>
                <w:b w:val="0"/>
                <w:color w:val="000000"/>
                <w:sz w:val="24"/>
                <w:szCs w:val="24"/>
              </w:rPr>
              <w:t>tCO</w:t>
            </w:r>
            <w:r w:rsidRPr="00F058A5">
              <w:rPr>
                <w:rFonts w:cs="Calibri"/>
                <w:b w:val="0"/>
                <w:color w:val="000000"/>
                <w:sz w:val="24"/>
                <w:szCs w:val="24"/>
                <w:vertAlign w:val="subscript"/>
              </w:rPr>
              <w:t>2</w:t>
            </w:r>
            <w:r w:rsidRPr="00F058A5">
              <w:rPr>
                <w:rFonts w:cs="Calibri"/>
                <w:b w:val="0"/>
                <w:color w:val="000000"/>
                <w:sz w:val="24"/>
                <w:szCs w:val="24"/>
              </w:rPr>
              <w:t>e</w:t>
            </w:r>
            <w:r w:rsidRPr="00A91E2B">
              <w:rPr>
                <w:rFonts w:cs="Calibri"/>
                <w:b w:val="0"/>
                <w:sz w:val="24"/>
                <w:szCs w:val="24"/>
              </w:rPr>
              <w:t>).</w:t>
            </w:r>
          </w:p>
        </w:tc>
      </w:tr>
      <w:tr w:rsidR="00DC782D" w14:paraId="2526C1D4" w14:textId="77777777" w:rsidTr="00CE3152">
        <w:trPr>
          <w:trHeight w:val="255"/>
        </w:trPr>
        <w:tc>
          <w:tcPr>
            <w:tcW w:w="5000" w:type="pct"/>
          </w:tcPr>
          <w:p w14:paraId="0EC69140" w14:textId="797AFC5C" w:rsidR="00CE3152" w:rsidRPr="00A91E2B" w:rsidRDefault="00AA550E" w:rsidP="00352626">
            <w:pPr>
              <w:pStyle w:val="TitreS2"/>
              <w:numPr>
                <w:ilvl w:val="3"/>
                <w:numId w:val="8"/>
              </w:numPr>
              <w:spacing w:before="200" w:after="0"/>
              <w:ind w:left="567" w:hanging="567"/>
              <w:rPr>
                <w:rFonts w:cs="Calibri"/>
                <w:b w:val="0"/>
                <w:sz w:val="24"/>
                <w:szCs w:val="24"/>
                <w:lang w:eastAsia="fr-CA"/>
              </w:rPr>
            </w:pPr>
            <w:r w:rsidRPr="00A91E2B">
              <w:rPr>
                <w:rFonts w:cs="Calibri"/>
                <w:b w:val="0"/>
                <w:sz w:val="24"/>
                <w:szCs w:val="24"/>
                <w:lang w:eastAsia="fr-CA"/>
              </w:rPr>
              <w:lastRenderedPageBreak/>
              <w:t xml:space="preserve">Une fiche détaillée pour chaque programme, composant de programme et mesure, avec le même type d’information décrite </w:t>
            </w:r>
            <w:r w:rsidR="004A2DC9">
              <w:rPr>
                <w:rFonts w:cs="Calibri"/>
                <w:b w:val="0"/>
                <w:sz w:val="24"/>
                <w:szCs w:val="24"/>
                <w:lang w:eastAsia="fr-CA"/>
              </w:rPr>
              <w:t>à la section 5.3, point 71</w:t>
            </w:r>
            <w:r w:rsidRPr="00A91E2B">
              <w:rPr>
                <w:rFonts w:cs="Calibri"/>
                <w:b w:val="0"/>
                <w:sz w:val="24"/>
                <w:szCs w:val="24"/>
                <w:lang w:eastAsia="fr-CA"/>
              </w:rPr>
              <w:t xml:space="preserve">, </w:t>
            </w:r>
            <w:r w:rsidRPr="00E616A5">
              <w:rPr>
                <w:rFonts w:cs="Calibri"/>
                <w:b w:val="0"/>
                <w:sz w:val="24"/>
                <w:szCs w:val="24"/>
                <w:lang w:eastAsia="fr-CA"/>
              </w:rPr>
              <w:t xml:space="preserve">comparant les prévisions annuelles approuvées dans le cadre du dossier d’examen du </w:t>
            </w:r>
            <w:r w:rsidRPr="00E616A5">
              <w:rPr>
                <w:rFonts w:cs="Calibri"/>
                <w:b w:val="0"/>
                <w:bCs w:val="0"/>
                <w:i/>
                <w:sz w:val="24"/>
                <w:szCs w:val="24"/>
              </w:rPr>
              <w:t xml:space="preserve">Plan </w:t>
            </w:r>
            <w:r w:rsidR="000C5E15" w:rsidRPr="00E616A5">
              <w:rPr>
                <w:rFonts w:cs="Calibri"/>
                <w:b w:val="0"/>
                <w:bCs w:val="0"/>
                <w:i/>
                <w:sz w:val="24"/>
                <w:szCs w:val="24"/>
              </w:rPr>
              <w:t>directeur</w:t>
            </w:r>
            <w:r w:rsidR="000C5E15" w:rsidRPr="00E616A5">
              <w:rPr>
                <w:rStyle w:val="Lienhypertexte"/>
                <w:u w:val="none"/>
              </w:rPr>
              <w:t xml:space="preserve"> </w:t>
            </w:r>
            <w:r w:rsidRPr="00E616A5">
              <w:rPr>
                <w:rFonts w:cs="Calibri"/>
                <w:b w:val="0"/>
                <w:sz w:val="24"/>
                <w:szCs w:val="24"/>
                <w:lang w:eastAsia="fr-CA"/>
              </w:rPr>
              <w:t>en</w:t>
            </w:r>
            <w:r w:rsidRPr="00A91E2B">
              <w:rPr>
                <w:rFonts w:cs="Calibri"/>
                <w:b w:val="0"/>
                <w:sz w:val="24"/>
                <w:szCs w:val="24"/>
                <w:lang w:eastAsia="fr-CA"/>
              </w:rPr>
              <w:t xml:space="preserve"> vigueur ou ajustées dans le cadre d’un dossier tarifaire aux résultats réels constatés. Ces fiches devront également présenter les écarts annuels obtenus (%) et associer aux paramètres d’impact énergétique et monétaire une note de bas de page explicatif avec des liens hypertexte. Une explication des écarts obtenus devra être fournie</w:t>
            </w:r>
            <w:r>
              <w:rPr>
                <w:rStyle w:val="Appelnotedebasdep"/>
                <w:rFonts w:cs="Calibri"/>
                <w:b w:val="0"/>
                <w:sz w:val="24"/>
                <w:szCs w:val="24"/>
                <w:lang w:eastAsia="fr-CA"/>
              </w:rPr>
              <w:footnoteReference w:id="53"/>
            </w:r>
            <w:r w:rsidRPr="00A91E2B">
              <w:rPr>
                <w:rFonts w:cs="Calibri"/>
                <w:b w:val="0"/>
                <w:sz w:val="24"/>
                <w:szCs w:val="24"/>
                <w:lang w:eastAsia="fr-CA"/>
              </w:rPr>
              <w:t>.</w:t>
            </w:r>
          </w:p>
          <w:p w14:paraId="72BEF793" w14:textId="77777777"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sz w:val="24"/>
                <w:szCs w:val="24"/>
                <w:lang w:eastAsia="fr-CA"/>
              </w:rPr>
              <w:t>La section 8 (8.1 à 8.4.2) de la décision D-2019-088 décrit le mécanisme applicable pour la mise à jour « au réel » des paramètres d’impacts énergétiques et monétaires révisés par les évaluations et études</w:t>
            </w:r>
            <w:r>
              <w:rPr>
                <w:rStyle w:val="Appelnotedebasdep"/>
                <w:rFonts w:cs="Calibri"/>
                <w:b w:val="0"/>
                <w:color w:val="000000"/>
                <w:sz w:val="24"/>
                <w:szCs w:val="24"/>
                <w:lang w:eastAsia="fr-CA"/>
              </w:rPr>
              <w:footnoteReference w:id="54"/>
            </w:r>
            <w:r w:rsidRPr="00A91E2B">
              <w:rPr>
                <w:rFonts w:cs="Calibri"/>
                <w:b w:val="0"/>
                <w:sz w:val="24"/>
                <w:szCs w:val="24"/>
                <w:lang w:eastAsia="fr-CA"/>
              </w:rPr>
              <w:t>.</w:t>
            </w:r>
          </w:p>
          <w:p w14:paraId="232CAC81" w14:textId="228B0293" w:rsidR="00CE3152" w:rsidRPr="00A91E2B" w:rsidRDefault="00AA550E" w:rsidP="00352626">
            <w:pPr>
              <w:pStyle w:val="TitreS2"/>
              <w:numPr>
                <w:ilvl w:val="0"/>
                <w:numId w:val="20"/>
              </w:numPr>
              <w:spacing w:after="0"/>
              <w:rPr>
                <w:rFonts w:cs="Calibri"/>
                <w:b w:val="0"/>
                <w:sz w:val="24"/>
                <w:szCs w:val="24"/>
                <w:lang w:eastAsia="fr-CA"/>
              </w:rPr>
            </w:pPr>
            <w:r w:rsidRPr="00A91E2B">
              <w:rPr>
                <w:rFonts w:cs="Calibri"/>
                <w:b w:val="0"/>
                <w:sz w:val="24"/>
                <w:szCs w:val="24"/>
                <w:lang w:eastAsia="fr-CA"/>
              </w:rPr>
              <w:t xml:space="preserve">Enfin, les calculs des résultats des tests économiques (TCTR, TP et TNT ou tout test autorisé par la Régie) devront être basés sur les consignes </w:t>
            </w:r>
            <w:r w:rsidR="00BE232E">
              <w:rPr>
                <w:rFonts w:cs="Calibri"/>
                <w:b w:val="0"/>
                <w:sz w:val="24"/>
                <w:szCs w:val="24"/>
                <w:lang w:eastAsia="fr-CA"/>
              </w:rPr>
              <w:t xml:space="preserve">de la plus récente version </w:t>
            </w:r>
            <w:r w:rsidRPr="00A91E2B">
              <w:rPr>
                <w:rFonts w:cs="Calibri"/>
                <w:b w:val="0"/>
                <w:sz w:val="24"/>
                <w:szCs w:val="24"/>
                <w:lang w:eastAsia="fr-CA"/>
              </w:rPr>
              <w:t xml:space="preserve">du </w:t>
            </w:r>
            <w:r w:rsidRPr="00A91E2B">
              <w:rPr>
                <w:rFonts w:cs="Calibri"/>
                <w:b w:val="0"/>
                <w:i/>
                <w:sz w:val="24"/>
                <w:szCs w:val="24"/>
                <w:lang w:eastAsia="fr-CA"/>
              </w:rPr>
              <w:t>National Standard Practice Manual for Assessing Cost-effectiveness of Energy Efficiency Ressources</w:t>
            </w:r>
            <w:r w:rsidRPr="00A91E2B">
              <w:rPr>
                <w:rFonts w:cs="Calibri"/>
                <w:b w:val="0"/>
                <w:sz w:val="24"/>
                <w:szCs w:val="24"/>
                <w:lang w:eastAsia="fr-CA"/>
              </w:rPr>
              <w:t>, notamment quant aux coûts et bénéfices liés aux opportunistes, aux bénévoles et aux clients « entraînés ».</w:t>
            </w:r>
          </w:p>
          <w:p w14:paraId="03E28C23" w14:textId="77777777" w:rsidR="00CE3152" w:rsidRPr="00A91E2B" w:rsidRDefault="00CE3152" w:rsidP="00352626">
            <w:pPr>
              <w:ind w:left="1135" w:right="147"/>
              <w:rPr>
                <w:rFonts w:cs="Calibri"/>
                <w:szCs w:val="24"/>
                <w:lang w:eastAsia="fr-CA"/>
              </w:rPr>
            </w:pPr>
          </w:p>
        </w:tc>
      </w:tr>
      <w:tr w:rsidR="00DC782D" w14:paraId="5FB35E63" w14:textId="77777777" w:rsidTr="00CE3152">
        <w:trPr>
          <w:trHeight w:val="255"/>
        </w:trPr>
        <w:tc>
          <w:tcPr>
            <w:tcW w:w="5000" w:type="pct"/>
          </w:tcPr>
          <w:p w14:paraId="5AE6B4CF" w14:textId="19597643" w:rsidR="00CE3152" w:rsidRPr="00856C38" w:rsidRDefault="00AA550E" w:rsidP="00352626">
            <w:pPr>
              <w:pStyle w:val="Titre2"/>
              <w:keepNext/>
              <w:tabs>
                <w:tab w:val="clear" w:pos="709"/>
                <w:tab w:val="num" w:pos="851"/>
              </w:tabs>
              <w:ind w:left="851" w:hanging="851"/>
              <w:rPr>
                <w:rFonts w:cs="Calibri"/>
              </w:rPr>
            </w:pPr>
            <w:bookmarkStart w:id="65" w:name="_Toc124329963"/>
            <w:r w:rsidRPr="00856C38">
              <w:rPr>
                <w:rFonts w:cs="Calibri"/>
              </w:rPr>
              <w:t>Suivis de décisions</w:t>
            </w:r>
            <w:bookmarkEnd w:id="65"/>
          </w:p>
        </w:tc>
      </w:tr>
      <w:tr w:rsidR="00DC782D" w14:paraId="42ED8BD1" w14:textId="77777777" w:rsidTr="00CE3152">
        <w:trPr>
          <w:trHeight w:val="255"/>
        </w:trPr>
        <w:tc>
          <w:tcPr>
            <w:tcW w:w="5000" w:type="pct"/>
          </w:tcPr>
          <w:p w14:paraId="7F38D919" w14:textId="0D5AFE33" w:rsidR="005A1244" w:rsidRPr="00257237" w:rsidRDefault="00AA550E" w:rsidP="005003C2">
            <w:pPr>
              <w:pStyle w:val="TitreS2"/>
              <w:numPr>
                <w:ilvl w:val="3"/>
                <w:numId w:val="8"/>
              </w:numPr>
              <w:spacing w:before="200" w:after="0"/>
              <w:ind w:left="567" w:hanging="567"/>
              <w:rPr>
                <w:rFonts w:cs="Calibri"/>
                <w:b w:val="0"/>
                <w:sz w:val="24"/>
                <w:szCs w:val="24"/>
                <w:lang w:eastAsia="fr-CA"/>
              </w:rPr>
            </w:pPr>
            <w:r w:rsidRPr="00257237">
              <w:rPr>
                <w:rFonts w:cs="Calibri"/>
                <w:b w:val="0"/>
                <w:sz w:val="24"/>
                <w:szCs w:val="24"/>
                <w:lang w:eastAsia="fr-CA"/>
              </w:rPr>
              <w:t>Les suivis requis en fonction des ordonnances de la Régie correspondantes.</w:t>
            </w:r>
          </w:p>
        </w:tc>
      </w:tr>
    </w:tbl>
    <w:p w14:paraId="68553D6E" w14:textId="77777777" w:rsidR="004277D4" w:rsidRDefault="004277D4" w:rsidP="004277D4">
      <w:pPr>
        <w:pStyle w:val="Titre1"/>
        <w:numPr>
          <w:ilvl w:val="0"/>
          <w:numId w:val="0"/>
        </w:numPr>
        <w:ind w:left="567"/>
        <w:rPr>
          <w:rFonts w:cs="Calibri"/>
        </w:rPr>
      </w:pPr>
    </w:p>
    <w:p w14:paraId="077F1DA5" w14:textId="292283E6" w:rsidR="00373D25" w:rsidRPr="009C797D" w:rsidRDefault="004277D4" w:rsidP="005003C2">
      <w:pPr>
        <w:pStyle w:val="Titre1"/>
        <w:rPr>
          <w:rFonts w:cs="Calibri"/>
        </w:rPr>
      </w:pPr>
      <w:r>
        <w:rPr>
          <w:rFonts w:cs="Calibri"/>
        </w:rPr>
        <w:br w:type="column"/>
      </w:r>
      <w:bookmarkStart w:id="66" w:name="_Toc124329964"/>
      <w:r w:rsidR="00AA550E">
        <w:rPr>
          <w:rFonts w:cs="Calibri"/>
        </w:rPr>
        <w:lastRenderedPageBreak/>
        <w:t>AJUSTEMENTS SUBSÉQUENTS AUX TARIFS</w:t>
      </w:r>
      <w:bookmarkEnd w:id="66"/>
    </w:p>
    <w:p w14:paraId="32A0E8A2" w14:textId="77777777" w:rsidR="00667F9C" w:rsidRPr="009C797D" w:rsidRDefault="00667F9C" w:rsidP="005003C2">
      <w:pPr>
        <w:rPr>
          <w:rFonts w:cs="Calibri"/>
          <w:bCs/>
        </w:rPr>
      </w:pPr>
    </w:p>
    <w:p w14:paraId="532CFE61" w14:textId="77777777" w:rsidR="00E65694" w:rsidRPr="008D2456" w:rsidRDefault="00AA550E" w:rsidP="005003C2">
      <w:pPr>
        <w:pStyle w:val="Titre2"/>
        <w:tabs>
          <w:tab w:val="clear" w:pos="709"/>
          <w:tab w:val="num" w:pos="851"/>
        </w:tabs>
        <w:ind w:left="851" w:hanging="851"/>
        <w:rPr>
          <w:rFonts w:cs="Calibri"/>
        </w:rPr>
      </w:pPr>
      <w:bookmarkStart w:id="67" w:name="_Toc124329965"/>
      <w:r w:rsidRPr="008D2456">
        <w:rPr>
          <w:rFonts w:cs="Calibri"/>
        </w:rPr>
        <w:t>Contexte</w:t>
      </w:r>
      <w:bookmarkEnd w:id="67"/>
    </w:p>
    <w:p w14:paraId="0027BD2A" w14:textId="77777777" w:rsidR="005313ED" w:rsidRDefault="005313ED" w:rsidP="005003C2">
      <w:pPr>
        <w:rPr>
          <w:rFonts w:cs="Calibri"/>
        </w:rPr>
      </w:pPr>
    </w:p>
    <w:p w14:paraId="0F909348" w14:textId="5CD3AF9B" w:rsidR="00E058A7" w:rsidRDefault="00AA550E" w:rsidP="005003C2">
      <w:pPr>
        <w:rPr>
          <w:rFonts w:cs="Calibri"/>
        </w:rPr>
      </w:pPr>
      <w:r w:rsidRPr="009C797D">
        <w:rPr>
          <w:rFonts w:cs="Calibri"/>
        </w:rPr>
        <w:t xml:space="preserve">L’ajustement des tarifs découle du fait qu’Enbridge demande à </w:t>
      </w:r>
      <w:r w:rsidR="00052293" w:rsidRPr="009C797D">
        <w:rPr>
          <w:rFonts w:cs="Calibri"/>
        </w:rPr>
        <w:t>l</w:t>
      </w:r>
      <w:r w:rsidR="00E74EA3" w:rsidRPr="009C797D">
        <w:rPr>
          <w:rFonts w:cs="Calibri"/>
        </w:rPr>
        <w:t>a CÉ</w:t>
      </w:r>
      <w:r w:rsidRPr="009C797D">
        <w:rPr>
          <w:rFonts w:cs="Calibri"/>
        </w:rPr>
        <w:t>O de changer son tarif 200 à tous les trimestres. Depuis la décision D-2002-283</w:t>
      </w:r>
      <w:r>
        <w:rPr>
          <w:rStyle w:val="Appelnotedebasdep"/>
          <w:rFonts w:cs="Calibri"/>
        </w:rPr>
        <w:footnoteReference w:id="55"/>
      </w:r>
      <w:r w:rsidRPr="009C797D">
        <w:rPr>
          <w:rFonts w:cs="Calibri"/>
        </w:rPr>
        <w:t xml:space="preserve">, la procédure d’ajustement </w:t>
      </w:r>
      <w:r w:rsidR="004277D4" w:rsidRPr="009C797D">
        <w:rPr>
          <w:rFonts w:cs="Calibri"/>
        </w:rPr>
        <w:t>des</w:t>
      </w:r>
      <w:r w:rsidRPr="009C797D">
        <w:rPr>
          <w:rFonts w:cs="Calibri"/>
        </w:rPr>
        <w:t xml:space="preserve"> tarifs constitue un suivi administratif résultant des décisions l</w:t>
      </w:r>
      <w:r w:rsidR="00E74EA3" w:rsidRPr="009C797D">
        <w:rPr>
          <w:rFonts w:cs="Calibri"/>
        </w:rPr>
        <w:t>a CÉ</w:t>
      </w:r>
      <w:r w:rsidRPr="009C797D">
        <w:rPr>
          <w:rFonts w:cs="Calibri"/>
        </w:rPr>
        <w:t>O</w:t>
      </w:r>
      <w:r w:rsidR="005313ED">
        <w:rPr>
          <w:rFonts w:cs="Calibri"/>
        </w:rPr>
        <w:t xml:space="preserve">, ou </w:t>
      </w:r>
      <w:r w:rsidR="002871B4">
        <w:rPr>
          <w:rFonts w:cs="Calibri"/>
        </w:rPr>
        <w:t>d’</w:t>
      </w:r>
      <w:r w:rsidR="005313ED">
        <w:rPr>
          <w:rFonts w:cs="Calibri"/>
        </w:rPr>
        <w:t>une autre instance.</w:t>
      </w:r>
    </w:p>
    <w:p w14:paraId="386EEC47" w14:textId="77777777" w:rsidR="005313ED" w:rsidRPr="009C797D" w:rsidRDefault="005313ED" w:rsidP="005003C2">
      <w:pPr>
        <w:rPr>
          <w:rFonts w:cs="Calibri"/>
        </w:rPr>
      </w:pPr>
    </w:p>
    <w:p w14:paraId="126B2DB4" w14:textId="18E67159" w:rsidR="00E058A7" w:rsidRPr="009C797D" w:rsidRDefault="00AA550E" w:rsidP="005003C2">
      <w:pPr>
        <w:rPr>
          <w:rFonts w:cs="Calibri"/>
        </w:rPr>
      </w:pPr>
      <w:r w:rsidRPr="009C797D">
        <w:rPr>
          <w:rFonts w:cs="Calibri"/>
        </w:rPr>
        <w:t xml:space="preserve">Gazifère </w:t>
      </w:r>
      <w:r w:rsidR="004354D1">
        <w:rPr>
          <w:rFonts w:cs="Calibri"/>
        </w:rPr>
        <w:t>transmet</w:t>
      </w:r>
      <w:r w:rsidRPr="009C797D">
        <w:rPr>
          <w:rFonts w:cs="Calibri"/>
        </w:rPr>
        <w:t xml:space="preserve"> une lettre avisant la Régie et les intervenants reconnus qu’une décision rendue</w:t>
      </w:r>
      <w:r w:rsidR="002871B4">
        <w:rPr>
          <w:rFonts w:cs="Calibri"/>
        </w:rPr>
        <w:t xml:space="preserve"> (</w:t>
      </w:r>
      <w:r w:rsidRPr="009C797D">
        <w:rPr>
          <w:rFonts w:cs="Calibri"/>
        </w:rPr>
        <w:t xml:space="preserve">ou à </w:t>
      </w:r>
      <w:r w:rsidR="002871B4">
        <w:rPr>
          <w:rFonts w:cs="Calibri"/>
        </w:rPr>
        <w:t>venir)</w:t>
      </w:r>
      <w:r w:rsidRPr="009C797D">
        <w:rPr>
          <w:rFonts w:cs="Calibri"/>
        </w:rPr>
        <w:t xml:space="preserve"> par une autre instance affecte son coût de service. Dans cette lettre, elle demande à la Régie de lui faire connaître sa position à l’égard de l’ajustement du coût de service et lui indique une date d’échéance afin d’assurer une </w:t>
      </w:r>
      <w:r w:rsidR="004354D1">
        <w:rPr>
          <w:rFonts w:cs="Calibri"/>
        </w:rPr>
        <w:t>applica</w:t>
      </w:r>
      <w:r w:rsidR="004354D1" w:rsidRPr="009C797D">
        <w:rPr>
          <w:rFonts w:cs="Calibri"/>
        </w:rPr>
        <w:t xml:space="preserve">tion </w:t>
      </w:r>
      <w:r w:rsidRPr="009C797D">
        <w:rPr>
          <w:rFonts w:cs="Calibri"/>
        </w:rPr>
        <w:t>en temps opportun des nouveaux tarifs. L</w:t>
      </w:r>
      <w:r w:rsidR="004956CE">
        <w:rPr>
          <w:rFonts w:cs="Calibri"/>
        </w:rPr>
        <w:t>a</w:t>
      </w:r>
      <w:r w:rsidRPr="009C797D">
        <w:rPr>
          <w:rFonts w:cs="Calibri"/>
        </w:rPr>
        <w:t xml:space="preserve"> demande de Gazifère </w:t>
      </w:r>
      <w:r w:rsidR="004956CE">
        <w:rPr>
          <w:rFonts w:cs="Calibri"/>
        </w:rPr>
        <w:t>doit suivre le plus rapidement possible</w:t>
      </w:r>
      <w:r w:rsidRPr="009C797D">
        <w:rPr>
          <w:rFonts w:cs="Calibri"/>
        </w:rPr>
        <w:t xml:space="preserve"> celle d’Enbridge à l</w:t>
      </w:r>
      <w:r w:rsidR="00E74EA3" w:rsidRPr="009C797D">
        <w:rPr>
          <w:rFonts w:cs="Calibri"/>
        </w:rPr>
        <w:t>a CÉ</w:t>
      </w:r>
      <w:r w:rsidRPr="009C797D">
        <w:rPr>
          <w:rFonts w:cs="Calibri"/>
        </w:rPr>
        <w:t xml:space="preserve">O. Enfin, </w:t>
      </w:r>
      <w:r w:rsidR="004354D1">
        <w:rPr>
          <w:rFonts w:cs="Calibri"/>
        </w:rPr>
        <w:t>l’application</w:t>
      </w:r>
      <w:r w:rsidRPr="009C797D">
        <w:rPr>
          <w:rFonts w:cs="Calibri"/>
        </w:rPr>
        <w:t xml:space="preserve"> des nouveaux tarifs n</w:t>
      </w:r>
      <w:r w:rsidR="004354D1">
        <w:rPr>
          <w:rFonts w:cs="Calibri"/>
        </w:rPr>
        <w:t xml:space="preserve">’est effective qu’une fois </w:t>
      </w:r>
      <w:r w:rsidR="00283627">
        <w:rPr>
          <w:rFonts w:cs="Calibri"/>
        </w:rPr>
        <w:t xml:space="preserve">que </w:t>
      </w:r>
      <w:r w:rsidRPr="009C797D">
        <w:rPr>
          <w:rFonts w:cs="Calibri"/>
        </w:rPr>
        <w:t xml:space="preserve">la </w:t>
      </w:r>
      <w:r w:rsidR="004354D1">
        <w:rPr>
          <w:rFonts w:cs="Calibri"/>
        </w:rPr>
        <w:t xml:space="preserve">lettre de la Régie </w:t>
      </w:r>
      <w:r w:rsidR="00283627">
        <w:rPr>
          <w:rFonts w:cs="Calibri"/>
        </w:rPr>
        <w:t xml:space="preserve">portant sur sa </w:t>
      </w:r>
      <w:r w:rsidR="004354D1">
        <w:rPr>
          <w:rFonts w:cs="Calibri"/>
        </w:rPr>
        <w:t xml:space="preserve">décision </w:t>
      </w:r>
      <w:r w:rsidR="00283627">
        <w:rPr>
          <w:rFonts w:cs="Calibri"/>
        </w:rPr>
        <w:t>a été transmise</w:t>
      </w:r>
      <w:r w:rsidRPr="009C797D">
        <w:rPr>
          <w:rFonts w:cs="Calibri"/>
        </w:rPr>
        <w:t>.</w:t>
      </w:r>
    </w:p>
    <w:p w14:paraId="34C50A23" w14:textId="77777777" w:rsidR="005313ED" w:rsidRDefault="005313ED" w:rsidP="00352626">
      <w:pPr>
        <w:rPr>
          <w:rFonts w:eastAsiaTheme="minorHAnsi" w:cs="Calibri"/>
          <w:w w:val="105"/>
          <w:lang w:eastAsia="en-US"/>
        </w:rPr>
      </w:pPr>
    </w:p>
    <w:p w14:paraId="0622BFF4" w14:textId="77777777" w:rsidR="00E058A7" w:rsidRPr="009C797D" w:rsidRDefault="00AA550E" w:rsidP="00352626">
      <w:pPr>
        <w:rPr>
          <w:rFonts w:eastAsiaTheme="minorHAnsi" w:cs="Calibri"/>
          <w:color w:val="181818"/>
          <w:w w:val="105"/>
          <w:lang w:eastAsia="en-US"/>
        </w:rPr>
      </w:pPr>
      <w:r w:rsidRPr="009C797D">
        <w:rPr>
          <w:rFonts w:eastAsiaTheme="minorHAnsi" w:cs="Calibri"/>
          <w:color w:val="181818"/>
          <w:w w:val="105"/>
          <w:lang w:eastAsia="en-US"/>
        </w:rPr>
        <w:t xml:space="preserve">Le </w:t>
      </w:r>
      <w:r w:rsidR="005313ED">
        <w:rPr>
          <w:rFonts w:eastAsiaTheme="minorHAnsi" w:cs="Calibri"/>
          <w:color w:val="181818"/>
          <w:w w:val="105"/>
          <w:lang w:eastAsia="en-US"/>
        </w:rPr>
        <w:t>T</w:t>
      </w:r>
      <w:r w:rsidRPr="009C797D">
        <w:rPr>
          <w:rFonts w:eastAsiaTheme="minorHAnsi" w:cs="Calibri"/>
          <w:color w:val="181818"/>
          <w:w w:val="105"/>
          <w:lang w:eastAsia="en-US"/>
        </w:rPr>
        <w:t>arif 200 modifie les composantes suivantes du coût du gaz</w:t>
      </w:r>
      <w:r w:rsidR="00FC48BE">
        <w:rPr>
          <w:rFonts w:eastAsiaTheme="minorHAnsi" w:cs="Calibri"/>
          <w:color w:val="181818"/>
          <w:w w:val="105"/>
          <w:lang w:eastAsia="en-US"/>
        </w:rPr>
        <w:t xml:space="preserve"> </w:t>
      </w:r>
      <w:r w:rsidRPr="009C797D">
        <w:rPr>
          <w:rFonts w:eastAsiaTheme="minorHAnsi" w:cs="Calibri"/>
          <w:color w:val="181818"/>
          <w:w w:val="105"/>
          <w:lang w:eastAsia="en-US"/>
        </w:rPr>
        <w:t>de Gazifère :</w:t>
      </w:r>
    </w:p>
    <w:p w14:paraId="7E2AA1F1" w14:textId="77777777" w:rsidR="00E058A7" w:rsidRPr="00932496"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heme="minorHAnsi" w:cs="Calibri"/>
          <w:color w:val="181818"/>
          <w:w w:val="105"/>
          <w:sz w:val="24"/>
          <w:szCs w:val="24"/>
        </w:rPr>
      </w:pPr>
      <w:r w:rsidRPr="00932496">
        <w:rPr>
          <w:rFonts w:eastAsiaTheme="minorHAnsi" w:cs="Calibri"/>
          <w:color w:val="181818"/>
          <w:w w:val="105"/>
          <w:sz w:val="24"/>
          <w:szCs w:val="24"/>
        </w:rPr>
        <w:t>Coût de la molécule;</w:t>
      </w:r>
    </w:p>
    <w:p w14:paraId="4493A47E" w14:textId="77777777" w:rsidR="00E058A7" w:rsidRPr="00932496"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Style w:val="texte-courant1"/>
          <w:sz w:val="24"/>
          <w:szCs w:val="24"/>
          <w:lang w:val="fr-FR"/>
        </w:rPr>
      </w:pPr>
      <w:r w:rsidRPr="00932496">
        <w:rPr>
          <w:rStyle w:val="texte-courant1"/>
          <w:sz w:val="24"/>
          <w:szCs w:val="24"/>
          <w:lang w:val="fr-FR"/>
        </w:rPr>
        <w:t>Coût du transport de la molécule selon la provenance du gaz, soit de l’Ouest, de l’Ontario ou de Dawn;</w:t>
      </w:r>
    </w:p>
    <w:p w14:paraId="6F1A5F0C" w14:textId="77777777" w:rsidR="00E058A7" w:rsidRPr="00932496"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Style w:val="texte-courant1"/>
          <w:sz w:val="24"/>
          <w:szCs w:val="24"/>
          <w:lang w:val="fr-FR"/>
        </w:rPr>
      </w:pPr>
      <w:r w:rsidRPr="00932496">
        <w:rPr>
          <w:rStyle w:val="texte-courant1"/>
          <w:sz w:val="24"/>
          <w:szCs w:val="24"/>
          <w:lang w:val="fr-FR"/>
        </w:rPr>
        <w:t>Coût de livraison;</w:t>
      </w:r>
    </w:p>
    <w:p w14:paraId="61BD3110" w14:textId="77777777" w:rsidR="00E058A7" w:rsidRPr="00932496"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Style w:val="texte-courant1"/>
          <w:sz w:val="24"/>
          <w:szCs w:val="24"/>
          <w:lang w:val="fr-FR"/>
        </w:rPr>
      </w:pPr>
      <w:r w:rsidRPr="00932496">
        <w:rPr>
          <w:rStyle w:val="texte-courant1"/>
          <w:sz w:val="24"/>
          <w:szCs w:val="24"/>
          <w:lang w:val="fr-FR"/>
        </w:rPr>
        <w:t>Coût de l’équilibrage;</w:t>
      </w:r>
    </w:p>
    <w:p w14:paraId="32102D9F" w14:textId="58D26D0A" w:rsidR="00E058A7"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Style w:val="texte-courant1"/>
          <w:sz w:val="24"/>
          <w:szCs w:val="24"/>
          <w:lang w:val="fr-FR"/>
        </w:rPr>
      </w:pPr>
      <w:r w:rsidRPr="00932496">
        <w:rPr>
          <w:rStyle w:val="texte-courant1"/>
          <w:sz w:val="24"/>
          <w:szCs w:val="24"/>
          <w:lang w:val="fr-FR"/>
        </w:rPr>
        <w:t>Autres composantes en lien avec la facturation du volume annuel déficitaire.</w:t>
      </w:r>
    </w:p>
    <w:p w14:paraId="1BADF4A6" w14:textId="3C3B99DF" w:rsidR="008D2456" w:rsidRDefault="008D2456" w:rsidP="00352626">
      <w:pPr>
        <w:pStyle w:val="Paragraphedeliste"/>
        <w:autoSpaceDE w:val="0"/>
        <w:autoSpaceDN w:val="0"/>
        <w:adjustRightInd w:val="0"/>
        <w:spacing w:before="0" w:after="0" w:line="264" w:lineRule="auto"/>
        <w:ind w:left="993"/>
        <w:contextualSpacing w:val="0"/>
        <w:jc w:val="both"/>
        <w:rPr>
          <w:rStyle w:val="texte-courant1"/>
          <w:sz w:val="24"/>
          <w:szCs w:val="24"/>
          <w:lang w:val="fr-FR"/>
        </w:rPr>
      </w:pPr>
    </w:p>
    <w:p w14:paraId="558ACD30" w14:textId="77777777" w:rsidR="008D2456" w:rsidRPr="00932496" w:rsidRDefault="008D2456" w:rsidP="00352626">
      <w:pPr>
        <w:pStyle w:val="Paragraphedeliste"/>
        <w:autoSpaceDE w:val="0"/>
        <w:autoSpaceDN w:val="0"/>
        <w:adjustRightInd w:val="0"/>
        <w:spacing w:before="0" w:after="0" w:line="264" w:lineRule="auto"/>
        <w:ind w:left="993"/>
        <w:contextualSpacing w:val="0"/>
        <w:jc w:val="both"/>
        <w:rPr>
          <w:rStyle w:val="texte-courant1"/>
          <w:sz w:val="24"/>
          <w:szCs w:val="24"/>
          <w:lang w:val="fr-FR"/>
        </w:rPr>
      </w:pPr>
    </w:p>
    <w:p w14:paraId="3A64C6E3" w14:textId="77777777" w:rsidR="00667F9C" w:rsidRPr="008D2456" w:rsidRDefault="00AA550E" w:rsidP="00352626">
      <w:pPr>
        <w:pStyle w:val="Titre2"/>
        <w:keepNext/>
        <w:tabs>
          <w:tab w:val="clear" w:pos="709"/>
          <w:tab w:val="num" w:pos="851"/>
        </w:tabs>
        <w:ind w:left="851" w:hanging="851"/>
        <w:rPr>
          <w:rFonts w:cs="Calibri"/>
        </w:rPr>
      </w:pPr>
      <w:bookmarkStart w:id="68" w:name="_Toc124329966"/>
      <w:r w:rsidRPr="008D2456">
        <w:rPr>
          <w:rFonts w:cs="Calibri"/>
        </w:rPr>
        <w:t>Échéanciers</w:t>
      </w:r>
      <w:bookmarkEnd w:id="68"/>
    </w:p>
    <w:p w14:paraId="472ECC14" w14:textId="77777777" w:rsidR="00FC48BE" w:rsidRDefault="00FC48BE" w:rsidP="00352626">
      <w:pPr>
        <w:pStyle w:val="Commentaire"/>
        <w:rPr>
          <w:rFonts w:cs="Calibri"/>
          <w:sz w:val="24"/>
          <w:szCs w:val="26"/>
        </w:rPr>
      </w:pPr>
    </w:p>
    <w:p w14:paraId="6957FE65" w14:textId="77777777" w:rsidR="00490E4A" w:rsidRPr="00FC48BE" w:rsidRDefault="00AA550E" w:rsidP="00352626">
      <w:pPr>
        <w:pStyle w:val="Commentaire"/>
        <w:rPr>
          <w:rFonts w:cs="Calibri"/>
          <w:sz w:val="24"/>
          <w:szCs w:val="26"/>
        </w:rPr>
      </w:pPr>
      <w:r w:rsidRPr="00FC48BE">
        <w:rPr>
          <w:rFonts w:cs="Calibri"/>
          <w:sz w:val="24"/>
          <w:szCs w:val="26"/>
        </w:rPr>
        <w:t>Le calendrier de production est le suivant :</w:t>
      </w:r>
    </w:p>
    <w:p w14:paraId="6FC74E71" w14:textId="77777777" w:rsidR="00490E4A" w:rsidRPr="009C797D" w:rsidRDefault="00490E4A" w:rsidP="00352626">
      <w:pPr>
        <w:pStyle w:val="Commentaire"/>
        <w:rPr>
          <w:rFonts w:cs="Calibri"/>
          <w:sz w:val="26"/>
          <w:szCs w:val="26"/>
        </w:rPr>
      </w:pPr>
    </w:p>
    <w:tbl>
      <w:tblPr>
        <w:tblStyle w:val="TableauGrille1Clair"/>
        <w:tblW w:w="4622" w:type="pct"/>
        <w:tblLook w:val="04A0" w:firstRow="1" w:lastRow="0" w:firstColumn="1" w:lastColumn="0" w:noHBand="0" w:noVBand="1"/>
      </w:tblPr>
      <w:tblGrid>
        <w:gridCol w:w="1610"/>
        <w:gridCol w:w="2416"/>
        <w:gridCol w:w="2118"/>
        <w:gridCol w:w="2542"/>
      </w:tblGrid>
      <w:tr w:rsidR="00DC782D" w14:paraId="738C785D" w14:textId="77777777" w:rsidTr="00DC782D">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000" w:firstRow="0" w:lastRow="0" w:firstColumn="1" w:lastColumn="0" w:oddVBand="0" w:evenVBand="0" w:oddHBand="0" w:evenHBand="0" w:firstRowFirstColumn="0" w:firstRowLastColumn="0" w:lastRowFirstColumn="0" w:lastRowLastColumn="0"/>
            <w:tcW w:w="927" w:type="pct"/>
            <w:vMerge w:val="restart"/>
            <w:vAlign w:val="center"/>
          </w:tcPr>
          <w:p w14:paraId="4C193884" w14:textId="77777777" w:rsidR="00490E4A" w:rsidRPr="009C797D" w:rsidRDefault="00AA550E" w:rsidP="00352626">
            <w:pPr>
              <w:rPr>
                <w:rFonts w:cs="Calibri"/>
              </w:rPr>
            </w:pPr>
            <w:r w:rsidRPr="009C797D">
              <w:rPr>
                <w:rFonts w:cs="Calibri"/>
              </w:rPr>
              <w:lastRenderedPageBreak/>
              <w:t>Période</w:t>
            </w:r>
          </w:p>
        </w:tc>
        <w:tc>
          <w:tcPr>
            <w:tcW w:w="4073" w:type="pct"/>
            <w:gridSpan w:val="3"/>
          </w:tcPr>
          <w:p w14:paraId="7E99F658" w14:textId="77777777" w:rsidR="00490E4A" w:rsidRPr="009C797D" w:rsidRDefault="00AA550E" w:rsidP="00352626">
            <w:pPr>
              <w:cnfStyle w:val="100000000000" w:firstRow="1" w:lastRow="0" w:firstColumn="0" w:lastColumn="0" w:oddVBand="0" w:evenVBand="0" w:oddHBand="0" w:evenHBand="0" w:firstRowFirstColumn="0" w:firstRowLastColumn="0" w:lastRowFirstColumn="0" w:lastRowLastColumn="0"/>
              <w:rPr>
                <w:rFonts w:cs="Calibri"/>
              </w:rPr>
            </w:pPr>
            <w:r w:rsidRPr="009C797D">
              <w:rPr>
                <w:rFonts w:cs="Calibri"/>
              </w:rPr>
              <w:t>Échéancier approximatif</w:t>
            </w:r>
          </w:p>
        </w:tc>
      </w:tr>
      <w:tr w:rsidR="00DC782D" w14:paraId="02209010" w14:textId="77777777" w:rsidTr="00DC782D">
        <w:trPr>
          <w:cnfStyle w:val="100000000000" w:firstRow="1" w:lastRow="0" w:firstColumn="0" w:lastColumn="0" w:oddVBand="0" w:evenVBand="0" w:oddHBand="0" w:evenHBand="0" w:firstRowFirstColumn="0" w:firstRowLastColumn="0" w:lastRowFirstColumn="0" w:lastRowLastColumn="0"/>
          <w:trHeight w:val="170"/>
          <w:tblHeader/>
        </w:trPr>
        <w:tc>
          <w:tcPr>
            <w:cnfStyle w:val="001000000000" w:firstRow="0" w:lastRow="0" w:firstColumn="1" w:lastColumn="0" w:oddVBand="0" w:evenVBand="0" w:oddHBand="0" w:evenHBand="0" w:firstRowFirstColumn="0" w:firstRowLastColumn="0" w:lastRowFirstColumn="0" w:lastRowLastColumn="0"/>
            <w:tcW w:w="927" w:type="pct"/>
            <w:vMerge/>
          </w:tcPr>
          <w:p w14:paraId="6EF2854A" w14:textId="77777777" w:rsidR="00490E4A" w:rsidRPr="009C797D" w:rsidRDefault="00490E4A" w:rsidP="00352626">
            <w:pPr>
              <w:rPr>
                <w:rFonts w:cs="Calibri"/>
              </w:rPr>
            </w:pPr>
          </w:p>
        </w:tc>
        <w:tc>
          <w:tcPr>
            <w:tcW w:w="1391" w:type="pct"/>
            <w:vAlign w:val="center"/>
          </w:tcPr>
          <w:p w14:paraId="68F04B4F" w14:textId="77777777" w:rsidR="00490E4A" w:rsidRPr="009C797D" w:rsidRDefault="00AA550E" w:rsidP="00352626">
            <w:pPr>
              <w:cnfStyle w:val="100000000000" w:firstRow="1" w:lastRow="0" w:firstColumn="0" w:lastColumn="0" w:oddVBand="0" w:evenVBand="0" w:oddHBand="0" w:evenHBand="0" w:firstRowFirstColumn="0" w:firstRowLastColumn="0" w:lastRowFirstColumn="0" w:lastRowLastColumn="0"/>
              <w:rPr>
                <w:rFonts w:cs="Calibri"/>
              </w:rPr>
            </w:pPr>
            <w:r w:rsidRPr="009C797D">
              <w:rPr>
                <w:rFonts w:cs="Calibri"/>
              </w:rPr>
              <w:t>Envoi par Gazifère</w:t>
            </w:r>
          </w:p>
        </w:tc>
        <w:tc>
          <w:tcPr>
            <w:tcW w:w="1219" w:type="pct"/>
            <w:vAlign w:val="center"/>
          </w:tcPr>
          <w:p w14:paraId="65861766" w14:textId="77777777" w:rsidR="00490E4A" w:rsidRPr="009C797D" w:rsidRDefault="00AA550E" w:rsidP="00352626">
            <w:pPr>
              <w:cnfStyle w:val="100000000000" w:firstRow="1" w:lastRow="0" w:firstColumn="0" w:lastColumn="0" w:oddVBand="0" w:evenVBand="0" w:oddHBand="0" w:evenHBand="0" w:firstRowFirstColumn="0" w:firstRowLastColumn="0" w:lastRowFirstColumn="0" w:lastRowLastColumn="0"/>
              <w:rPr>
                <w:rFonts w:cs="Calibri"/>
              </w:rPr>
            </w:pPr>
            <w:r w:rsidRPr="009C797D">
              <w:rPr>
                <w:rFonts w:cs="Calibri"/>
              </w:rPr>
              <w:t>Commentaires des intervenants</w:t>
            </w:r>
          </w:p>
        </w:tc>
        <w:tc>
          <w:tcPr>
            <w:tcW w:w="1463" w:type="pct"/>
            <w:vAlign w:val="center"/>
          </w:tcPr>
          <w:p w14:paraId="643C8E00" w14:textId="77777777" w:rsidR="00490E4A" w:rsidRPr="009C797D" w:rsidRDefault="00AA550E" w:rsidP="00352626">
            <w:pPr>
              <w:cnfStyle w:val="100000000000" w:firstRow="1" w:lastRow="0" w:firstColumn="0" w:lastColumn="0" w:oddVBand="0" w:evenVBand="0" w:oddHBand="0" w:evenHBand="0" w:firstRowFirstColumn="0" w:firstRowLastColumn="0" w:lastRowFirstColumn="0" w:lastRowLastColumn="0"/>
              <w:rPr>
                <w:rFonts w:cs="Calibri"/>
              </w:rPr>
            </w:pPr>
            <w:r w:rsidRPr="009C797D">
              <w:rPr>
                <w:rFonts w:cs="Calibri"/>
              </w:rPr>
              <w:t>Position de la Régie</w:t>
            </w:r>
          </w:p>
        </w:tc>
      </w:tr>
      <w:tr w:rsidR="00DC782D" w14:paraId="1CDCC141" w14:textId="77777777" w:rsidTr="00DC782D">
        <w:trPr>
          <w:trHeight w:val="170"/>
        </w:trPr>
        <w:tc>
          <w:tcPr>
            <w:cnfStyle w:val="001000000000" w:firstRow="0" w:lastRow="0" w:firstColumn="1" w:lastColumn="0" w:oddVBand="0" w:evenVBand="0" w:oddHBand="0" w:evenHBand="0" w:firstRowFirstColumn="0" w:firstRowLastColumn="0" w:lastRowFirstColumn="0" w:lastRowLastColumn="0"/>
            <w:tcW w:w="927" w:type="pct"/>
          </w:tcPr>
          <w:p w14:paraId="3643652B" w14:textId="77777777" w:rsidR="00490E4A" w:rsidRPr="009C797D" w:rsidRDefault="00AA550E" w:rsidP="00352626">
            <w:pPr>
              <w:rPr>
                <w:rFonts w:cs="Calibri"/>
              </w:rPr>
            </w:pPr>
            <w:r w:rsidRPr="009C797D">
              <w:rPr>
                <w:rFonts w:cs="Calibri"/>
              </w:rPr>
              <w:t>Trimestre 1</w:t>
            </w:r>
          </w:p>
        </w:tc>
        <w:tc>
          <w:tcPr>
            <w:tcW w:w="1391" w:type="pct"/>
          </w:tcPr>
          <w:p w14:paraId="528CF4AB"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15 décembre</w:t>
            </w:r>
          </w:p>
        </w:tc>
        <w:tc>
          <w:tcPr>
            <w:tcW w:w="1219" w:type="pct"/>
          </w:tcPr>
          <w:p w14:paraId="049330FF"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20 décembre</w:t>
            </w:r>
          </w:p>
        </w:tc>
        <w:tc>
          <w:tcPr>
            <w:tcW w:w="1463" w:type="pct"/>
          </w:tcPr>
          <w:p w14:paraId="1DCB5731"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22 décembre</w:t>
            </w:r>
          </w:p>
        </w:tc>
      </w:tr>
      <w:tr w:rsidR="00DC782D" w14:paraId="7ACE1F0D" w14:textId="77777777" w:rsidTr="00DC782D">
        <w:trPr>
          <w:trHeight w:val="170"/>
        </w:trPr>
        <w:tc>
          <w:tcPr>
            <w:cnfStyle w:val="001000000000" w:firstRow="0" w:lastRow="0" w:firstColumn="1" w:lastColumn="0" w:oddVBand="0" w:evenVBand="0" w:oddHBand="0" w:evenHBand="0" w:firstRowFirstColumn="0" w:firstRowLastColumn="0" w:lastRowFirstColumn="0" w:lastRowLastColumn="0"/>
            <w:tcW w:w="927" w:type="pct"/>
          </w:tcPr>
          <w:p w14:paraId="5BEE94E8" w14:textId="77777777" w:rsidR="00490E4A" w:rsidRPr="009C797D" w:rsidRDefault="00AA550E" w:rsidP="00352626">
            <w:pPr>
              <w:rPr>
                <w:rFonts w:cs="Calibri"/>
              </w:rPr>
            </w:pPr>
            <w:r w:rsidRPr="009C797D">
              <w:rPr>
                <w:rFonts w:cs="Calibri"/>
              </w:rPr>
              <w:t>Trimestre 2</w:t>
            </w:r>
          </w:p>
        </w:tc>
        <w:tc>
          <w:tcPr>
            <w:tcW w:w="1391" w:type="pct"/>
          </w:tcPr>
          <w:p w14:paraId="6AD36E42"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15 mars</w:t>
            </w:r>
          </w:p>
        </w:tc>
        <w:tc>
          <w:tcPr>
            <w:tcW w:w="1219" w:type="pct"/>
          </w:tcPr>
          <w:p w14:paraId="4C39BBFB"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20 mars</w:t>
            </w:r>
          </w:p>
        </w:tc>
        <w:tc>
          <w:tcPr>
            <w:tcW w:w="1463" w:type="pct"/>
          </w:tcPr>
          <w:p w14:paraId="5DED7C80"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22 mars</w:t>
            </w:r>
          </w:p>
        </w:tc>
      </w:tr>
      <w:tr w:rsidR="00DC782D" w14:paraId="43A25D72" w14:textId="77777777" w:rsidTr="00DC782D">
        <w:trPr>
          <w:trHeight w:val="170"/>
        </w:trPr>
        <w:tc>
          <w:tcPr>
            <w:cnfStyle w:val="001000000000" w:firstRow="0" w:lastRow="0" w:firstColumn="1" w:lastColumn="0" w:oddVBand="0" w:evenVBand="0" w:oddHBand="0" w:evenHBand="0" w:firstRowFirstColumn="0" w:firstRowLastColumn="0" w:lastRowFirstColumn="0" w:lastRowLastColumn="0"/>
            <w:tcW w:w="927" w:type="pct"/>
          </w:tcPr>
          <w:p w14:paraId="508A2CC8" w14:textId="77777777" w:rsidR="00490E4A" w:rsidRPr="009C797D" w:rsidRDefault="00AA550E" w:rsidP="00352626">
            <w:pPr>
              <w:rPr>
                <w:rFonts w:cs="Calibri"/>
              </w:rPr>
            </w:pPr>
            <w:r w:rsidRPr="009C797D">
              <w:rPr>
                <w:rFonts w:cs="Calibri"/>
              </w:rPr>
              <w:t>Trimestre 3</w:t>
            </w:r>
          </w:p>
        </w:tc>
        <w:tc>
          <w:tcPr>
            <w:tcW w:w="1391" w:type="pct"/>
          </w:tcPr>
          <w:p w14:paraId="5FE4E69F"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15 juin</w:t>
            </w:r>
          </w:p>
        </w:tc>
        <w:tc>
          <w:tcPr>
            <w:tcW w:w="1219" w:type="pct"/>
          </w:tcPr>
          <w:p w14:paraId="6B70462A"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20 juin</w:t>
            </w:r>
          </w:p>
        </w:tc>
        <w:tc>
          <w:tcPr>
            <w:tcW w:w="1463" w:type="pct"/>
          </w:tcPr>
          <w:p w14:paraId="4D40A262"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22 juin</w:t>
            </w:r>
          </w:p>
        </w:tc>
      </w:tr>
      <w:tr w:rsidR="00DC782D" w14:paraId="6392181A" w14:textId="77777777" w:rsidTr="00DC782D">
        <w:trPr>
          <w:trHeight w:val="170"/>
        </w:trPr>
        <w:tc>
          <w:tcPr>
            <w:cnfStyle w:val="001000000000" w:firstRow="0" w:lastRow="0" w:firstColumn="1" w:lastColumn="0" w:oddVBand="0" w:evenVBand="0" w:oddHBand="0" w:evenHBand="0" w:firstRowFirstColumn="0" w:firstRowLastColumn="0" w:lastRowFirstColumn="0" w:lastRowLastColumn="0"/>
            <w:tcW w:w="927" w:type="pct"/>
          </w:tcPr>
          <w:p w14:paraId="46E7C212" w14:textId="77777777" w:rsidR="00490E4A" w:rsidRPr="009C797D" w:rsidRDefault="00AA550E" w:rsidP="00352626">
            <w:pPr>
              <w:rPr>
                <w:rFonts w:cs="Calibri"/>
              </w:rPr>
            </w:pPr>
            <w:r w:rsidRPr="009C797D">
              <w:rPr>
                <w:rFonts w:cs="Calibri"/>
              </w:rPr>
              <w:t>Trimestre 4</w:t>
            </w:r>
          </w:p>
        </w:tc>
        <w:tc>
          <w:tcPr>
            <w:tcW w:w="1391" w:type="pct"/>
          </w:tcPr>
          <w:p w14:paraId="440CF658"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15 septembre</w:t>
            </w:r>
          </w:p>
        </w:tc>
        <w:tc>
          <w:tcPr>
            <w:tcW w:w="1219" w:type="pct"/>
          </w:tcPr>
          <w:p w14:paraId="40536496"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20 septembre</w:t>
            </w:r>
          </w:p>
        </w:tc>
        <w:tc>
          <w:tcPr>
            <w:tcW w:w="1463" w:type="pct"/>
          </w:tcPr>
          <w:p w14:paraId="5A46A76E" w14:textId="77777777" w:rsidR="00490E4A" w:rsidRPr="009C797D" w:rsidRDefault="00AA550E" w:rsidP="00352626">
            <w:pPr>
              <w:cnfStyle w:val="000000000000" w:firstRow="0" w:lastRow="0" w:firstColumn="0" w:lastColumn="0" w:oddVBand="0" w:evenVBand="0" w:oddHBand="0" w:evenHBand="0" w:firstRowFirstColumn="0" w:firstRowLastColumn="0" w:lastRowFirstColumn="0" w:lastRowLastColumn="0"/>
              <w:rPr>
                <w:rFonts w:cs="Calibri"/>
              </w:rPr>
            </w:pPr>
            <w:r w:rsidRPr="009C797D">
              <w:rPr>
                <w:rFonts w:cs="Calibri"/>
              </w:rPr>
              <w:t>22 septembre</w:t>
            </w:r>
          </w:p>
        </w:tc>
      </w:tr>
    </w:tbl>
    <w:p w14:paraId="76B381EC" w14:textId="68CC554D" w:rsidR="00667F9C" w:rsidRDefault="00667F9C" w:rsidP="00352626">
      <w:pPr>
        <w:pStyle w:val="Default"/>
        <w:spacing w:before="60" w:after="60" w:line="264" w:lineRule="auto"/>
        <w:jc w:val="both"/>
        <w:rPr>
          <w:rFonts w:ascii="Calibri" w:hAnsi="Calibri" w:cs="Calibri"/>
          <w:color w:val="181818"/>
          <w:sz w:val="26"/>
          <w:szCs w:val="26"/>
        </w:rPr>
      </w:pPr>
    </w:p>
    <w:p w14:paraId="01F16809" w14:textId="77777777" w:rsidR="008D2456" w:rsidRPr="009C797D" w:rsidRDefault="008D2456" w:rsidP="00352626">
      <w:pPr>
        <w:pStyle w:val="Default"/>
        <w:spacing w:before="60" w:after="60" w:line="264" w:lineRule="auto"/>
        <w:jc w:val="both"/>
        <w:rPr>
          <w:rFonts w:ascii="Calibri" w:hAnsi="Calibri" w:cs="Calibri"/>
          <w:color w:val="181818"/>
          <w:sz w:val="26"/>
          <w:szCs w:val="26"/>
        </w:rPr>
      </w:pPr>
    </w:p>
    <w:p w14:paraId="5F8C2AD3" w14:textId="77777777" w:rsidR="00667F9C" w:rsidRPr="008D2456" w:rsidRDefault="00AA550E" w:rsidP="002A040A">
      <w:pPr>
        <w:pStyle w:val="Titre2"/>
        <w:keepNext/>
        <w:tabs>
          <w:tab w:val="clear" w:pos="709"/>
          <w:tab w:val="num" w:pos="851"/>
        </w:tabs>
        <w:ind w:left="851" w:hanging="851"/>
        <w:rPr>
          <w:rFonts w:cs="Calibri"/>
        </w:rPr>
      </w:pPr>
      <w:bookmarkStart w:id="69" w:name="_Toc124329967"/>
      <w:r w:rsidRPr="008D2456">
        <w:rPr>
          <w:rFonts w:cs="Calibri"/>
        </w:rPr>
        <w:t>Exigences générales</w:t>
      </w:r>
      <w:bookmarkEnd w:id="69"/>
    </w:p>
    <w:p w14:paraId="1F53D6AB" w14:textId="77777777" w:rsidR="00667F9C" w:rsidRPr="00FC48BE" w:rsidRDefault="00667F9C" w:rsidP="002A040A">
      <w:pPr>
        <w:keepNext/>
        <w:rPr>
          <w:rFonts w:cs="Calibri"/>
          <w:b/>
          <w:sz w:val="22"/>
        </w:rPr>
      </w:pPr>
    </w:p>
    <w:p w14:paraId="6E5F14D1" w14:textId="77777777" w:rsidR="00667F9C" w:rsidRPr="00932496" w:rsidRDefault="00AA550E" w:rsidP="002A040A">
      <w:pPr>
        <w:pStyle w:val="TitreS2"/>
        <w:keepNext/>
        <w:numPr>
          <w:ilvl w:val="3"/>
          <w:numId w:val="8"/>
        </w:numPr>
        <w:spacing w:before="200" w:after="0"/>
        <w:ind w:left="567" w:hanging="567"/>
        <w:rPr>
          <w:rFonts w:cs="Calibri"/>
          <w:b w:val="0"/>
          <w:sz w:val="24"/>
          <w:szCs w:val="26"/>
        </w:rPr>
      </w:pPr>
      <w:r w:rsidRPr="00932496">
        <w:rPr>
          <w:rFonts w:cs="Calibri"/>
          <w:b w:val="0"/>
          <w:sz w:val="24"/>
          <w:szCs w:val="26"/>
        </w:rPr>
        <w:t xml:space="preserve">Présenter </w:t>
      </w:r>
      <w:r w:rsidR="00490E4A" w:rsidRPr="00932496">
        <w:rPr>
          <w:rFonts w:cs="Calibri"/>
          <w:b w:val="0"/>
          <w:sz w:val="24"/>
          <w:szCs w:val="26"/>
        </w:rPr>
        <w:t xml:space="preserve">la demande accompagnée de ses pièces justificatives </w:t>
      </w:r>
      <w:r w:rsidRPr="00932496">
        <w:rPr>
          <w:rFonts w:cs="Calibri"/>
          <w:b w:val="0"/>
          <w:sz w:val="24"/>
          <w:szCs w:val="26"/>
        </w:rPr>
        <w:t>en format PDF.</w:t>
      </w:r>
    </w:p>
    <w:p w14:paraId="50AE86B1" w14:textId="0C7A7EB4" w:rsidR="00667F9C" w:rsidRPr="00932496" w:rsidRDefault="00AA550E" w:rsidP="002A040A">
      <w:pPr>
        <w:pStyle w:val="TitreS2"/>
        <w:keepNext/>
        <w:numPr>
          <w:ilvl w:val="3"/>
          <w:numId w:val="8"/>
        </w:numPr>
        <w:spacing w:before="200" w:after="0"/>
        <w:ind w:left="567" w:hanging="567"/>
        <w:rPr>
          <w:rFonts w:cs="Calibri"/>
          <w:b w:val="0"/>
          <w:sz w:val="24"/>
          <w:szCs w:val="24"/>
        </w:rPr>
      </w:pPr>
      <w:r w:rsidRPr="00932496">
        <w:rPr>
          <w:rFonts w:cs="Calibri"/>
          <w:b w:val="0"/>
          <w:sz w:val="24"/>
          <w:szCs w:val="24"/>
        </w:rPr>
        <w:t>Fournir également une version en format Excel</w:t>
      </w:r>
      <w:r>
        <w:rPr>
          <w:rStyle w:val="Appelnotedebasdep"/>
          <w:rFonts w:cs="Calibri"/>
          <w:b w:val="0"/>
          <w:sz w:val="24"/>
          <w:szCs w:val="24"/>
        </w:rPr>
        <w:footnoteReference w:id="56"/>
      </w:r>
      <w:r w:rsidRPr="00932496">
        <w:rPr>
          <w:rFonts w:cs="Calibri"/>
          <w:b w:val="0"/>
          <w:sz w:val="24"/>
          <w:szCs w:val="24"/>
        </w:rPr>
        <w:t xml:space="preserve">, incluant les formules, de tous les tableaux. Les fichiers Excel </w:t>
      </w:r>
      <w:r w:rsidR="00415A59" w:rsidRPr="00932496">
        <w:rPr>
          <w:rFonts w:cs="Calibri"/>
          <w:b w:val="0"/>
          <w:sz w:val="24"/>
          <w:szCs w:val="24"/>
        </w:rPr>
        <w:t xml:space="preserve">seront à l’usage exclusif de la </w:t>
      </w:r>
      <w:r w:rsidR="00D65EEB" w:rsidRPr="00932496">
        <w:rPr>
          <w:rFonts w:cs="Calibri"/>
          <w:b w:val="0"/>
          <w:sz w:val="24"/>
          <w:szCs w:val="24"/>
        </w:rPr>
        <w:t>R</w:t>
      </w:r>
      <w:r w:rsidR="00415A59" w:rsidRPr="00932496">
        <w:rPr>
          <w:rFonts w:cs="Calibri"/>
          <w:b w:val="0"/>
          <w:sz w:val="24"/>
          <w:szCs w:val="24"/>
        </w:rPr>
        <w:t xml:space="preserve">égie et </w:t>
      </w:r>
      <w:r w:rsidRPr="00932496">
        <w:rPr>
          <w:rFonts w:cs="Calibri"/>
          <w:b w:val="0"/>
          <w:sz w:val="24"/>
          <w:szCs w:val="24"/>
        </w:rPr>
        <w:t xml:space="preserve">ne seront </w:t>
      </w:r>
      <w:r w:rsidR="00415A59" w:rsidRPr="00932496">
        <w:rPr>
          <w:rFonts w:cs="Calibri"/>
          <w:b w:val="0"/>
          <w:sz w:val="24"/>
          <w:szCs w:val="24"/>
        </w:rPr>
        <w:t xml:space="preserve">donc </w:t>
      </w:r>
      <w:r w:rsidRPr="00932496">
        <w:rPr>
          <w:rFonts w:cs="Calibri"/>
          <w:b w:val="0"/>
          <w:sz w:val="24"/>
          <w:szCs w:val="24"/>
        </w:rPr>
        <w:t xml:space="preserve">pas rendus publiques sur </w:t>
      </w:r>
      <w:r w:rsidR="00415A59" w:rsidRPr="00932496">
        <w:rPr>
          <w:rFonts w:cs="Calibri"/>
          <w:b w:val="0"/>
          <w:sz w:val="24"/>
          <w:szCs w:val="24"/>
        </w:rPr>
        <w:t>son</w:t>
      </w:r>
      <w:r w:rsidRPr="00932496">
        <w:rPr>
          <w:rFonts w:cs="Calibri"/>
          <w:b w:val="0"/>
          <w:sz w:val="24"/>
          <w:szCs w:val="24"/>
        </w:rPr>
        <w:t xml:space="preserve"> site internet.</w:t>
      </w:r>
    </w:p>
    <w:p w14:paraId="52721C60" w14:textId="77777777" w:rsidR="002871B4" w:rsidRDefault="002871B4" w:rsidP="00352626">
      <w:pPr>
        <w:autoSpaceDE w:val="0"/>
        <w:autoSpaceDN w:val="0"/>
        <w:adjustRightInd w:val="0"/>
        <w:rPr>
          <w:rFonts w:cs="Calibri"/>
        </w:rPr>
      </w:pPr>
    </w:p>
    <w:p w14:paraId="7EB7742D" w14:textId="77777777" w:rsidR="002871B4" w:rsidRPr="002871B4" w:rsidRDefault="002871B4" w:rsidP="00352626">
      <w:pPr>
        <w:autoSpaceDE w:val="0"/>
        <w:autoSpaceDN w:val="0"/>
        <w:adjustRightInd w:val="0"/>
        <w:rPr>
          <w:rFonts w:cs="Calibri"/>
        </w:rPr>
      </w:pPr>
    </w:p>
    <w:p w14:paraId="5EF0D25D" w14:textId="77777777" w:rsidR="00667F9C" w:rsidRPr="009C797D" w:rsidRDefault="00AA550E" w:rsidP="00352626">
      <w:pPr>
        <w:pStyle w:val="Titre2"/>
        <w:keepNext/>
        <w:tabs>
          <w:tab w:val="clear" w:pos="709"/>
          <w:tab w:val="num" w:pos="851"/>
        </w:tabs>
        <w:ind w:left="851" w:hanging="851"/>
        <w:rPr>
          <w:rFonts w:cs="Calibri"/>
        </w:rPr>
      </w:pPr>
      <w:bookmarkStart w:id="70" w:name="_Toc124329968"/>
      <w:r w:rsidRPr="009C797D">
        <w:rPr>
          <w:rFonts w:cs="Calibri"/>
        </w:rPr>
        <w:t>Informations requises</w:t>
      </w:r>
      <w:bookmarkEnd w:id="70"/>
    </w:p>
    <w:p w14:paraId="57C328E7" w14:textId="77777777" w:rsidR="00667F9C" w:rsidRPr="009C797D" w:rsidRDefault="00667F9C" w:rsidP="00352626">
      <w:pPr>
        <w:autoSpaceDE w:val="0"/>
        <w:autoSpaceDN w:val="0"/>
        <w:adjustRightInd w:val="0"/>
        <w:rPr>
          <w:rFonts w:cs="Calibri"/>
        </w:rPr>
      </w:pPr>
      <w:bookmarkStart w:id="71" w:name="_Toc43611392"/>
      <w:bookmarkStart w:id="72" w:name="_Toc43612989"/>
      <w:bookmarkStart w:id="73" w:name="_Toc43715355"/>
      <w:bookmarkStart w:id="74" w:name="_Toc43715412"/>
      <w:bookmarkStart w:id="75" w:name="_Toc43715454"/>
      <w:bookmarkStart w:id="76" w:name="_Toc43715505"/>
      <w:bookmarkStart w:id="77" w:name="_Toc43715610"/>
      <w:bookmarkStart w:id="78" w:name="_Toc43716127"/>
      <w:bookmarkStart w:id="79" w:name="_Toc260235809"/>
      <w:bookmarkStart w:id="80" w:name="_Toc261254665"/>
      <w:bookmarkStart w:id="81" w:name="_Toc261254769"/>
      <w:bookmarkStart w:id="82" w:name="_Toc261255220"/>
      <w:bookmarkStart w:id="83" w:name="_Toc261255258"/>
    </w:p>
    <w:p w14:paraId="75050E11" w14:textId="0CEC73FD" w:rsidR="00901FAF" w:rsidRPr="003C02A0" w:rsidRDefault="00AA550E" w:rsidP="00352626">
      <w:pPr>
        <w:widowControl w:val="0"/>
        <w:autoSpaceDE w:val="0"/>
        <w:autoSpaceDN w:val="0"/>
        <w:adjustRightInd w:val="0"/>
        <w:rPr>
          <w:rFonts w:cs="Calibri"/>
          <w:szCs w:val="24"/>
        </w:rPr>
      </w:pPr>
      <w:r w:rsidRPr="003C02A0">
        <w:rPr>
          <w:rFonts w:cs="Calibri"/>
          <w:szCs w:val="24"/>
        </w:rPr>
        <w:t>Fournir les pièces justificatives ci-dessous pour l’ajustement du coût du gaz trimestriel</w:t>
      </w:r>
      <w:r>
        <w:rPr>
          <w:rStyle w:val="Appelnotedebasdep"/>
          <w:rFonts w:cs="Calibri"/>
          <w:szCs w:val="24"/>
        </w:rPr>
        <w:footnoteReference w:id="57"/>
      </w:r>
      <w:r w:rsidR="00932496">
        <w:rPr>
          <w:rFonts w:cs="Calibri"/>
          <w:szCs w:val="24"/>
        </w:rPr>
        <w:t> :</w:t>
      </w:r>
    </w:p>
    <w:tbl>
      <w:tblPr>
        <w:tblW w:w="4976" w:type="pct"/>
        <w:tblCellMar>
          <w:left w:w="28" w:type="dxa"/>
          <w:right w:w="28" w:type="dxa"/>
        </w:tblCellMar>
        <w:tblLook w:val="04A0" w:firstRow="1" w:lastRow="0" w:firstColumn="1" w:lastColumn="0" w:noHBand="0" w:noVBand="1"/>
      </w:tblPr>
      <w:tblGrid>
        <w:gridCol w:w="9361"/>
      </w:tblGrid>
      <w:tr w:rsidR="00DC782D" w14:paraId="7E436EF0" w14:textId="77777777" w:rsidTr="002871B4">
        <w:trPr>
          <w:trHeight w:val="255"/>
        </w:trPr>
        <w:tc>
          <w:tcPr>
            <w:tcW w:w="5000" w:type="pct"/>
          </w:tcPr>
          <w:p w14:paraId="15D74374" w14:textId="4FD0048F"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Présenter un sommaire des changements en fournissant des précisions sur le tarif 200, sur la mise-à-jour du cavalier tarifaire C et, le cas échéant sur les autres cavaliers tarifaires, sur les liquidation</w:t>
            </w:r>
            <w:r w:rsidR="002071B7">
              <w:rPr>
                <w:rFonts w:cs="Calibri"/>
                <w:b w:val="0"/>
                <w:sz w:val="24"/>
                <w:szCs w:val="24"/>
              </w:rPr>
              <w:t>s</w:t>
            </w:r>
            <w:r w:rsidRPr="003C02A0">
              <w:rPr>
                <w:rFonts w:cs="Calibri"/>
                <w:b w:val="0"/>
                <w:sz w:val="24"/>
                <w:szCs w:val="24"/>
              </w:rPr>
              <w:t xml:space="preserve"> des comptes différés et toute autre modification affectant les clients du tarifs 200 d’Enbridge.</w:t>
            </w:r>
          </w:p>
        </w:tc>
      </w:tr>
      <w:tr w:rsidR="00DC782D" w14:paraId="4ED460EB" w14:textId="77777777" w:rsidTr="002871B4">
        <w:trPr>
          <w:trHeight w:val="255"/>
        </w:trPr>
        <w:tc>
          <w:tcPr>
            <w:tcW w:w="5000" w:type="pct"/>
          </w:tcPr>
          <w:p w14:paraId="7C03D70F"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Présenter l’impact unitaire sur les tarifs résultant de la variation du Tarif 200 d’Enbridge et fournir :</w:t>
            </w:r>
          </w:p>
          <w:p w14:paraId="3A5E4D9D"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 xml:space="preserve">Le calcul de l’impact sur le coût du gaz de Gazifère. Présenter les résultats totaux ainsi que ventilés par classe tarifaire et par composante (fourniture, transport et </w:t>
            </w:r>
            <w:r w:rsidRPr="003C02A0">
              <w:rPr>
                <w:rFonts w:cs="Calibri"/>
                <w:sz w:val="24"/>
                <w:szCs w:val="24"/>
              </w:rPr>
              <w:lastRenderedPageBreak/>
              <w:t>distribution), à partir des facteurs d’allocation approuvée par la Régie lors de la dernière étude d’allocation du coût de service;</w:t>
            </w:r>
          </w:p>
        </w:tc>
      </w:tr>
      <w:tr w:rsidR="00DC782D" w14:paraId="6CE45F78" w14:textId="77777777" w:rsidTr="002871B4">
        <w:trPr>
          <w:trHeight w:val="255"/>
        </w:trPr>
        <w:tc>
          <w:tcPr>
            <w:tcW w:w="5000" w:type="pct"/>
          </w:tcPr>
          <w:p w14:paraId="4496EBE4"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lastRenderedPageBreak/>
              <w:t>Le coût du gaz selon le tarif 200 pour le nouveau tarif et pour celui en vigueur. Présenter les résultats ventilés par composante (fourniture, transport, équilibrage et distribution) et par mois;</w:t>
            </w:r>
          </w:p>
        </w:tc>
      </w:tr>
      <w:tr w:rsidR="00DC782D" w14:paraId="06E9E369" w14:textId="77777777" w:rsidTr="002871B4">
        <w:trPr>
          <w:trHeight w:val="255"/>
        </w:trPr>
        <w:tc>
          <w:tcPr>
            <w:tcW w:w="5000" w:type="pct"/>
          </w:tcPr>
          <w:p w14:paraId="102F700A"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Le calcul des nouveaux tarifs, composés des tarifs en vigueurs et des ajustements proposés, ventilés par classe tarifaire et taux par point de mesurage;</w:t>
            </w:r>
          </w:p>
        </w:tc>
      </w:tr>
      <w:tr w:rsidR="00DC782D" w14:paraId="1B0FF69A" w14:textId="77777777" w:rsidTr="002871B4">
        <w:trPr>
          <w:trHeight w:val="255"/>
        </w:trPr>
        <w:tc>
          <w:tcPr>
            <w:tcW w:w="5000" w:type="pct"/>
          </w:tcPr>
          <w:p w14:paraId="55C5FA53"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L’impact, par classe tarifaire, sur :</w:t>
            </w:r>
          </w:p>
          <w:p w14:paraId="2721316C" w14:textId="77777777" w:rsidR="002871B4" w:rsidRPr="003C02A0" w:rsidRDefault="00AA550E" w:rsidP="00352626">
            <w:pPr>
              <w:pStyle w:val="Commentaire"/>
              <w:numPr>
                <w:ilvl w:val="1"/>
                <w:numId w:val="15"/>
              </w:numPr>
              <w:ind w:right="261"/>
              <w:rPr>
                <w:rFonts w:cs="Calibri"/>
                <w:sz w:val="24"/>
                <w:szCs w:val="24"/>
              </w:rPr>
            </w:pPr>
            <w:r w:rsidRPr="003C02A0">
              <w:rPr>
                <w:rFonts w:cs="Calibri"/>
                <w:sz w:val="24"/>
                <w:szCs w:val="24"/>
              </w:rPr>
              <w:t>la facturation du volume annuel déficitaire;</w:t>
            </w:r>
          </w:p>
          <w:p w14:paraId="3F71CBF5" w14:textId="77777777" w:rsidR="002871B4" w:rsidRPr="003C02A0" w:rsidRDefault="00AA550E" w:rsidP="00352626">
            <w:pPr>
              <w:pStyle w:val="Commentaire"/>
              <w:numPr>
                <w:ilvl w:val="1"/>
                <w:numId w:val="15"/>
              </w:numPr>
              <w:ind w:right="261"/>
              <w:rPr>
                <w:rFonts w:cs="Calibri"/>
                <w:sz w:val="24"/>
                <w:szCs w:val="24"/>
              </w:rPr>
            </w:pPr>
            <w:r w:rsidRPr="003C02A0">
              <w:rPr>
                <w:rFonts w:cs="Calibri"/>
                <w:sz w:val="24"/>
                <w:szCs w:val="24"/>
              </w:rPr>
              <w:t>l’imputation au prorata de tout montant facturé à Gazifère en vertu d’une obligation annuelle minimale;</w:t>
            </w:r>
          </w:p>
          <w:p w14:paraId="0BAA5A09" w14:textId="77777777" w:rsidR="002871B4" w:rsidRPr="003C02A0" w:rsidRDefault="00AA550E" w:rsidP="00352626">
            <w:pPr>
              <w:pStyle w:val="Commentaire"/>
              <w:numPr>
                <w:ilvl w:val="1"/>
                <w:numId w:val="15"/>
              </w:numPr>
              <w:ind w:right="261"/>
              <w:rPr>
                <w:rFonts w:cs="Calibri"/>
                <w:sz w:val="24"/>
                <w:szCs w:val="24"/>
              </w:rPr>
            </w:pPr>
            <w:r w:rsidRPr="003C02A0">
              <w:rPr>
                <w:rFonts w:cs="Calibri"/>
                <w:sz w:val="24"/>
                <w:szCs w:val="24"/>
              </w:rPr>
              <w:t>le volume excédentaire;</w:t>
            </w:r>
          </w:p>
          <w:p w14:paraId="214CD18E" w14:textId="77777777" w:rsidR="002871B4" w:rsidRPr="003C02A0" w:rsidRDefault="00AA550E" w:rsidP="00352626">
            <w:pPr>
              <w:pStyle w:val="Commentaire"/>
              <w:numPr>
                <w:ilvl w:val="1"/>
                <w:numId w:val="15"/>
              </w:numPr>
              <w:ind w:right="261"/>
              <w:rPr>
                <w:rFonts w:cs="Calibri"/>
                <w:sz w:val="24"/>
                <w:szCs w:val="24"/>
              </w:rPr>
            </w:pPr>
            <w:r w:rsidRPr="003C02A0">
              <w:rPr>
                <w:rFonts w:cs="Calibri"/>
                <w:sz w:val="24"/>
                <w:szCs w:val="24"/>
              </w:rPr>
              <w:t>le crédit service-T.</w:t>
            </w:r>
          </w:p>
        </w:tc>
      </w:tr>
      <w:tr w:rsidR="00DC782D" w14:paraId="58F1D039" w14:textId="77777777" w:rsidTr="002871B4">
        <w:trPr>
          <w:trHeight w:val="255"/>
        </w:trPr>
        <w:tc>
          <w:tcPr>
            <w:tcW w:w="5000" w:type="pct"/>
          </w:tcPr>
          <w:p w14:paraId="4E742665"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Présenter les taux unitaires et les revenus relatifs, selon les tarifs proposés et ceux en vigueur, ventilés par composante et par classe tarifaire.</w:t>
            </w:r>
          </w:p>
        </w:tc>
      </w:tr>
      <w:tr w:rsidR="00DC782D" w14:paraId="2E926959" w14:textId="77777777" w:rsidTr="002871B4">
        <w:trPr>
          <w:trHeight w:val="255"/>
        </w:trPr>
        <w:tc>
          <w:tcPr>
            <w:tcW w:w="5000" w:type="pct"/>
          </w:tcPr>
          <w:p w14:paraId="4FCE0B40"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Illustrer l’écart entre les revenus totaux des composantes résultant de la variation du Tarif 200, ainsi que l’écart des taux unitaires, par tarif et composante, résultant de la variation du Tarif 200.</w:t>
            </w:r>
          </w:p>
        </w:tc>
      </w:tr>
      <w:tr w:rsidR="00DC782D" w14:paraId="72CF5B43" w14:textId="77777777" w:rsidTr="002871B4">
        <w:trPr>
          <w:trHeight w:val="255"/>
        </w:trPr>
        <w:tc>
          <w:tcPr>
            <w:tcW w:w="5000" w:type="pct"/>
          </w:tcPr>
          <w:p w14:paraId="41E03FAB"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Présenter les ajustements aux taux unitaires du cavalier tarifaire d’Enbridge (Cavalier tarifaire C). À cet effet, fournir les résultats ventilés :</w:t>
            </w:r>
          </w:p>
          <w:p w14:paraId="52F74FC6"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eastAsia="Times New Roman" w:cs="Calibri"/>
                <w:sz w:val="24"/>
                <w:szCs w:val="24"/>
                <w:lang w:eastAsia="fr-FR"/>
              </w:rPr>
              <w:t>par classe tarifaire et type de service du client (Service de vente, Service-T de l’Ouest, Service-T de l’Ontario et Service-T de Dawn);</w:t>
            </w:r>
          </w:p>
          <w:p w14:paraId="74BC31CC"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eastAsia="Times New Roman" w:cs="Calibri"/>
                <w:sz w:val="24"/>
                <w:szCs w:val="24"/>
                <w:lang w:eastAsia="fr-FR"/>
              </w:rPr>
              <w:t>par classe tarifaire et composante.</w:t>
            </w:r>
          </w:p>
        </w:tc>
      </w:tr>
      <w:tr w:rsidR="00DC782D" w14:paraId="7667B757" w14:textId="77777777" w:rsidTr="002871B4">
        <w:trPr>
          <w:trHeight w:val="255"/>
        </w:trPr>
        <w:tc>
          <w:tcPr>
            <w:tcW w:w="5000" w:type="pct"/>
          </w:tcPr>
          <w:p w14:paraId="17ED18CC" w14:textId="47EF5398"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 xml:space="preserve">Le cas échéant, présenter le calcul détaillé du (ou des) Cavalier(s) tarifaire(s) E, soit l’impact tarifaire découlant </w:t>
            </w:r>
            <w:r w:rsidR="00932496">
              <w:rPr>
                <w:rFonts w:cs="Calibri"/>
                <w:b w:val="0"/>
                <w:sz w:val="24"/>
                <w:szCs w:val="24"/>
              </w:rPr>
              <w:t xml:space="preserve">de ou du </w:t>
            </w:r>
            <w:r w:rsidRPr="003C02A0">
              <w:rPr>
                <w:rFonts w:cs="Calibri"/>
                <w:b w:val="0"/>
                <w:sz w:val="24"/>
                <w:szCs w:val="24"/>
              </w:rPr>
              <w:t>:</w:t>
            </w:r>
          </w:p>
          <w:p w14:paraId="7DDCFC88" w14:textId="564F31E0"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la liquidation des comptes différés d’Enbridge;</w:t>
            </w:r>
          </w:p>
          <w:p w14:paraId="21D0F6FA" w14:textId="04668EB4"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toute autre modification tarifaire affectant les clients du tarifs 200 d’Enbridge;</w:t>
            </w:r>
          </w:p>
          <w:p w14:paraId="689F9B2D" w14:textId="4EAEB84A"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la liquidation des comptes différés de Gazifère;</w:t>
            </w:r>
          </w:p>
          <w:p w14:paraId="4E10FCB1" w14:textId="28E7B3CD"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eastAsia="Times New Roman" w:cs="Calibri"/>
                <w:sz w:val="24"/>
                <w:szCs w:val="24"/>
                <w:lang w:eastAsia="fr-FR"/>
              </w:rPr>
              <w:t>la liquidation du compte d’ajustement du coût du gaz naturel par Gazifère;</w:t>
            </w:r>
          </w:p>
          <w:p w14:paraId="7CBAE8FD" w14:textId="3BF80E6D"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eastAsia="Times New Roman" w:cs="Calibri"/>
                <w:sz w:val="24"/>
                <w:szCs w:val="24"/>
                <w:lang w:eastAsia="fr-FR"/>
              </w:rPr>
              <w:t>l’application de tarifs provisoires par Gazifère;</w:t>
            </w:r>
          </w:p>
          <w:p w14:paraId="2989382F" w14:textId="5B72E14D"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Système québécois de plafonnement et d’échange de droits d’émission (SPEDE);</w:t>
            </w:r>
          </w:p>
          <w:p w14:paraId="103D29BC" w14:textId="5CDCBA6E"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surcoût relié à la consommation de G</w:t>
            </w:r>
            <w:r w:rsidR="002A040A">
              <w:rPr>
                <w:rFonts w:eastAsia="Times New Roman" w:cs="Calibri"/>
                <w:sz w:val="24"/>
                <w:szCs w:val="24"/>
                <w:lang w:eastAsia="fr-FR"/>
              </w:rPr>
              <w:t>S</w:t>
            </w:r>
            <w:r w:rsidRPr="003C02A0">
              <w:rPr>
                <w:rFonts w:eastAsia="Times New Roman" w:cs="Calibri"/>
                <w:sz w:val="24"/>
                <w:szCs w:val="24"/>
                <w:lang w:eastAsia="fr-FR"/>
              </w:rPr>
              <w:t>R;</w:t>
            </w:r>
          </w:p>
          <w:p w14:paraId="1576CFCA" w14:textId="5911AFD6"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t>tout autre ajustement de revenu.</w:t>
            </w:r>
          </w:p>
          <w:p w14:paraId="0A0E3E98" w14:textId="77777777" w:rsidR="002871B4" w:rsidRPr="003C02A0" w:rsidRDefault="002871B4" w:rsidP="00352626">
            <w:pPr>
              <w:rPr>
                <w:rFonts w:cs="Calibri"/>
                <w:szCs w:val="24"/>
              </w:rPr>
            </w:pPr>
          </w:p>
          <w:p w14:paraId="5F840843"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Présenter un sommaire de l’impact ainsi qu’une ventilation des résultats par :</w:t>
            </w:r>
          </w:p>
          <w:p w14:paraId="673DD146"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eastAsia="Times New Roman" w:cs="Calibri"/>
                <w:sz w:val="24"/>
                <w:szCs w:val="24"/>
                <w:lang w:eastAsia="fr-FR"/>
              </w:rPr>
            </w:pPr>
            <w:r w:rsidRPr="003C02A0">
              <w:rPr>
                <w:rFonts w:eastAsia="Times New Roman" w:cs="Calibri"/>
                <w:sz w:val="24"/>
                <w:szCs w:val="24"/>
                <w:lang w:eastAsia="fr-FR"/>
              </w:rPr>
              <w:lastRenderedPageBreak/>
              <w:t>classe tarifaire et type de service du client;</w:t>
            </w:r>
          </w:p>
          <w:p w14:paraId="49924997"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eastAsia="Times New Roman" w:cs="Calibri"/>
                <w:sz w:val="24"/>
                <w:szCs w:val="24"/>
                <w:lang w:eastAsia="fr-FR"/>
              </w:rPr>
              <w:t>classe tarifaire et composante.</w:t>
            </w:r>
          </w:p>
          <w:p w14:paraId="0C1DF38F" w14:textId="77777777" w:rsidR="002871B4" w:rsidRPr="003C02A0" w:rsidRDefault="002871B4" w:rsidP="00352626">
            <w:pPr>
              <w:rPr>
                <w:rFonts w:cs="Calibri"/>
                <w:szCs w:val="24"/>
              </w:rPr>
            </w:pPr>
          </w:p>
          <w:p w14:paraId="74157649"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Le cas échéant, présenter un suivi concernant la liquidation des écarts de revenus découlant de l’application des tarifs provisoires.</w:t>
            </w:r>
          </w:p>
        </w:tc>
      </w:tr>
      <w:tr w:rsidR="00DC782D" w14:paraId="56001ACC" w14:textId="77777777" w:rsidTr="002871B4">
        <w:trPr>
          <w:trHeight w:val="255"/>
        </w:trPr>
        <w:tc>
          <w:tcPr>
            <w:tcW w:w="5000" w:type="pct"/>
          </w:tcPr>
          <w:p w14:paraId="03F1894F"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lastRenderedPageBreak/>
              <w:t>Fournir une copie des documents d’Enbridge déposés à la CÉO dans le cadre de sa requête, soit :</w:t>
            </w:r>
          </w:p>
          <w:p w14:paraId="642D432F"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Lettre de transmission d’Enbridge demandant l'ajustement des taux auprès de la CÉO;</w:t>
            </w:r>
          </w:p>
          <w:p w14:paraId="377757B6"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Requête d’Enbridge auprès de la CÉO pour l’ajustement des taux;</w:t>
            </w:r>
          </w:p>
          <w:p w14:paraId="786CC1B2"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Description de l’impact des ajustements par zones de service sur le revenu requis;</w:t>
            </w:r>
          </w:p>
          <w:p w14:paraId="7F4FCF08"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Tarif 200;</w:t>
            </w:r>
          </w:p>
          <w:p w14:paraId="33C67266" w14:textId="77777777" w:rsidR="002871B4" w:rsidRPr="003C02A0" w:rsidRDefault="00AA550E" w:rsidP="00352626">
            <w:pPr>
              <w:pStyle w:val="Paragraphedeliste"/>
              <w:numPr>
                <w:ilvl w:val="0"/>
                <w:numId w:val="18"/>
              </w:numPr>
              <w:autoSpaceDE w:val="0"/>
              <w:autoSpaceDN w:val="0"/>
              <w:adjustRightInd w:val="0"/>
              <w:spacing w:before="0" w:after="0" w:line="264" w:lineRule="auto"/>
              <w:ind w:left="993" w:hanging="426"/>
              <w:contextualSpacing w:val="0"/>
              <w:jc w:val="both"/>
              <w:rPr>
                <w:rFonts w:cs="Calibri"/>
                <w:sz w:val="24"/>
                <w:szCs w:val="24"/>
              </w:rPr>
            </w:pPr>
            <w:r w:rsidRPr="003C02A0">
              <w:rPr>
                <w:rFonts w:cs="Calibri"/>
                <w:sz w:val="24"/>
                <w:szCs w:val="24"/>
              </w:rPr>
              <w:t>Cavaliers tarifaires</w:t>
            </w:r>
            <w:r w:rsidRPr="003C02A0">
              <w:rPr>
                <w:rFonts w:cs="Calibri"/>
                <w:iCs/>
                <w:sz w:val="24"/>
                <w:szCs w:val="24"/>
              </w:rPr>
              <w:t>;</w:t>
            </w:r>
          </w:p>
          <w:p w14:paraId="5F1F7CB5" w14:textId="77777777" w:rsidR="002871B4" w:rsidRPr="003C02A0" w:rsidRDefault="00AA550E" w:rsidP="00352626">
            <w:pPr>
              <w:pStyle w:val="TitreS2"/>
              <w:numPr>
                <w:ilvl w:val="3"/>
                <w:numId w:val="8"/>
              </w:numPr>
              <w:spacing w:before="200" w:after="0"/>
              <w:ind w:left="567" w:hanging="567"/>
              <w:rPr>
                <w:rFonts w:cs="Calibri"/>
                <w:b w:val="0"/>
                <w:sz w:val="24"/>
                <w:szCs w:val="24"/>
              </w:rPr>
            </w:pPr>
            <w:r w:rsidRPr="003C02A0">
              <w:rPr>
                <w:rFonts w:cs="Calibri"/>
                <w:b w:val="0"/>
                <w:sz w:val="24"/>
                <w:szCs w:val="24"/>
              </w:rPr>
              <w:t>Sommaire des ajustements unitaires par type de service et classe tarifaire pour chaque composante du coût du gaz.</w:t>
            </w:r>
          </w:p>
        </w:tc>
      </w:tr>
      <w:tr w:rsidR="00DC782D" w14:paraId="6C393846" w14:textId="77777777" w:rsidTr="002871B4">
        <w:trPr>
          <w:trHeight w:val="255"/>
        </w:trPr>
        <w:tc>
          <w:tcPr>
            <w:tcW w:w="5000" w:type="pct"/>
          </w:tcPr>
          <w:p w14:paraId="5D10E54A" w14:textId="0D1EA95C" w:rsidR="002871B4" w:rsidRPr="003C02A0" w:rsidRDefault="001D100C" w:rsidP="00352626">
            <w:pPr>
              <w:pStyle w:val="TitreS2"/>
              <w:numPr>
                <w:ilvl w:val="3"/>
                <w:numId w:val="8"/>
              </w:numPr>
              <w:spacing w:before="200" w:after="0"/>
              <w:ind w:left="567" w:hanging="567"/>
              <w:rPr>
                <w:rFonts w:cs="Calibri"/>
                <w:b w:val="0"/>
                <w:sz w:val="24"/>
                <w:szCs w:val="24"/>
              </w:rPr>
            </w:pPr>
            <w:r>
              <w:rPr>
                <w:rFonts w:cs="Calibri"/>
                <w:b w:val="0"/>
                <w:sz w:val="24"/>
                <w:szCs w:val="24"/>
              </w:rPr>
              <w:t>Transmettre</w:t>
            </w:r>
            <w:r w:rsidRPr="003C02A0">
              <w:rPr>
                <w:rFonts w:cs="Calibri"/>
                <w:b w:val="0"/>
                <w:sz w:val="24"/>
                <w:szCs w:val="24"/>
              </w:rPr>
              <w:t xml:space="preserve"> </w:t>
            </w:r>
            <w:r w:rsidR="00AA550E" w:rsidRPr="003C02A0">
              <w:rPr>
                <w:rFonts w:cs="Calibri"/>
                <w:b w:val="0"/>
                <w:sz w:val="24"/>
                <w:szCs w:val="24"/>
              </w:rPr>
              <w:t>une copie de la décision rendue par la CÉO.</w:t>
            </w:r>
          </w:p>
        </w:tc>
      </w:tr>
    </w:tbl>
    <w:p w14:paraId="6A30C0F3" w14:textId="77777777" w:rsidR="009E1C25" w:rsidRPr="009C797D" w:rsidRDefault="009E1C25" w:rsidP="00352626">
      <w:pPr>
        <w:rPr>
          <w:rFonts w:cs="Calibri"/>
        </w:rPr>
      </w:pPr>
    </w:p>
    <w:p w14:paraId="6B671D4A" w14:textId="1FE71320" w:rsidR="009E1C25" w:rsidRPr="009C797D" w:rsidRDefault="009E1C25" w:rsidP="00352626">
      <w:pPr>
        <w:spacing w:line="240" w:lineRule="auto"/>
        <w:rPr>
          <w:rFonts w:cs="Calibri"/>
          <w:b/>
          <w:bCs/>
          <w:caps/>
          <w:kern w:val="32"/>
          <w:sz w:val="28"/>
          <w:szCs w:val="24"/>
          <w:u w:val="dottedHeavy" w:color="808080"/>
        </w:rPr>
      </w:pPr>
    </w:p>
    <w:p w14:paraId="6DDB991D" w14:textId="0C7B5BEE" w:rsidR="00026D0A" w:rsidRPr="009C797D" w:rsidRDefault="00AA550E" w:rsidP="00352626">
      <w:pPr>
        <w:pStyle w:val="Titre1"/>
        <w:rPr>
          <w:rFonts w:cs="Calibri"/>
        </w:rPr>
      </w:pPr>
      <w:bookmarkStart w:id="84" w:name="_Toc124329969"/>
      <w:r>
        <w:rPr>
          <w:rFonts w:cs="Calibri"/>
        </w:rPr>
        <w:t>PLAINTE</w:t>
      </w:r>
      <w:r w:rsidR="0043540E">
        <w:rPr>
          <w:rFonts w:cs="Calibri"/>
        </w:rPr>
        <w:t>S</w:t>
      </w:r>
      <w:r>
        <w:rPr>
          <w:rFonts w:cs="Calibri"/>
        </w:rPr>
        <w:t xml:space="preserve"> DES CONSOMMATEURS</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C8DE9D8" w14:textId="59E402B1" w:rsidR="00026D0A" w:rsidRDefault="00026D0A" w:rsidP="00352626">
      <w:pPr>
        <w:pStyle w:val="Paragraphedeliste"/>
        <w:spacing w:after="60" w:line="264" w:lineRule="auto"/>
        <w:ind w:left="0"/>
        <w:contextualSpacing w:val="0"/>
        <w:jc w:val="both"/>
        <w:rPr>
          <w:rFonts w:cs="Calibri"/>
          <w:sz w:val="26"/>
          <w:szCs w:val="26"/>
        </w:rPr>
      </w:pPr>
    </w:p>
    <w:p w14:paraId="4AC38CC2" w14:textId="713A06BA" w:rsidR="00294A7E" w:rsidRPr="005003C2" w:rsidRDefault="00AA550E" w:rsidP="00352626">
      <w:pPr>
        <w:pStyle w:val="Titre2"/>
        <w:keepNext/>
        <w:tabs>
          <w:tab w:val="clear" w:pos="709"/>
          <w:tab w:val="num" w:pos="851"/>
        </w:tabs>
        <w:ind w:left="851" w:hanging="851"/>
        <w:rPr>
          <w:rFonts w:cstheme="minorHAnsi"/>
          <w:szCs w:val="32"/>
        </w:rPr>
      </w:pPr>
      <w:bookmarkStart w:id="85" w:name="_Toc117262405"/>
      <w:bookmarkStart w:id="86" w:name="_Toc124329970"/>
      <w:r w:rsidRPr="005003C2">
        <w:rPr>
          <w:rFonts w:cstheme="minorHAnsi"/>
          <w:szCs w:val="32"/>
        </w:rPr>
        <w:t>Contexte juridique et règlementaire</w:t>
      </w:r>
      <w:bookmarkEnd w:id="85"/>
      <w:bookmarkEnd w:id="86"/>
    </w:p>
    <w:p w14:paraId="1B481FE9" w14:textId="77777777" w:rsidR="00294A7E" w:rsidRPr="009C797D" w:rsidRDefault="00294A7E" w:rsidP="00352626">
      <w:pPr>
        <w:pStyle w:val="Paragraphedeliste"/>
        <w:spacing w:after="60" w:line="264" w:lineRule="auto"/>
        <w:ind w:left="0"/>
        <w:contextualSpacing w:val="0"/>
        <w:jc w:val="both"/>
        <w:rPr>
          <w:rFonts w:cs="Calibri"/>
          <w:sz w:val="26"/>
          <w:szCs w:val="26"/>
        </w:rPr>
      </w:pPr>
    </w:p>
    <w:p w14:paraId="0B50C423" w14:textId="77777777" w:rsidR="000C5C06" w:rsidRPr="009C797D" w:rsidRDefault="00AA550E" w:rsidP="00352626">
      <w:pPr>
        <w:shd w:val="clear" w:color="auto" w:fill="BDD6EE" w:themeFill="accent1" w:themeFillTint="66"/>
        <w:rPr>
          <w:rFonts w:cs="Calibri"/>
          <w:color w:val="0070C0"/>
          <w:lang w:val="fr-FR"/>
        </w:rPr>
      </w:pPr>
      <w:r w:rsidRPr="009C797D">
        <w:rPr>
          <w:rFonts w:cs="Calibri"/>
          <w:b/>
          <w:color w:val="0070C0"/>
          <w:lang w:val="fr-FR"/>
        </w:rPr>
        <w:t xml:space="preserve">Articles </w:t>
      </w:r>
      <w:r w:rsidR="002871B4">
        <w:rPr>
          <w:rFonts w:cs="Calibri"/>
          <w:b/>
          <w:color w:val="0070C0"/>
          <w:lang w:val="fr-FR"/>
        </w:rPr>
        <w:t>31</w:t>
      </w:r>
      <w:r w:rsidR="00E30ABF">
        <w:rPr>
          <w:rFonts w:cs="Calibri"/>
          <w:b/>
          <w:color w:val="0070C0"/>
          <w:lang w:val="fr-FR"/>
        </w:rPr>
        <w:t xml:space="preserve"> et </w:t>
      </w:r>
      <w:r w:rsidRPr="009C797D">
        <w:rPr>
          <w:rFonts w:cs="Calibri"/>
          <w:b/>
          <w:color w:val="0070C0"/>
          <w:lang w:val="fr-FR"/>
        </w:rPr>
        <w:t xml:space="preserve">86 </w:t>
      </w:r>
      <w:r w:rsidR="00E30ABF">
        <w:rPr>
          <w:rFonts w:cs="Calibri"/>
          <w:b/>
          <w:color w:val="0070C0"/>
          <w:lang w:val="fr-FR"/>
        </w:rPr>
        <w:t>à 101</w:t>
      </w:r>
    </w:p>
    <w:p w14:paraId="34811CD3" w14:textId="77777777" w:rsidR="000C5C06" w:rsidRPr="009C797D" w:rsidRDefault="000C5C06" w:rsidP="00352626">
      <w:pPr>
        <w:rPr>
          <w:rFonts w:cs="Calibri"/>
          <w:color w:val="0070C0"/>
          <w:lang w:val="fr-FR"/>
        </w:rPr>
      </w:pPr>
    </w:p>
    <w:p w14:paraId="583BA7A3" w14:textId="097AA27E" w:rsidR="002871B4" w:rsidRPr="006E64A5" w:rsidRDefault="00AA550E" w:rsidP="00352626">
      <w:pPr>
        <w:contextualSpacing/>
        <w:rPr>
          <w:rFonts w:cstheme="minorHAnsi"/>
          <w:color w:val="333333"/>
          <w:szCs w:val="24"/>
        </w:rPr>
      </w:pPr>
      <w:r w:rsidRPr="006E64A5">
        <w:rPr>
          <w:rFonts w:cstheme="minorHAnsi"/>
          <w:szCs w:val="24"/>
        </w:rPr>
        <w:t>Selon l’article 31 (</w:t>
      </w:r>
      <w:r w:rsidRPr="006E64A5">
        <w:rPr>
          <w:rFonts w:cstheme="minorHAnsi"/>
          <w:color w:val="333333"/>
          <w:szCs w:val="24"/>
          <w:lang w:val="fr-FR" w:eastAsia="fr-CA"/>
        </w:rPr>
        <w:t>4.1°) de la Loi, la Rég</w:t>
      </w:r>
      <w:r w:rsidR="00E30ABF">
        <w:rPr>
          <w:rFonts w:cstheme="minorHAnsi"/>
          <w:color w:val="333333"/>
          <w:szCs w:val="24"/>
          <w:lang w:val="fr-FR" w:eastAsia="fr-CA"/>
        </w:rPr>
        <w:t xml:space="preserve">ie a compétence exclusive pour </w:t>
      </w:r>
      <w:r w:rsidRPr="006E64A5">
        <w:rPr>
          <w:rFonts w:cstheme="minorHAnsi"/>
          <w:color w:val="333333"/>
          <w:szCs w:val="24"/>
          <w:lang w:val="fr-FR" w:eastAsia="fr-CA"/>
        </w:rPr>
        <w:t xml:space="preserve">examiner toute plainte d’un consommateur portant sur l’application d’un tarif ou d’une condition de fourniture, de transport, de livraison ou d’emmagasinage de gaz naturel par un distributeur de gaz naturel et </w:t>
      </w:r>
      <w:r w:rsidR="004277D4">
        <w:rPr>
          <w:rFonts w:cstheme="minorHAnsi"/>
          <w:color w:val="333333"/>
          <w:szCs w:val="24"/>
          <w:lang w:val="fr-FR" w:eastAsia="fr-CA"/>
        </w:rPr>
        <w:t>s’assurer</w:t>
      </w:r>
      <w:r w:rsidRPr="006E64A5">
        <w:rPr>
          <w:rFonts w:cstheme="minorHAnsi"/>
          <w:color w:val="333333"/>
          <w:szCs w:val="24"/>
          <w:lang w:val="fr-FR" w:eastAsia="fr-CA"/>
        </w:rPr>
        <w:t xml:space="preserve"> que le consommateur paie le tarif qui lui est applicable et soit assujetti aux conditions qui lui sont applicables. Les art</w:t>
      </w:r>
      <w:r>
        <w:rPr>
          <w:rFonts w:cstheme="minorHAnsi"/>
          <w:color w:val="333333"/>
          <w:szCs w:val="24"/>
          <w:lang w:val="fr-FR" w:eastAsia="fr-CA"/>
        </w:rPr>
        <w:t>ic</w:t>
      </w:r>
      <w:r w:rsidRPr="006E64A5">
        <w:rPr>
          <w:rFonts w:cstheme="minorHAnsi"/>
          <w:color w:val="333333"/>
          <w:szCs w:val="24"/>
          <w:lang w:val="fr-FR" w:eastAsia="fr-CA"/>
        </w:rPr>
        <w:t xml:space="preserve">les 86 à 101 de la Loi, ainsi que le </w:t>
      </w:r>
      <w:r w:rsidR="00F4021E" w:rsidRPr="005A1244">
        <w:rPr>
          <w:rFonts w:cstheme="minorHAnsi"/>
          <w:bCs/>
          <w:i/>
          <w:szCs w:val="24"/>
          <w:lang w:val="fr-FR"/>
        </w:rPr>
        <w:t xml:space="preserve">Règlement sur la procédure, </w:t>
      </w:r>
      <w:r w:rsidRPr="007F143E">
        <w:rPr>
          <w:color w:val="333333"/>
          <w:lang w:eastAsia="fr-CA"/>
        </w:rPr>
        <w:t>encadrent cette compétence.</w:t>
      </w:r>
    </w:p>
    <w:p w14:paraId="039B0205" w14:textId="77777777" w:rsidR="002871B4" w:rsidRDefault="002871B4" w:rsidP="00352626">
      <w:pPr>
        <w:contextualSpacing/>
        <w:rPr>
          <w:rFonts w:cstheme="minorHAnsi"/>
          <w:b/>
          <w:i/>
          <w:color w:val="333333"/>
          <w:szCs w:val="24"/>
        </w:rPr>
      </w:pPr>
    </w:p>
    <w:p w14:paraId="6CA91935" w14:textId="77777777" w:rsidR="002871B4" w:rsidRPr="005003C2" w:rsidRDefault="00AA550E" w:rsidP="00352626">
      <w:pPr>
        <w:pStyle w:val="Titre2"/>
        <w:keepNext/>
        <w:tabs>
          <w:tab w:val="clear" w:pos="709"/>
          <w:tab w:val="num" w:pos="851"/>
        </w:tabs>
        <w:ind w:left="851" w:hanging="851"/>
        <w:rPr>
          <w:rFonts w:cstheme="minorHAnsi"/>
          <w:szCs w:val="32"/>
        </w:rPr>
      </w:pPr>
      <w:bookmarkStart w:id="87" w:name="_Toc124329971"/>
      <w:r w:rsidRPr="005003C2">
        <w:rPr>
          <w:rFonts w:cstheme="minorHAnsi"/>
          <w:szCs w:val="32"/>
        </w:rPr>
        <w:t>Exigences de dépôt générales</w:t>
      </w:r>
      <w:bookmarkEnd w:id="87"/>
    </w:p>
    <w:p w14:paraId="2E390A94" w14:textId="77777777" w:rsidR="002871B4" w:rsidRDefault="002871B4" w:rsidP="00352626">
      <w:pPr>
        <w:contextualSpacing/>
        <w:rPr>
          <w:rFonts w:cstheme="minorHAnsi"/>
          <w:szCs w:val="24"/>
        </w:rPr>
      </w:pPr>
    </w:p>
    <w:p w14:paraId="5D57A136" w14:textId="77777777" w:rsidR="002871B4" w:rsidRPr="006E64A5" w:rsidRDefault="00AA550E" w:rsidP="00352626">
      <w:pPr>
        <w:pStyle w:val="TitreS2"/>
        <w:numPr>
          <w:ilvl w:val="3"/>
          <w:numId w:val="8"/>
        </w:numPr>
        <w:spacing w:before="200" w:after="0"/>
        <w:ind w:left="567" w:hanging="567"/>
        <w:rPr>
          <w:rFonts w:ascii="Calibri" w:hAnsi="Calibri" w:cs="Calibri"/>
          <w:b w:val="0"/>
          <w:sz w:val="24"/>
          <w:szCs w:val="24"/>
        </w:rPr>
      </w:pPr>
      <w:r w:rsidRPr="006E64A5">
        <w:rPr>
          <w:b w:val="0"/>
          <w:sz w:val="24"/>
          <w:szCs w:val="24"/>
        </w:rPr>
        <w:t>Numéroter chacune des pages du dossier d’examen interne, selon le format suivant</w:t>
      </w:r>
      <w:r>
        <w:rPr>
          <w:b w:val="0"/>
          <w:sz w:val="24"/>
          <w:szCs w:val="24"/>
        </w:rPr>
        <w:t> :</w:t>
      </w:r>
    </w:p>
    <w:p w14:paraId="05D07F78" w14:textId="77777777" w:rsidR="002871B4" w:rsidRPr="000665FD" w:rsidRDefault="00AA550E" w:rsidP="00352626">
      <w:pPr>
        <w:ind w:left="567"/>
        <w:contextualSpacing/>
        <w:rPr>
          <w:rFonts w:cstheme="minorHAnsi"/>
          <w:szCs w:val="24"/>
        </w:rPr>
      </w:pPr>
      <w:r w:rsidRPr="000665FD">
        <w:rPr>
          <w:rFonts w:cstheme="minorHAnsi"/>
          <w:szCs w:val="24"/>
        </w:rPr>
        <w:lastRenderedPageBreak/>
        <w:t>[numéro d’onglet].[numéro de page]</w:t>
      </w:r>
    </w:p>
    <w:p w14:paraId="2AB6D2D2" w14:textId="77777777" w:rsidR="002871B4" w:rsidRPr="006E64A5" w:rsidRDefault="00AA550E" w:rsidP="00352626">
      <w:pPr>
        <w:pStyle w:val="TitreS2"/>
        <w:numPr>
          <w:ilvl w:val="3"/>
          <w:numId w:val="8"/>
        </w:numPr>
        <w:spacing w:before="200" w:after="0"/>
        <w:ind w:left="567" w:hanging="567"/>
        <w:rPr>
          <w:rFonts w:ascii="Calibri" w:hAnsi="Calibri" w:cs="Calibri"/>
          <w:b w:val="0"/>
          <w:sz w:val="24"/>
          <w:szCs w:val="24"/>
        </w:rPr>
      </w:pPr>
      <w:r w:rsidRPr="006E64A5">
        <w:rPr>
          <w:rFonts w:cstheme="minorHAnsi"/>
          <w:b w:val="0"/>
          <w:sz w:val="24"/>
          <w:szCs w:val="24"/>
        </w:rPr>
        <w:t>Dans le cas où des symboles sont utilisés dans les documents, inclure une légende.</w:t>
      </w:r>
    </w:p>
    <w:p w14:paraId="42C28CEB" w14:textId="1C9D0499" w:rsidR="002871B4" w:rsidRPr="006E64A5" w:rsidRDefault="00AA550E" w:rsidP="00352626">
      <w:pPr>
        <w:pStyle w:val="TitreS2"/>
        <w:numPr>
          <w:ilvl w:val="3"/>
          <w:numId w:val="8"/>
        </w:numPr>
        <w:spacing w:before="200" w:after="0"/>
        <w:ind w:left="567" w:hanging="567"/>
        <w:rPr>
          <w:rFonts w:ascii="Calibri" w:hAnsi="Calibri" w:cs="Calibri"/>
          <w:b w:val="0"/>
          <w:sz w:val="24"/>
          <w:szCs w:val="24"/>
        </w:rPr>
      </w:pPr>
      <w:r w:rsidRPr="006E64A5">
        <w:rPr>
          <w:rFonts w:cstheme="minorHAnsi"/>
          <w:b w:val="0"/>
          <w:sz w:val="24"/>
          <w:szCs w:val="24"/>
        </w:rPr>
        <w:t>Lorsque plusieurs éléments sont présents sur une même page ou photographie, indiquer</w:t>
      </w:r>
      <w:r w:rsidR="00EC4EF7">
        <w:rPr>
          <w:rFonts w:cstheme="minorHAnsi"/>
          <w:b w:val="0"/>
          <w:sz w:val="24"/>
          <w:szCs w:val="24"/>
        </w:rPr>
        <w:t xml:space="preserve"> clairement et distinctement</w:t>
      </w:r>
      <w:r w:rsidRPr="006E64A5">
        <w:rPr>
          <w:rFonts w:cstheme="minorHAnsi"/>
          <w:b w:val="0"/>
          <w:sz w:val="24"/>
          <w:szCs w:val="24"/>
        </w:rPr>
        <w:t xml:space="preserve"> l’élément pertinent. Les renseignements pertinents contenus dans les </w:t>
      </w:r>
      <w:r w:rsidR="00EC4EF7">
        <w:rPr>
          <w:rFonts w:cstheme="minorHAnsi"/>
          <w:b w:val="0"/>
          <w:sz w:val="24"/>
          <w:szCs w:val="24"/>
        </w:rPr>
        <w:t xml:space="preserve">captures </w:t>
      </w:r>
      <w:r w:rsidR="00C94A55">
        <w:rPr>
          <w:rFonts w:cstheme="minorHAnsi"/>
          <w:b w:val="0"/>
          <w:sz w:val="24"/>
          <w:szCs w:val="24"/>
        </w:rPr>
        <w:t>d’</w:t>
      </w:r>
      <w:r w:rsidRPr="006E64A5">
        <w:rPr>
          <w:rFonts w:cstheme="minorHAnsi"/>
          <w:b w:val="0"/>
          <w:sz w:val="24"/>
          <w:szCs w:val="24"/>
        </w:rPr>
        <w:t>écrans doivent êtr</w:t>
      </w:r>
      <w:r>
        <w:rPr>
          <w:rFonts w:cstheme="minorHAnsi"/>
          <w:b w:val="0"/>
          <w:sz w:val="24"/>
          <w:szCs w:val="24"/>
        </w:rPr>
        <w:t xml:space="preserve">e </w:t>
      </w:r>
      <w:r w:rsidR="00C94A55">
        <w:rPr>
          <w:rFonts w:cstheme="minorHAnsi"/>
          <w:b w:val="0"/>
          <w:sz w:val="24"/>
          <w:szCs w:val="24"/>
        </w:rPr>
        <w:t>clairement identifiés</w:t>
      </w:r>
      <w:r>
        <w:rPr>
          <w:rFonts w:cstheme="minorHAnsi"/>
          <w:b w:val="0"/>
          <w:sz w:val="24"/>
          <w:szCs w:val="24"/>
        </w:rPr>
        <w:t>.</w:t>
      </w:r>
    </w:p>
    <w:p w14:paraId="25CB2FCD" w14:textId="77777777" w:rsidR="000C5E15" w:rsidRDefault="000C5E15" w:rsidP="005003C2">
      <w:pPr>
        <w:pStyle w:val="Titre2"/>
        <w:keepNext/>
        <w:numPr>
          <w:ilvl w:val="0"/>
          <w:numId w:val="0"/>
        </w:numPr>
        <w:rPr>
          <w:rFonts w:cstheme="minorHAnsi"/>
          <w:szCs w:val="32"/>
        </w:rPr>
      </w:pPr>
      <w:bookmarkStart w:id="88" w:name="_Toc58934386"/>
    </w:p>
    <w:p w14:paraId="1DAE87FB" w14:textId="4E72D110" w:rsidR="002871B4" w:rsidRPr="005003C2" w:rsidRDefault="00AA550E" w:rsidP="00352626">
      <w:pPr>
        <w:pStyle w:val="Titre2"/>
        <w:keepNext/>
        <w:tabs>
          <w:tab w:val="clear" w:pos="709"/>
          <w:tab w:val="num" w:pos="851"/>
        </w:tabs>
        <w:ind w:left="851" w:hanging="851"/>
        <w:rPr>
          <w:rFonts w:cstheme="minorHAnsi"/>
          <w:szCs w:val="32"/>
        </w:rPr>
      </w:pPr>
      <w:bookmarkStart w:id="89" w:name="_Toc124329972"/>
      <w:r w:rsidRPr="005003C2">
        <w:rPr>
          <w:rFonts w:cstheme="minorHAnsi"/>
          <w:szCs w:val="32"/>
        </w:rPr>
        <w:t>Information spécifique requise</w:t>
      </w:r>
      <w:bookmarkEnd w:id="88"/>
      <w:bookmarkEnd w:id="89"/>
    </w:p>
    <w:p w14:paraId="4BA37715" w14:textId="77777777" w:rsidR="002871B4" w:rsidRPr="004170A1" w:rsidRDefault="002871B4" w:rsidP="00352626">
      <w:pPr>
        <w:rPr>
          <w:rFonts w:cstheme="minorHAnsi"/>
          <w:b/>
          <w:i/>
          <w:szCs w:val="28"/>
        </w:rPr>
      </w:pPr>
    </w:p>
    <w:p w14:paraId="591C44BB" w14:textId="77777777" w:rsidR="002871B4" w:rsidRPr="002740C4" w:rsidRDefault="00AA550E" w:rsidP="00352626">
      <w:pPr>
        <w:pStyle w:val="TitreS2"/>
        <w:numPr>
          <w:ilvl w:val="3"/>
          <w:numId w:val="8"/>
        </w:numPr>
        <w:spacing w:before="200" w:after="0"/>
        <w:ind w:left="567" w:hanging="567"/>
        <w:rPr>
          <w:rFonts w:cstheme="minorHAnsi"/>
          <w:b w:val="0"/>
          <w:sz w:val="24"/>
          <w:szCs w:val="24"/>
        </w:rPr>
      </w:pPr>
      <w:r w:rsidRPr="002740C4">
        <w:rPr>
          <w:rFonts w:cstheme="minorHAnsi"/>
          <w:b w:val="0"/>
          <w:sz w:val="24"/>
          <w:szCs w:val="24"/>
        </w:rPr>
        <w:t>Le dossier d’examen interne d’une plainte doit comprendre une table des matières et être subdivisé en onglets, conformément au plan ci-</w:t>
      </w:r>
      <w:r w:rsidR="00E30ABF" w:rsidRPr="002740C4">
        <w:rPr>
          <w:rFonts w:cstheme="minorHAnsi"/>
          <w:b w:val="0"/>
          <w:sz w:val="24"/>
          <w:szCs w:val="24"/>
        </w:rPr>
        <w:t>après</w:t>
      </w:r>
      <w:r w:rsidRPr="002740C4">
        <w:rPr>
          <w:rFonts w:cstheme="minorHAnsi"/>
          <w:b w:val="0"/>
          <w:sz w:val="24"/>
          <w:szCs w:val="24"/>
        </w:rPr>
        <w:t>.</w:t>
      </w:r>
    </w:p>
    <w:p w14:paraId="2C85AD8D" w14:textId="77777777" w:rsidR="002871B4" w:rsidRPr="000665FD" w:rsidRDefault="002871B4" w:rsidP="00352626">
      <w:pPr>
        <w:contextualSpacing/>
        <w:rPr>
          <w:rFonts w:cstheme="minorHAnsi"/>
          <w:szCs w:val="24"/>
        </w:rPr>
      </w:pPr>
    </w:p>
    <w:tbl>
      <w:tblPr>
        <w:tblStyle w:val="Grilledutableau"/>
        <w:tblW w:w="0" w:type="auto"/>
        <w:tblLook w:val="04A0" w:firstRow="1" w:lastRow="0" w:firstColumn="1" w:lastColumn="0" w:noHBand="0" w:noVBand="1"/>
      </w:tblPr>
      <w:tblGrid>
        <w:gridCol w:w="8975"/>
        <w:gridCol w:w="421"/>
      </w:tblGrid>
      <w:tr w:rsidR="00DC782D" w14:paraId="5910E843" w14:textId="77777777" w:rsidTr="009370FA">
        <w:tc>
          <w:tcPr>
            <w:tcW w:w="9396" w:type="dxa"/>
            <w:gridSpan w:val="2"/>
            <w:tcBorders>
              <w:top w:val="nil"/>
              <w:left w:val="nil"/>
              <w:bottom w:val="nil"/>
              <w:right w:val="nil"/>
            </w:tcBorders>
          </w:tcPr>
          <w:p w14:paraId="2461DABA" w14:textId="77777777" w:rsidR="00932496" w:rsidRDefault="00AA550E" w:rsidP="00352626">
            <w:pPr>
              <w:tabs>
                <w:tab w:val="left" w:pos="1134"/>
              </w:tabs>
              <w:spacing w:before="200" w:after="0"/>
              <w:rPr>
                <w:rFonts w:cs="Calibri"/>
                <w:b/>
                <w:i/>
                <w:sz w:val="28"/>
                <w:szCs w:val="28"/>
              </w:rPr>
            </w:pPr>
            <w:r w:rsidRPr="007928D3">
              <w:rPr>
                <w:rFonts w:cs="Calibri"/>
                <w:b/>
                <w:i/>
                <w:sz w:val="28"/>
                <w:szCs w:val="28"/>
              </w:rPr>
              <w:t>Onglet</w:t>
            </w:r>
            <w:r>
              <w:rPr>
                <w:rFonts w:cs="Calibri"/>
                <w:b/>
                <w:i/>
                <w:sz w:val="28"/>
                <w:szCs w:val="28"/>
              </w:rPr>
              <w:t xml:space="preserve"> </w:t>
            </w:r>
            <w:r w:rsidRPr="007928D3">
              <w:rPr>
                <w:rFonts w:cs="Calibri"/>
                <w:b/>
                <w:i/>
                <w:sz w:val="28"/>
                <w:szCs w:val="28"/>
              </w:rPr>
              <w:t>1</w:t>
            </w:r>
            <w:r>
              <w:rPr>
                <w:rFonts w:cs="Calibri"/>
                <w:b/>
                <w:i/>
                <w:sz w:val="28"/>
                <w:szCs w:val="28"/>
              </w:rPr>
              <w:t xml:space="preserve"> </w:t>
            </w:r>
            <w:r w:rsidRPr="007928D3">
              <w:rPr>
                <w:rFonts w:cs="Calibri"/>
                <w:b/>
                <w:i/>
                <w:sz w:val="28"/>
                <w:szCs w:val="28"/>
              </w:rPr>
              <w:t>: Renseignements généraux</w:t>
            </w:r>
          </w:p>
        </w:tc>
      </w:tr>
      <w:tr w:rsidR="00DC782D" w14:paraId="7FE18A9B" w14:textId="77777777" w:rsidTr="009370FA">
        <w:trPr>
          <w:gridAfter w:val="1"/>
          <w:wAfter w:w="421" w:type="dxa"/>
        </w:trPr>
        <w:tc>
          <w:tcPr>
            <w:tcW w:w="8975" w:type="dxa"/>
            <w:tcBorders>
              <w:top w:val="nil"/>
              <w:left w:val="nil"/>
              <w:bottom w:val="nil"/>
              <w:right w:val="nil"/>
            </w:tcBorders>
          </w:tcPr>
          <w:p w14:paraId="78AB323F" w14:textId="77777777" w:rsidR="00932496" w:rsidRPr="007928D3" w:rsidRDefault="00AA550E" w:rsidP="00352626">
            <w:pPr>
              <w:tabs>
                <w:tab w:val="left" w:pos="1134"/>
              </w:tabs>
              <w:spacing w:after="0"/>
              <w:rPr>
                <w:rFonts w:cs="Calibri"/>
                <w:szCs w:val="24"/>
              </w:rPr>
            </w:pPr>
            <w:r w:rsidRPr="007928D3">
              <w:rPr>
                <w:rFonts w:cs="Calibri"/>
                <w:szCs w:val="24"/>
              </w:rPr>
              <w:t>Fournir les éléments suivants :</w:t>
            </w:r>
          </w:p>
          <w:p w14:paraId="5AB387E8"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Numéro de dossier de la Régie;</w:t>
            </w:r>
          </w:p>
          <w:p w14:paraId="3471B436"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Nom du ou des consommateur(s);</w:t>
            </w:r>
          </w:p>
          <w:p w14:paraId="091B48CC"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Adresse(s) de service en cause.</w:t>
            </w:r>
          </w:p>
          <w:p w14:paraId="76C47107" w14:textId="77777777" w:rsidR="00932496" w:rsidRPr="007928D3" w:rsidRDefault="00932496" w:rsidP="00352626">
            <w:pPr>
              <w:spacing w:after="0"/>
              <w:rPr>
                <w:rFonts w:cs="Calibri"/>
                <w:szCs w:val="24"/>
              </w:rPr>
            </w:pPr>
          </w:p>
          <w:p w14:paraId="69311F36" w14:textId="77777777" w:rsidR="00932496" w:rsidRPr="007928D3" w:rsidRDefault="00AA550E" w:rsidP="00352626">
            <w:pPr>
              <w:spacing w:after="0"/>
              <w:rPr>
                <w:rFonts w:cs="Calibri"/>
                <w:szCs w:val="24"/>
              </w:rPr>
            </w:pPr>
            <w:r w:rsidRPr="007928D3">
              <w:rPr>
                <w:rFonts w:cs="Calibri"/>
                <w:szCs w:val="24"/>
              </w:rPr>
              <w:t>Pour chaque adresse de service, fournir les éléments suivants :</w:t>
            </w:r>
          </w:p>
          <w:p w14:paraId="1C875C9F" w14:textId="77777777" w:rsidR="00932496"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Adresse de facturation, si différente de l’adresse de service;</w:t>
            </w:r>
          </w:p>
          <w:p w14:paraId="0FF8F8DC" w14:textId="77777777" w:rsidR="00932496" w:rsidRDefault="00AA550E" w:rsidP="00352626">
            <w:pPr>
              <w:pStyle w:val="Paragraphedeliste"/>
              <w:numPr>
                <w:ilvl w:val="3"/>
                <w:numId w:val="8"/>
              </w:numPr>
              <w:spacing w:before="0" w:after="0" w:line="264" w:lineRule="auto"/>
              <w:ind w:left="630" w:hanging="630"/>
              <w:contextualSpacing w:val="0"/>
              <w:jc w:val="both"/>
              <w:rPr>
                <w:rFonts w:cs="Calibri"/>
                <w:sz w:val="24"/>
                <w:szCs w:val="24"/>
              </w:rPr>
            </w:pPr>
            <w:r w:rsidRPr="00112EB7">
              <w:rPr>
                <w:rFonts w:cs="Calibri"/>
                <w:sz w:val="24"/>
                <w:szCs w:val="24"/>
              </w:rPr>
              <w:t>Numéro, date de création et titulaire(s) du compte ou du contrat;</w:t>
            </w:r>
          </w:p>
          <w:p w14:paraId="5D6FD322" w14:textId="77777777" w:rsidR="00932496" w:rsidRPr="00112EB7" w:rsidRDefault="00AA550E" w:rsidP="00352626">
            <w:pPr>
              <w:pStyle w:val="Paragraphedeliste"/>
              <w:numPr>
                <w:ilvl w:val="3"/>
                <w:numId w:val="8"/>
              </w:numPr>
              <w:spacing w:before="0" w:after="0" w:line="264" w:lineRule="auto"/>
              <w:ind w:left="630" w:hanging="630"/>
              <w:contextualSpacing w:val="0"/>
              <w:jc w:val="both"/>
              <w:rPr>
                <w:rFonts w:cs="Calibri"/>
                <w:sz w:val="24"/>
                <w:szCs w:val="24"/>
              </w:rPr>
            </w:pPr>
            <w:r w:rsidRPr="00112EB7">
              <w:rPr>
                <w:rFonts w:cs="Calibri"/>
                <w:sz w:val="24"/>
                <w:szCs w:val="24"/>
              </w:rPr>
              <w:t>Usage de l’énergie (domestique, commercial, industriel ou autre);</w:t>
            </w:r>
          </w:p>
          <w:p w14:paraId="26039692"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Tarif applicable;</w:t>
            </w:r>
          </w:p>
          <w:p w14:paraId="72B422FF"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Autres informations générales pertinentes, le cas échéant.</w:t>
            </w:r>
          </w:p>
          <w:p w14:paraId="03AF872D" w14:textId="77777777" w:rsidR="00932496" w:rsidRDefault="00932496" w:rsidP="00352626">
            <w:pPr>
              <w:tabs>
                <w:tab w:val="left" w:pos="1134"/>
              </w:tabs>
              <w:spacing w:after="0"/>
              <w:rPr>
                <w:rFonts w:cs="Calibri"/>
                <w:b/>
                <w:i/>
                <w:sz w:val="28"/>
                <w:szCs w:val="28"/>
              </w:rPr>
            </w:pPr>
          </w:p>
        </w:tc>
      </w:tr>
      <w:tr w:rsidR="00DC782D" w14:paraId="3A107193" w14:textId="77777777" w:rsidTr="009370FA">
        <w:tc>
          <w:tcPr>
            <w:tcW w:w="9396" w:type="dxa"/>
            <w:gridSpan w:val="2"/>
            <w:tcBorders>
              <w:top w:val="nil"/>
              <w:left w:val="nil"/>
              <w:bottom w:val="nil"/>
              <w:right w:val="nil"/>
            </w:tcBorders>
          </w:tcPr>
          <w:p w14:paraId="0A8F6488" w14:textId="77777777" w:rsidR="00932496" w:rsidRDefault="00AA550E" w:rsidP="00352626">
            <w:pPr>
              <w:tabs>
                <w:tab w:val="left" w:pos="1134"/>
              </w:tabs>
              <w:spacing w:before="200" w:after="0"/>
              <w:rPr>
                <w:rFonts w:cs="Calibri"/>
                <w:b/>
                <w:i/>
                <w:sz w:val="28"/>
                <w:szCs w:val="28"/>
              </w:rPr>
            </w:pPr>
            <w:r w:rsidRPr="007928D3">
              <w:rPr>
                <w:rFonts w:cs="Calibri"/>
                <w:b/>
                <w:i/>
                <w:sz w:val="28"/>
                <w:szCs w:val="28"/>
              </w:rPr>
              <w:t>Onglet 2 : Objet et contexte de la plainte</w:t>
            </w:r>
          </w:p>
        </w:tc>
      </w:tr>
      <w:tr w:rsidR="00DC782D" w14:paraId="0775F83D" w14:textId="77777777" w:rsidTr="009370FA">
        <w:trPr>
          <w:gridAfter w:val="1"/>
          <w:wAfter w:w="421" w:type="dxa"/>
        </w:trPr>
        <w:tc>
          <w:tcPr>
            <w:tcW w:w="8975" w:type="dxa"/>
            <w:tcBorders>
              <w:top w:val="nil"/>
              <w:left w:val="nil"/>
              <w:bottom w:val="nil"/>
              <w:right w:val="nil"/>
            </w:tcBorders>
          </w:tcPr>
          <w:p w14:paraId="23E1E8C6"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Objet de la plainte;</w:t>
            </w:r>
          </w:p>
          <w:p w14:paraId="2CABBBA3" w14:textId="77777777" w:rsidR="00932496" w:rsidRPr="00470CA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Historique des faits;</w:t>
            </w:r>
          </w:p>
          <w:p w14:paraId="534A2F89" w14:textId="77777777" w:rsidR="00932496" w:rsidRPr="007928D3" w:rsidRDefault="00AA550E" w:rsidP="00352626">
            <w:pPr>
              <w:spacing w:after="0"/>
              <w:ind w:left="454"/>
              <w:rPr>
                <w:rFonts w:cs="Calibri"/>
                <w:szCs w:val="24"/>
              </w:rPr>
            </w:pPr>
            <w:r w:rsidRPr="007928D3">
              <w:rPr>
                <w:rFonts w:cs="Calibri"/>
                <w:szCs w:val="24"/>
              </w:rPr>
              <w:t>En ordre chronologique, présenter les dates et faits permettant une compréhension de la plainte et de son contexte. Pour chacun des faits, inclure une référence à l’onglet du dossier d’examen interne approprié.</w:t>
            </w:r>
          </w:p>
          <w:p w14:paraId="600E7402" w14:textId="0C4E6AB3" w:rsidR="00932496" w:rsidRPr="007E15B9"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Notes explica</w:t>
            </w:r>
            <w:r w:rsidR="006C4FB2">
              <w:rPr>
                <w:sz w:val="24"/>
                <w:szCs w:val="24"/>
              </w:rPr>
              <w:t>tives de Gazifère</w:t>
            </w:r>
            <w:r w:rsidRPr="6443AAE3">
              <w:rPr>
                <w:sz w:val="24"/>
                <w:szCs w:val="24"/>
              </w:rPr>
              <w:t>, au besoin.</w:t>
            </w:r>
          </w:p>
          <w:p w14:paraId="25855761" w14:textId="77777777" w:rsidR="00932496" w:rsidRDefault="00932496" w:rsidP="00352626">
            <w:pPr>
              <w:tabs>
                <w:tab w:val="left" w:pos="1134"/>
              </w:tabs>
              <w:spacing w:after="0"/>
              <w:rPr>
                <w:rFonts w:cs="Calibri"/>
                <w:b/>
                <w:i/>
                <w:sz w:val="28"/>
                <w:szCs w:val="28"/>
              </w:rPr>
            </w:pPr>
          </w:p>
        </w:tc>
      </w:tr>
      <w:tr w:rsidR="00DC782D" w14:paraId="0336622E" w14:textId="77777777" w:rsidTr="009370FA">
        <w:tc>
          <w:tcPr>
            <w:tcW w:w="9396" w:type="dxa"/>
            <w:gridSpan w:val="2"/>
            <w:tcBorders>
              <w:top w:val="nil"/>
              <w:left w:val="nil"/>
              <w:bottom w:val="nil"/>
              <w:right w:val="nil"/>
            </w:tcBorders>
          </w:tcPr>
          <w:p w14:paraId="53C0E106" w14:textId="19965667" w:rsidR="00932496" w:rsidRDefault="00AA550E" w:rsidP="00352626">
            <w:pPr>
              <w:tabs>
                <w:tab w:val="left" w:pos="1134"/>
              </w:tabs>
              <w:spacing w:before="200" w:after="0"/>
              <w:rPr>
                <w:rFonts w:cs="Calibri"/>
                <w:b/>
                <w:i/>
                <w:sz w:val="28"/>
                <w:szCs w:val="28"/>
              </w:rPr>
            </w:pPr>
            <w:r w:rsidRPr="007928D3">
              <w:rPr>
                <w:rFonts w:cs="Calibri"/>
                <w:b/>
                <w:i/>
                <w:sz w:val="28"/>
                <w:szCs w:val="28"/>
              </w:rPr>
              <w:lastRenderedPageBreak/>
              <w:t>Onglet 3 :</w:t>
            </w:r>
            <w:r w:rsidR="008B7121">
              <w:rPr>
                <w:rFonts w:cs="Calibri"/>
                <w:b/>
                <w:i/>
                <w:sz w:val="28"/>
                <w:szCs w:val="28"/>
              </w:rPr>
              <w:t xml:space="preserve"> </w:t>
            </w:r>
            <w:r w:rsidRPr="007928D3">
              <w:rPr>
                <w:rFonts w:cs="Calibri"/>
                <w:b/>
                <w:i/>
                <w:sz w:val="28"/>
                <w:szCs w:val="28"/>
              </w:rPr>
              <w:t xml:space="preserve">Plainte écrite du ou des consommateur(s) déposée chez </w:t>
            </w:r>
            <w:r w:rsidR="006C4FB2">
              <w:rPr>
                <w:rFonts w:cs="Calibri"/>
                <w:b/>
                <w:i/>
                <w:sz w:val="28"/>
                <w:szCs w:val="28"/>
              </w:rPr>
              <w:t>Gazifère</w:t>
            </w:r>
          </w:p>
          <w:p w14:paraId="29858B1B" w14:textId="77777777" w:rsidR="00932496" w:rsidRDefault="00932496" w:rsidP="00352626">
            <w:pPr>
              <w:tabs>
                <w:tab w:val="left" w:pos="1134"/>
              </w:tabs>
              <w:spacing w:before="200" w:after="0"/>
              <w:rPr>
                <w:rFonts w:cs="Calibri"/>
                <w:b/>
                <w:i/>
                <w:sz w:val="28"/>
                <w:szCs w:val="28"/>
              </w:rPr>
            </w:pPr>
          </w:p>
        </w:tc>
      </w:tr>
      <w:tr w:rsidR="00DC782D" w14:paraId="229E7AD3" w14:textId="77777777" w:rsidTr="009370FA">
        <w:tc>
          <w:tcPr>
            <w:tcW w:w="9396" w:type="dxa"/>
            <w:gridSpan w:val="2"/>
            <w:tcBorders>
              <w:top w:val="nil"/>
              <w:left w:val="nil"/>
              <w:bottom w:val="nil"/>
              <w:right w:val="nil"/>
            </w:tcBorders>
          </w:tcPr>
          <w:p w14:paraId="58612A3E" w14:textId="63E635BA" w:rsidR="00932496" w:rsidRDefault="00AA550E" w:rsidP="00352626">
            <w:pPr>
              <w:tabs>
                <w:tab w:val="left" w:pos="1134"/>
              </w:tabs>
              <w:spacing w:before="200" w:after="0"/>
              <w:rPr>
                <w:rFonts w:cs="Calibri"/>
                <w:b/>
                <w:i/>
                <w:sz w:val="28"/>
                <w:szCs w:val="28"/>
              </w:rPr>
            </w:pPr>
            <w:r w:rsidRPr="007928D3">
              <w:rPr>
                <w:rFonts w:cs="Calibri"/>
                <w:b/>
                <w:i/>
                <w:sz w:val="28"/>
                <w:szCs w:val="28"/>
              </w:rPr>
              <w:t>Onglet 4 :</w:t>
            </w:r>
            <w:r w:rsidR="008B7121">
              <w:rPr>
                <w:rFonts w:cs="Calibri"/>
                <w:b/>
                <w:i/>
                <w:sz w:val="28"/>
                <w:szCs w:val="28"/>
              </w:rPr>
              <w:t xml:space="preserve"> </w:t>
            </w:r>
            <w:r w:rsidR="006C4FB2">
              <w:rPr>
                <w:rFonts w:cs="Calibri"/>
                <w:b/>
                <w:i/>
                <w:sz w:val="28"/>
                <w:szCs w:val="28"/>
              </w:rPr>
              <w:t>Décision écrite de Gazifère</w:t>
            </w:r>
            <w:r w:rsidRPr="007928D3">
              <w:rPr>
                <w:rFonts w:cs="Calibri"/>
                <w:b/>
                <w:i/>
                <w:sz w:val="28"/>
                <w:szCs w:val="28"/>
              </w:rPr>
              <w:t xml:space="preserve"> en réponse à cette plainte</w:t>
            </w:r>
          </w:p>
        </w:tc>
      </w:tr>
      <w:tr w:rsidR="00DC782D" w14:paraId="40B76735" w14:textId="77777777" w:rsidTr="009370FA">
        <w:trPr>
          <w:gridAfter w:val="1"/>
          <w:wAfter w:w="421" w:type="dxa"/>
        </w:trPr>
        <w:tc>
          <w:tcPr>
            <w:tcW w:w="8975" w:type="dxa"/>
            <w:tcBorders>
              <w:top w:val="nil"/>
              <w:left w:val="nil"/>
              <w:bottom w:val="nil"/>
              <w:right w:val="nil"/>
            </w:tcBorders>
          </w:tcPr>
          <w:p w14:paraId="34DAA328" w14:textId="77777777" w:rsidR="00932496" w:rsidRPr="002B616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Fournir une copie de la décision rendue par écrit et notifiée au(x) consommateur(s) en vertu de l’article 91 de la Loi.</w:t>
            </w:r>
          </w:p>
          <w:p w14:paraId="42B1F957" w14:textId="77777777" w:rsidR="00932496" w:rsidRDefault="00932496" w:rsidP="00352626">
            <w:pPr>
              <w:tabs>
                <w:tab w:val="left" w:pos="1134"/>
              </w:tabs>
              <w:spacing w:after="0"/>
              <w:rPr>
                <w:rFonts w:cs="Calibri"/>
                <w:b/>
                <w:i/>
                <w:sz w:val="28"/>
                <w:szCs w:val="28"/>
              </w:rPr>
            </w:pPr>
          </w:p>
        </w:tc>
      </w:tr>
      <w:tr w:rsidR="00DC782D" w14:paraId="1E8ABDC6" w14:textId="77777777" w:rsidTr="009370FA">
        <w:tc>
          <w:tcPr>
            <w:tcW w:w="9396" w:type="dxa"/>
            <w:gridSpan w:val="2"/>
            <w:tcBorders>
              <w:top w:val="nil"/>
              <w:left w:val="nil"/>
              <w:bottom w:val="nil"/>
              <w:right w:val="nil"/>
            </w:tcBorders>
          </w:tcPr>
          <w:p w14:paraId="56FF259C" w14:textId="77777777" w:rsidR="00932496" w:rsidRDefault="00AA550E" w:rsidP="00352626">
            <w:pPr>
              <w:spacing w:before="200" w:after="0"/>
              <w:rPr>
                <w:rFonts w:cs="Calibri"/>
                <w:b/>
                <w:i/>
                <w:sz w:val="28"/>
                <w:szCs w:val="28"/>
              </w:rPr>
            </w:pPr>
            <w:r w:rsidRPr="007928D3">
              <w:rPr>
                <w:rFonts w:cs="Calibri"/>
                <w:b/>
                <w:i/>
                <w:sz w:val="28"/>
                <w:szCs w:val="28"/>
              </w:rPr>
              <w:t>Onglet</w:t>
            </w:r>
            <w:r>
              <w:rPr>
                <w:rFonts w:cs="Calibri"/>
                <w:b/>
                <w:i/>
                <w:sz w:val="28"/>
                <w:szCs w:val="28"/>
              </w:rPr>
              <w:t xml:space="preserve"> 5 :</w:t>
            </w:r>
            <w:r w:rsidRPr="007928D3">
              <w:rPr>
                <w:rFonts w:cs="Calibri"/>
                <w:b/>
                <w:i/>
                <w:sz w:val="28"/>
                <w:szCs w:val="28"/>
              </w:rPr>
              <w:t xml:space="preserve"> Plainte écrite du ou des consommateur(s) déposée à la Régie</w:t>
            </w:r>
          </w:p>
          <w:p w14:paraId="1552A4D8" w14:textId="77777777" w:rsidR="00932496" w:rsidRPr="000262BD" w:rsidRDefault="00932496" w:rsidP="00352626">
            <w:pPr>
              <w:spacing w:before="200" w:after="0"/>
              <w:rPr>
                <w:szCs w:val="24"/>
              </w:rPr>
            </w:pPr>
          </w:p>
        </w:tc>
      </w:tr>
      <w:tr w:rsidR="00DC782D" w14:paraId="323A0B1D" w14:textId="77777777" w:rsidTr="009370FA">
        <w:tc>
          <w:tcPr>
            <w:tcW w:w="9396" w:type="dxa"/>
            <w:gridSpan w:val="2"/>
            <w:tcBorders>
              <w:top w:val="nil"/>
              <w:left w:val="nil"/>
              <w:bottom w:val="nil"/>
              <w:right w:val="nil"/>
            </w:tcBorders>
          </w:tcPr>
          <w:p w14:paraId="4B9F1D76" w14:textId="77777777" w:rsidR="00932496" w:rsidRPr="000262BD" w:rsidRDefault="00AA550E" w:rsidP="00352626">
            <w:pPr>
              <w:spacing w:before="200" w:after="0"/>
              <w:rPr>
                <w:szCs w:val="24"/>
              </w:rPr>
            </w:pPr>
            <w:r w:rsidRPr="007928D3">
              <w:rPr>
                <w:rFonts w:cs="Calibri"/>
                <w:b/>
                <w:i/>
                <w:sz w:val="28"/>
                <w:szCs w:val="28"/>
              </w:rPr>
              <w:t>Onglet</w:t>
            </w:r>
            <w:r>
              <w:rPr>
                <w:rFonts w:cs="Calibri"/>
                <w:b/>
                <w:i/>
                <w:sz w:val="28"/>
                <w:szCs w:val="28"/>
              </w:rPr>
              <w:t xml:space="preserve"> 6 :</w:t>
            </w:r>
            <w:r w:rsidRPr="007928D3">
              <w:rPr>
                <w:rFonts w:cs="Calibri"/>
                <w:b/>
                <w:i/>
                <w:sz w:val="28"/>
                <w:szCs w:val="28"/>
              </w:rPr>
              <w:t xml:space="preserve"> Articles des Conditions de service et Tarif en cause</w:t>
            </w:r>
          </w:p>
        </w:tc>
      </w:tr>
      <w:tr w:rsidR="00DC782D" w14:paraId="21186A5E" w14:textId="77777777" w:rsidTr="009370FA">
        <w:trPr>
          <w:gridAfter w:val="1"/>
          <w:wAfter w:w="421" w:type="dxa"/>
        </w:trPr>
        <w:tc>
          <w:tcPr>
            <w:tcW w:w="8975" w:type="dxa"/>
            <w:tcBorders>
              <w:top w:val="nil"/>
              <w:left w:val="nil"/>
              <w:bottom w:val="nil"/>
              <w:right w:val="nil"/>
            </w:tcBorders>
          </w:tcPr>
          <w:p w14:paraId="77C929CE" w14:textId="497D77CE" w:rsidR="00932496" w:rsidRPr="007E15B9"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Fournir une liste complète des articles des</w:t>
            </w:r>
            <w:r>
              <w:rPr>
                <w:sz w:val="24"/>
                <w:szCs w:val="24"/>
              </w:rPr>
              <w:t xml:space="preserve"> </w:t>
            </w:r>
            <w:r w:rsidRPr="00CA5F8C">
              <w:rPr>
                <w:iCs/>
                <w:sz w:val="24"/>
                <w:szCs w:val="24"/>
              </w:rPr>
              <w:t>CST</w:t>
            </w:r>
            <w:r w:rsidR="006C4FB2">
              <w:rPr>
                <w:sz w:val="24"/>
                <w:szCs w:val="24"/>
              </w:rPr>
              <w:t xml:space="preserve"> de Gazifère</w:t>
            </w:r>
            <w:r w:rsidRPr="6443AAE3">
              <w:rPr>
                <w:sz w:val="24"/>
                <w:szCs w:val="24"/>
              </w:rPr>
              <w:t xml:space="preserve"> applicables à chacun des sujets visés par la plainte du (des) consommateur(s).</w:t>
            </w:r>
          </w:p>
          <w:p w14:paraId="7B55AE9B" w14:textId="77777777" w:rsidR="00932496" w:rsidRPr="000262BD" w:rsidRDefault="00932496" w:rsidP="00352626">
            <w:pPr>
              <w:spacing w:after="0"/>
              <w:rPr>
                <w:szCs w:val="24"/>
              </w:rPr>
            </w:pPr>
          </w:p>
        </w:tc>
      </w:tr>
      <w:tr w:rsidR="00DC782D" w14:paraId="0B478F92" w14:textId="77777777" w:rsidTr="009370FA">
        <w:tc>
          <w:tcPr>
            <w:tcW w:w="9396" w:type="dxa"/>
            <w:gridSpan w:val="2"/>
            <w:tcBorders>
              <w:top w:val="nil"/>
              <w:left w:val="nil"/>
              <w:bottom w:val="nil"/>
              <w:right w:val="nil"/>
            </w:tcBorders>
          </w:tcPr>
          <w:p w14:paraId="40B56DF1" w14:textId="47F76BDC" w:rsidR="00932496" w:rsidRPr="00D50704" w:rsidRDefault="00AA550E" w:rsidP="00352626">
            <w:pPr>
              <w:spacing w:before="200" w:after="0"/>
              <w:rPr>
                <w:szCs w:val="24"/>
              </w:rPr>
            </w:pPr>
            <w:r w:rsidRPr="007928D3">
              <w:rPr>
                <w:rFonts w:cs="Calibri"/>
                <w:b/>
                <w:i/>
                <w:sz w:val="28"/>
                <w:szCs w:val="28"/>
              </w:rPr>
              <w:t>Onglet</w:t>
            </w:r>
            <w:r>
              <w:rPr>
                <w:rFonts w:cs="Calibri"/>
                <w:b/>
                <w:i/>
                <w:sz w:val="28"/>
                <w:szCs w:val="28"/>
              </w:rPr>
              <w:t xml:space="preserve"> 7 : </w:t>
            </w:r>
            <w:r w:rsidRPr="007928D3">
              <w:rPr>
                <w:rFonts w:cs="Calibri"/>
                <w:b/>
                <w:i/>
                <w:sz w:val="28"/>
                <w:szCs w:val="28"/>
              </w:rPr>
              <w:t xml:space="preserve">Ensemble des interactions écrites et verbales entre le(s) consommateur(s) et </w:t>
            </w:r>
            <w:r w:rsidR="006C4FB2">
              <w:rPr>
                <w:rFonts w:cs="Calibri"/>
                <w:b/>
                <w:i/>
                <w:sz w:val="28"/>
                <w:szCs w:val="28"/>
              </w:rPr>
              <w:t>Gazifère</w:t>
            </w:r>
            <w:r w:rsidRPr="007928D3">
              <w:rPr>
                <w:rFonts w:cs="Calibri"/>
                <w:b/>
                <w:i/>
                <w:sz w:val="28"/>
                <w:szCs w:val="28"/>
              </w:rPr>
              <w:t xml:space="preserve"> liées à la plainte</w:t>
            </w:r>
          </w:p>
        </w:tc>
      </w:tr>
      <w:tr w:rsidR="00DC782D" w14:paraId="76702B5A" w14:textId="77777777" w:rsidTr="009370FA">
        <w:trPr>
          <w:gridAfter w:val="1"/>
          <w:wAfter w:w="421" w:type="dxa"/>
        </w:trPr>
        <w:tc>
          <w:tcPr>
            <w:tcW w:w="8975" w:type="dxa"/>
            <w:tcBorders>
              <w:top w:val="nil"/>
              <w:left w:val="nil"/>
              <w:bottom w:val="nil"/>
              <w:right w:val="nil"/>
            </w:tcBorders>
          </w:tcPr>
          <w:p w14:paraId="535B7F6C" w14:textId="1D71FD0E" w:rsidR="00932496"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 xml:space="preserve">Fournir, en ordre chronologique, une copie de toutes les correspondances échangées entre le(s) consommateur(s) et </w:t>
            </w:r>
            <w:r w:rsidR="006C4FB2">
              <w:rPr>
                <w:sz w:val="24"/>
                <w:szCs w:val="24"/>
              </w:rPr>
              <w:t>Gazifère</w:t>
            </w:r>
            <w:r w:rsidRPr="6443AAE3">
              <w:rPr>
                <w:sz w:val="24"/>
                <w:szCs w:val="24"/>
              </w:rPr>
              <w:t>.</w:t>
            </w:r>
          </w:p>
          <w:p w14:paraId="78343297" w14:textId="6A2CAC5C" w:rsidR="00932496" w:rsidRPr="002B616F"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 xml:space="preserve">Pour les communications verbales, fournir une copie des notes internes relatives à toutes les interactions entre le(s) consommateur(s) et </w:t>
            </w:r>
            <w:r w:rsidR="006C4FB2">
              <w:rPr>
                <w:sz w:val="24"/>
                <w:szCs w:val="24"/>
              </w:rPr>
              <w:t>Gazifère</w:t>
            </w:r>
            <w:r w:rsidRPr="6443AAE3">
              <w:rPr>
                <w:sz w:val="24"/>
                <w:szCs w:val="24"/>
              </w:rPr>
              <w:t>. Lorsque disponible, fournir une copie des registres internes des appels et des rencontres.</w:t>
            </w:r>
          </w:p>
          <w:p w14:paraId="0585BB54" w14:textId="77777777" w:rsidR="00932496" w:rsidRPr="00D50704" w:rsidRDefault="00932496" w:rsidP="00352626">
            <w:pPr>
              <w:spacing w:after="0"/>
              <w:rPr>
                <w:szCs w:val="24"/>
              </w:rPr>
            </w:pPr>
          </w:p>
        </w:tc>
      </w:tr>
      <w:tr w:rsidR="00DC782D" w14:paraId="43778A34" w14:textId="77777777" w:rsidTr="009370FA">
        <w:tc>
          <w:tcPr>
            <w:tcW w:w="9396" w:type="dxa"/>
            <w:gridSpan w:val="2"/>
            <w:tcBorders>
              <w:top w:val="nil"/>
              <w:left w:val="nil"/>
              <w:bottom w:val="nil"/>
              <w:right w:val="nil"/>
            </w:tcBorders>
          </w:tcPr>
          <w:p w14:paraId="483C117B" w14:textId="77777777" w:rsidR="00932496" w:rsidRPr="00D50704" w:rsidRDefault="00AA550E" w:rsidP="00352626">
            <w:pPr>
              <w:spacing w:before="200" w:after="0"/>
              <w:rPr>
                <w:szCs w:val="24"/>
              </w:rPr>
            </w:pPr>
            <w:r w:rsidRPr="007928D3">
              <w:rPr>
                <w:rFonts w:cs="Calibri"/>
                <w:b/>
                <w:i/>
                <w:sz w:val="28"/>
                <w:szCs w:val="28"/>
              </w:rPr>
              <w:t>Onglet</w:t>
            </w:r>
            <w:r>
              <w:rPr>
                <w:rFonts w:cs="Calibri"/>
                <w:b/>
                <w:i/>
                <w:sz w:val="28"/>
                <w:szCs w:val="28"/>
              </w:rPr>
              <w:t>s</w:t>
            </w:r>
            <w:r w:rsidRPr="007928D3">
              <w:rPr>
                <w:rFonts w:cs="Calibri"/>
                <w:b/>
                <w:i/>
                <w:sz w:val="28"/>
                <w:szCs w:val="28"/>
              </w:rPr>
              <w:t xml:space="preserve"> 8 et suivants : Documents à l’appui de chacun des faits mentionnés dans l’historique des faits et autres éléments de preuve, le cas échéant</w:t>
            </w:r>
          </w:p>
        </w:tc>
      </w:tr>
      <w:tr w:rsidR="00DC782D" w14:paraId="657CC158" w14:textId="77777777" w:rsidTr="009370FA">
        <w:trPr>
          <w:gridAfter w:val="1"/>
          <w:wAfter w:w="421" w:type="dxa"/>
        </w:trPr>
        <w:tc>
          <w:tcPr>
            <w:tcW w:w="8975" w:type="dxa"/>
            <w:tcBorders>
              <w:top w:val="nil"/>
              <w:left w:val="nil"/>
              <w:bottom w:val="nil"/>
              <w:right w:val="nil"/>
            </w:tcBorders>
          </w:tcPr>
          <w:p w14:paraId="5BFDC3A8" w14:textId="77777777" w:rsidR="00932496" w:rsidRPr="007E15B9"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Fournir tous les renseignements et toutes les pièces justificatives pertinents au traitement de la plainte, en fonction du contexte et des faits au dossier.</w:t>
            </w:r>
          </w:p>
          <w:p w14:paraId="3147EAE9" w14:textId="77777777" w:rsidR="00932496" w:rsidRPr="00AF66B6" w:rsidRDefault="00AA550E" w:rsidP="00352626">
            <w:pPr>
              <w:pStyle w:val="Paragraphedeliste"/>
              <w:numPr>
                <w:ilvl w:val="3"/>
                <w:numId w:val="8"/>
              </w:numPr>
              <w:spacing w:before="0" w:after="0" w:line="264" w:lineRule="auto"/>
              <w:ind w:left="630" w:hanging="630"/>
              <w:contextualSpacing w:val="0"/>
              <w:jc w:val="both"/>
              <w:rPr>
                <w:sz w:val="24"/>
                <w:szCs w:val="24"/>
              </w:rPr>
            </w:pPr>
            <w:r w:rsidRPr="6443AAE3">
              <w:rPr>
                <w:sz w:val="24"/>
                <w:szCs w:val="24"/>
              </w:rPr>
              <w:t xml:space="preserve">Pour les plaintes relatives à la contestation de la consommation </w:t>
            </w:r>
            <w:r w:rsidRPr="00D50704">
              <w:rPr>
                <w:sz w:val="24"/>
                <w:szCs w:val="24"/>
              </w:rPr>
              <w:t>de gaz naturel</w:t>
            </w:r>
            <w:r w:rsidRPr="6443AAE3">
              <w:rPr>
                <w:sz w:val="24"/>
                <w:szCs w:val="24"/>
              </w:rPr>
              <w:t>, fournir un tableau de l’historique de consommation contenant les renseignements suivants :</w:t>
            </w:r>
          </w:p>
          <w:p w14:paraId="2F0BAF2F" w14:textId="77777777" w:rsidR="00932496" w:rsidRPr="007928D3" w:rsidRDefault="00AA550E" w:rsidP="00352626">
            <w:pPr>
              <w:pStyle w:val="Paragraphedeliste"/>
              <w:numPr>
                <w:ilvl w:val="0"/>
                <w:numId w:val="16"/>
              </w:numPr>
              <w:spacing w:before="0" w:after="0" w:line="264" w:lineRule="auto"/>
              <w:ind w:left="993" w:hanging="426"/>
              <w:contextualSpacing w:val="0"/>
              <w:jc w:val="both"/>
              <w:rPr>
                <w:rFonts w:cs="Calibri"/>
                <w:sz w:val="24"/>
                <w:szCs w:val="24"/>
              </w:rPr>
            </w:pPr>
            <w:r w:rsidRPr="007928D3">
              <w:rPr>
                <w:rFonts w:cs="Calibri"/>
                <w:sz w:val="24"/>
                <w:szCs w:val="24"/>
              </w:rPr>
              <w:t>Début de la période de consommation;</w:t>
            </w:r>
          </w:p>
          <w:p w14:paraId="6E4C5CF0" w14:textId="77777777" w:rsidR="00932496" w:rsidRPr="007928D3" w:rsidRDefault="00AA550E" w:rsidP="00352626">
            <w:pPr>
              <w:pStyle w:val="Paragraphedeliste"/>
              <w:numPr>
                <w:ilvl w:val="0"/>
                <w:numId w:val="16"/>
              </w:numPr>
              <w:spacing w:before="0" w:after="0" w:line="264" w:lineRule="auto"/>
              <w:ind w:left="992" w:hanging="425"/>
              <w:jc w:val="both"/>
              <w:rPr>
                <w:rFonts w:cs="Calibri"/>
                <w:sz w:val="24"/>
                <w:szCs w:val="24"/>
              </w:rPr>
            </w:pPr>
            <w:r w:rsidRPr="007928D3">
              <w:rPr>
                <w:rFonts w:cs="Calibri"/>
                <w:sz w:val="24"/>
                <w:szCs w:val="24"/>
              </w:rPr>
              <w:t>Fin de la période de consommation;</w:t>
            </w:r>
          </w:p>
          <w:p w14:paraId="02964C3E" w14:textId="77777777" w:rsidR="00932496" w:rsidRPr="007928D3" w:rsidRDefault="00AA550E" w:rsidP="00352626">
            <w:pPr>
              <w:pStyle w:val="Paragraphedeliste"/>
              <w:numPr>
                <w:ilvl w:val="0"/>
                <w:numId w:val="16"/>
              </w:numPr>
              <w:spacing w:before="0" w:after="0" w:line="264" w:lineRule="auto"/>
              <w:ind w:left="992" w:hanging="425"/>
              <w:jc w:val="both"/>
              <w:rPr>
                <w:rFonts w:cs="Calibri"/>
                <w:sz w:val="24"/>
                <w:szCs w:val="24"/>
              </w:rPr>
            </w:pPr>
            <w:r w:rsidRPr="007928D3">
              <w:rPr>
                <w:rFonts w:cs="Calibri"/>
                <w:sz w:val="24"/>
                <w:szCs w:val="24"/>
              </w:rPr>
              <w:t>Nombre de jours de la période de consommation;</w:t>
            </w:r>
          </w:p>
          <w:p w14:paraId="5AF78D1C" w14:textId="77777777" w:rsidR="00932496" w:rsidRPr="007928D3" w:rsidRDefault="00AA550E" w:rsidP="00352626">
            <w:pPr>
              <w:pStyle w:val="Paragraphedeliste"/>
              <w:numPr>
                <w:ilvl w:val="0"/>
                <w:numId w:val="16"/>
              </w:numPr>
              <w:spacing w:before="0" w:after="0" w:line="264" w:lineRule="auto"/>
              <w:ind w:left="992" w:hanging="425"/>
              <w:jc w:val="both"/>
              <w:rPr>
                <w:rFonts w:cs="Calibri"/>
                <w:sz w:val="24"/>
                <w:szCs w:val="24"/>
              </w:rPr>
            </w:pPr>
            <w:r w:rsidRPr="007928D3">
              <w:rPr>
                <w:rFonts w:cs="Calibri"/>
                <w:sz w:val="24"/>
                <w:szCs w:val="24"/>
              </w:rPr>
              <w:t>Consommation facturée, en indiquant si elle est réelle ou estimée</w:t>
            </w:r>
          </w:p>
          <w:p w14:paraId="0DCF51AB" w14:textId="77777777" w:rsidR="00932496" w:rsidRPr="00D50704" w:rsidRDefault="00932496" w:rsidP="0022146D">
            <w:pPr>
              <w:spacing w:after="0"/>
              <w:rPr>
                <w:szCs w:val="24"/>
              </w:rPr>
            </w:pPr>
          </w:p>
        </w:tc>
      </w:tr>
    </w:tbl>
    <w:p w14:paraId="7C32A359" w14:textId="77777777" w:rsidR="00192583" w:rsidRPr="00325D53" w:rsidRDefault="00192583" w:rsidP="00192583">
      <w:pPr>
        <w:pStyle w:val="Titre1"/>
        <w:spacing w:before="200" w:after="0"/>
      </w:pPr>
      <w:r>
        <w:lastRenderedPageBreak/>
        <w:t>ENTRÉE EN VIGUEUR</w:t>
      </w:r>
    </w:p>
    <w:p w14:paraId="3DB18AC3" w14:textId="27C7DBD4" w:rsidR="00192583" w:rsidRPr="0025607B" w:rsidRDefault="00192583" w:rsidP="00192583">
      <w:pPr>
        <w:rPr>
          <w:rFonts w:eastAsia="Yu Mincho" w:cs="Arial"/>
          <w:szCs w:val="24"/>
          <w:lang w:eastAsia="en-US"/>
        </w:rPr>
      </w:pPr>
      <w:r w:rsidRPr="0025607B">
        <w:rPr>
          <w:rFonts w:eastAsia="Yu Mincho" w:cs="Arial"/>
          <w:szCs w:val="24"/>
          <w:lang w:eastAsia="en-US"/>
        </w:rPr>
        <w:t>Le présent Guide de dépôt entre en vigueur le 11 avril 2023.</w:t>
      </w:r>
      <w:r>
        <w:rPr>
          <w:szCs w:val="24"/>
        </w:rPr>
        <w:t xml:space="preserve"> À compter de cette date, il remplace le Guide de dépôt de Gazifère émis le 2 avril 2009 par la Régie.</w:t>
      </w:r>
    </w:p>
    <w:p w14:paraId="069D3B63" w14:textId="77777777" w:rsidR="002871B4" w:rsidRPr="00932496" w:rsidRDefault="002871B4" w:rsidP="00352626">
      <w:pPr>
        <w:rPr>
          <w:rFonts w:cs="Calibri"/>
          <w:szCs w:val="24"/>
        </w:rPr>
      </w:pPr>
    </w:p>
    <w:p w14:paraId="3B784C2A" w14:textId="77777777" w:rsidR="002871B4" w:rsidRDefault="002871B4" w:rsidP="00352626">
      <w:pPr>
        <w:rPr>
          <w:rFonts w:cs="Calibri"/>
          <w:szCs w:val="24"/>
          <w:lang w:eastAsia="fr-CA"/>
        </w:rPr>
      </w:pPr>
    </w:p>
    <w:p w14:paraId="58FBEB7A" w14:textId="34F87A4B" w:rsidR="00192583" w:rsidRPr="00325D53" w:rsidRDefault="00192583" w:rsidP="00352626">
      <w:pPr>
        <w:rPr>
          <w:rFonts w:cs="Calibri"/>
          <w:szCs w:val="24"/>
          <w:lang w:eastAsia="fr-CA"/>
        </w:rPr>
        <w:sectPr w:rsidR="00192583" w:rsidRPr="00325D53" w:rsidSect="009C44D3">
          <w:pgSz w:w="12240" w:h="15840" w:code="119"/>
          <w:pgMar w:top="1417" w:right="1417" w:bottom="1417" w:left="1417" w:header="708" w:footer="708" w:gutter="0"/>
          <w:cols w:space="708"/>
          <w:titlePg/>
          <w:docGrid w:linePitch="360"/>
        </w:sectPr>
      </w:pPr>
    </w:p>
    <w:p w14:paraId="53858F18" w14:textId="77777777" w:rsidR="00FC6407" w:rsidRPr="009C797D" w:rsidRDefault="00AA550E" w:rsidP="00352626">
      <w:pPr>
        <w:pStyle w:val="Titre1"/>
        <w:numPr>
          <w:ilvl w:val="0"/>
          <w:numId w:val="0"/>
        </w:numPr>
        <w:ind w:left="567" w:hanging="567"/>
        <w:rPr>
          <w:rFonts w:cs="Calibri"/>
        </w:rPr>
      </w:pPr>
      <w:bookmarkStart w:id="90" w:name="_Toc124329973"/>
      <w:r w:rsidRPr="009C797D">
        <w:rPr>
          <w:rFonts w:cs="Calibri"/>
        </w:rPr>
        <w:lastRenderedPageBreak/>
        <w:t>Annexe A – Modèle de Demande de renseignements</w:t>
      </w:r>
      <w:bookmarkEnd w:id="90"/>
    </w:p>
    <w:p w14:paraId="45CF7B83" w14:textId="77777777" w:rsidR="00FC6407" w:rsidRPr="009C797D" w:rsidRDefault="00FC6407" w:rsidP="00352626">
      <w:pPr>
        <w:rPr>
          <w:rFonts w:cs="Calibri"/>
        </w:rPr>
      </w:pPr>
    </w:p>
    <w:p w14:paraId="43C22ABB" w14:textId="77777777" w:rsidR="00FC6407" w:rsidRPr="009C797D" w:rsidRDefault="00AA550E" w:rsidP="00352626">
      <w:pPr>
        <w:pStyle w:val="En-tte"/>
        <w:pBdr>
          <w:top w:val="single" w:sz="4" w:space="0" w:color="auto"/>
          <w:left w:val="single" w:sz="4" w:space="4" w:color="auto"/>
          <w:bottom w:val="single" w:sz="4" w:space="0" w:color="auto"/>
          <w:right w:val="single" w:sz="4" w:space="4" w:color="auto"/>
        </w:pBdr>
        <w:spacing w:before="0" w:after="0"/>
        <w:rPr>
          <w:rFonts w:cs="Calibri"/>
          <w:b/>
          <w:bCs/>
          <w:sz w:val="20"/>
          <w:szCs w:val="20"/>
        </w:rPr>
      </w:pPr>
      <w:r w:rsidRPr="009C797D">
        <w:rPr>
          <w:rFonts w:cs="Calibri"/>
          <w:b/>
          <w:bCs/>
          <w:sz w:val="20"/>
          <w:szCs w:val="20"/>
        </w:rPr>
        <w:t>Le jour mois 20XX</w:t>
      </w:r>
    </w:p>
    <w:p w14:paraId="0AEE0F1E" w14:textId="77777777" w:rsidR="00FC6407" w:rsidRPr="009C797D" w:rsidRDefault="00AA550E" w:rsidP="00352626">
      <w:pPr>
        <w:pStyle w:val="En-tte"/>
        <w:pBdr>
          <w:top w:val="single" w:sz="4" w:space="0" w:color="auto"/>
          <w:left w:val="single" w:sz="4" w:space="4" w:color="auto"/>
          <w:bottom w:val="single" w:sz="4" w:space="0" w:color="auto"/>
          <w:right w:val="single" w:sz="4" w:space="4" w:color="auto"/>
        </w:pBdr>
        <w:spacing w:before="0" w:after="0"/>
        <w:rPr>
          <w:rFonts w:cs="Calibri"/>
          <w:b/>
          <w:bCs/>
          <w:sz w:val="20"/>
          <w:szCs w:val="20"/>
        </w:rPr>
      </w:pPr>
      <w:r w:rsidRPr="009C797D">
        <w:rPr>
          <w:rFonts w:cs="Calibri"/>
          <w:b/>
          <w:bCs/>
          <w:sz w:val="20"/>
          <w:szCs w:val="20"/>
        </w:rPr>
        <w:t>N</w:t>
      </w:r>
      <w:r w:rsidRPr="009C797D">
        <w:rPr>
          <w:rFonts w:cs="Calibri"/>
          <w:b/>
          <w:bCs/>
          <w:sz w:val="20"/>
          <w:szCs w:val="20"/>
          <w:vertAlign w:val="superscript"/>
        </w:rPr>
        <w:t>o</w:t>
      </w:r>
      <w:r w:rsidRPr="009C797D">
        <w:rPr>
          <w:rFonts w:cs="Calibri"/>
          <w:b/>
          <w:bCs/>
          <w:sz w:val="20"/>
          <w:szCs w:val="20"/>
        </w:rPr>
        <w:t xml:space="preserve"> de dossier : R-4XXX-20XX</w:t>
      </w:r>
    </w:p>
    <w:p w14:paraId="69C6BACD" w14:textId="77777777" w:rsidR="00FC6407" w:rsidRPr="009C797D" w:rsidRDefault="00AA550E" w:rsidP="00352626">
      <w:pPr>
        <w:pStyle w:val="En-tte"/>
        <w:pBdr>
          <w:top w:val="single" w:sz="4" w:space="0" w:color="auto"/>
          <w:left w:val="single" w:sz="4" w:space="4" w:color="auto"/>
          <w:bottom w:val="single" w:sz="4" w:space="0" w:color="auto"/>
          <w:right w:val="single" w:sz="4" w:space="4" w:color="auto"/>
        </w:pBdr>
        <w:spacing w:before="0" w:after="0"/>
        <w:rPr>
          <w:rFonts w:cs="Calibri"/>
          <w:b/>
          <w:bCs/>
          <w:sz w:val="20"/>
          <w:szCs w:val="20"/>
        </w:rPr>
      </w:pPr>
      <w:r w:rsidRPr="009C797D">
        <w:rPr>
          <w:rFonts w:cs="Calibri"/>
          <w:b/>
          <w:bCs/>
          <w:sz w:val="20"/>
          <w:szCs w:val="20"/>
        </w:rPr>
        <w:t>Demande de renseignements n</w:t>
      </w:r>
      <w:r w:rsidRPr="009C797D">
        <w:rPr>
          <w:rFonts w:cs="Calibri"/>
          <w:b/>
          <w:bCs/>
          <w:sz w:val="20"/>
          <w:szCs w:val="20"/>
          <w:vertAlign w:val="superscript"/>
        </w:rPr>
        <w:t>o</w:t>
      </w:r>
      <w:r w:rsidRPr="009C797D">
        <w:rPr>
          <w:rFonts w:cs="Calibri"/>
          <w:b/>
          <w:bCs/>
          <w:sz w:val="20"/>
          <w:szCs w:val="20"/>
        </w:rPr>
        <w:t xml:space="preserve"> 1 de (nom du demandeur/intervenant) à (nom du demandeur/intervenant)</w:t>
      </w:r>
    </w:p>
    <w:p w14:paraId="07F94090" w14:textId="77777777" w:rsidR="00FC6407" w:rsidRPr="009C797D" w:rsidRDefault="00AA550E" w:rsidP="00352626">
      <w:pPr>
        <w:pStyle w:val="En-tte"/>
        <w:pBdr>
          <w:top w:val="single" w:sz="4" w:space="0" w:color="auto"/>
          <w:left w:val="single" w:sz="4" w:space="4" w:color="auto"/>
          <w:bottom w:val="single" w:sz="4" w:space="0" w:color="auto"/>
          <w:right w:val="single" w:sz="4" w:space="4" w:color="auto"/>
        </w:pBdr>
        <w:spacing w:before="0" w:after="0"/>
        <w:rPr>
          <w:rStyle w:val="Numrodepage"/>
          <w:rFonts w:cs="Calibri"/>
          <w:sz w:val="20"/>
          <w:szCs w:val="20"/>
        </w:rPr>
      </w:pPr>
      <w:r w:rsidRPr="009C797D">
        <w:rPr>
          <w:rFonts w:cs="Calibri"/>
          <w:b/>
          <w:bCs/>
          <w:sz w:val="20"/>
          <w:szCs w:val="20"/>
        </w:rPr>
        <w:t xml:space="preserve">Page </w:t>
      </w:r>
      <w:r w:rsidRPr="009C797D">
        <w:rPr>
          <w:rStyle w:val="Numrodepage"/>
          <w:rFonts w:cs="Calibri"/>
          <w:b/>
          <w:bCs/>
          <w:sz w:val="20"/>
          <w:szCs w:val="20"/>
        </w:rPr>
        <w:t>1 de</w:t>
      </w:r>
      <w:r w:rsidRPr="009C797D">
        <w:rPr>
          <w:rStyle w:val="Numrodepage"/>
          <w:rFonts w:cs="Calibri"/>
          <w:sz w:val="20"/>
          <w:szCs w:val="20"/>
        </w:rPr>
        <w:t xml:space="preserve"> </w:t>
      </w:r>
      <w:r w:rsidRPr="009C797D">
        <w:rPr>
          <w:rStyle w:val="Numrodepage"/>
          <w:rFonts w:cs="Calibri"/>
          <w:b/>
          <w:bCs/>
          <w:sz w:val="20"/>
          <w:szCs w:val="20"/>
        </w:rPr>
        <w:t>X</w:t>
      </w:r>
    </w:p>
    <w:p w14:paraId="002E91FC" w14:textId="77777777" w:rsidR="00FC6407" w:rsidRPr="009C797D" w:rsidRDefault="00FC6407" w:rsidP="00352626">
      <w:pPr>
        <w:pStyle w:val="En-tte"/>
        <w:rPr>
          <w:rFonts w:cs="Calibri"/>
          <w:szCs w:val="24"/>
        </w:rPr>
      </w:pPr>
    </w:p>
    <w:p w14:paraId="15A31078" w14:textId="77777777" w:rsidR="009C4B7B" w:rsidRDefault="00AA550E" w:rsidP="00352626">
      <w:pPr>
        <w:spacing w:after="0" w:line="240" w:lineRule="auto"/>
        <w:rPr>
          <w:rFonts w:cs="Calibri"/>
          <w:b/>
          <w:bCs/>
          <w:smallCaps/>
          <w:szCs w:val="24"/>
        </w:rPr>
      </w:pPr>
      <w:r w:rsidRPr="009C797D">
        <w:rPr>
          <w:rFonts w:cs="Calibri"/>
          <w:b/>
          <w:bCs/>
          <w:smallCaps/>
          <w:szCs w:val="24"/>
        </w:rPr>
        <w:t>Demande de renseignements n</w:t>
      </w:r>
      <w:r w:rsidRPr="009C797D">
        <w:rPr>
          <w:rFonts w:cs="Calibri"/>
          <w:b/>
          <w:bCs/>
          <w:smallCaps/>
          <w:szCs w:val="24"/>
          <w:vertAlign w:val="superscript"/>
        </w:rPr>
        <w:t>o</w:t>
      </w:r>
      <w:r w:rsidRPr="009C797D">
        <w:rPr>
          <w:rFonts w:cs="Calibri"/>
          <w:b/>
          <w:bCs/>
          <w:smallCaps/>
          <w:szCs w:val="24"/>
        </w:rPr>
        <w:t xml:space="preserve"> 1 de (nom du demandeur/intervenant) relative à</w:t>
      </w:r>
    </w:p>
    <w:p w14:paraId="2BBB8D9C" w14:textId="77777777" w:rsidR="00FC6407" w:rsidRPr="009C797D" w:rsidRDefault="00AA550E" w:rsidP="00352626">
      <w:pPr>
        <w:spacing w:before="0" w:line="240" w:lineRule="auto"/>
        <w:rPr>
          <w:rFonts w:cs="Calibri"/>
          <w:b/>
          <w:bCs/>
          <w:smallCaps/>
          <w:szCs w:val="24"/>
        </w:rPr>
      </w:pPr>
      <w:r w:rsidRPr="009C797D">
        <w:rPr>
          <w:rFonts w:cs="Calibri"/>
          <w:b/>
          <w:bCs/>
          <w:smallCaps/>
          <w:szCs w:val="24"/>
        </w:rPr>
        <w:t xml:space="preserve">Titre de la demande </w:t>
      </w:r>
    </w:p>
    <w:p w14:paraId="55345C7D" w14:textId="77777777" w:rsidR="00FC6407" w:rsidRPr="009C797D" w:rsidRDefault="00FC6407" w:rsidP="00352626">
      <w:pPr>
        <w:pBdr>
          <w:top w:val="single" w:sz="4" w:space="1" w:color="auto"/>
        </w:pBdr>
        <w:spacing w:line="240" w:lineRule="auto"/>
        <w:rPr>
          <w:rFonts w:cs="Calibri"/>
          <w:szCs w:val="24"/>
        </w:rPr>
      </w:pPr>
    </w:p>
    <w:p w14:paraId="54CD0A04" w14:textId="77777777" w:rsidR="00FC6407" w:rsidRPr="009C797D" w:rsidRDefault="00AA550E" w:rsidP="00352626">
      <w:pPr>
        <w:pBdr>
          <w:top w:val="single" w:sz="4" w:space="1" w:color="auto"/>
        </w:pBdr>
        <w:spacing w:line="240" w:lineRule="auto"/>
        <w:rPr>
          <w:rFonts w:cs="Calibri"/>
          <w:b/>
          <w:bCs/>
          <w:szCs w:val="24"/>
        </w:rPr>
      </w:pPr>
      <w:r w:rsidRPr="009C797D">
        <w:rPr>
          <w:rFonts w:cs="Calibri"/>
          <w:b/>
          <w:bCs/>
          <w:szCs w:val="24"/>
        </w:rPr>
        <w:t>TITRE DE LA SECTION (s’il y a lieu)</w:t>
      </w:r>
    </w:p>
    <w:p w14:paraId="590616CA" w14:textId="77777777" w:rsidR="00FC6407" w:rsidRPr="009C797D" w:rsidRDefault="00FC6407" w:rsidP="00352626">
      <w:pPr>
        <w:pBdr>
          <w:top w:val="single" w:sz="4" w:space="1" w:color="auto"/>
        </w:pBdr>
        <w:spacing w:line="240" w:lineRule="auto"/>
        <w:rPr>
          <w:rFonts w:cs="Calibri"/>
          <w:b/>
          <w:bCs/>
          <w:szCs w:val="24"/>
        </w:rPr>
      </w:pPr>
    </w:p>
    <w:p w14:paraId="59A52D55" w14:textId="77777777" w:rsidR="00FC6407" w:rsidRPr="009C797D" w:rsidRDefault="00AA550E" w:rsidP="00352626">
      <w:pPr>
        <w:numPr>
          <w:ilvl w:val="0"/>
          <w:numId w:val="11"/>
        </w:numPr>
        <w:tabs>
          <w:tab w:val="left" w:pos="2127"/>
          <w:tab w:val="left" w:pos="2694"/>
          <w:tab w:val="left" w:pos="6237"/>
        </w:tabs>
        <w:spacing w:line="240" w:lineRule="auto"/>
        <w:rPr>
          <w:rFonts w:cs="Calibri"/>
          <w:szCs w:val="24"/>
        </w:rPr>
      </w:pPr>
      <w:r w:rsidRPr="009C797D">
        <w:rPr>
          <w:rFonts w:cs="Calibri"/>
          <w:b/>
          <w:bCs/>
          <w:szCs w:val="24"/>
        </w:rPr>
        <w:t>Références :</w:t>
      </w:r>
      <w:r w:rsidRPr="009C797D">
        <w:rPr>
          <w:rFonts w:cs="Calibri"/>
          <w:szCs w:val="24"/>
        </w:rPr>
        <w:tab/>
      </w:r>
      <w:r w:rsidR="009C4B7B">
        <w:rPr>
          <w:rFonts w:cs="Calibri"/>
          <w:szCs w:val="24"/>
        </w:rPr>
        <w:t>(i)</w:t>
      </w:r>
      <w:r w:rsidR="009C4B7B">
        <w:rPr>
          <w:rFonts w:cs="Calibri"/>
          <w:szCs w:val="24"/>
        </w:rPr>
        <w:tab/>
        <w:t xml:space="preserve">Pièce ou autre référence : </w:t>
      </w:r>
      <w:r w:rsidRPr="009C797D">
        <w:rPr>
          <w:rFonts w:cs="Calibri"/>
          <w:szCs w:val="24"/>
        </w:rPr>
        <w:t>Lien hypertexte;</w:t>
      </w:r>
    </w:p>
    <w:p w14:paraId="30C8E993" w14:textId="77777777" w:rsidR="00FC6407" w:rsidRPr="009C797D" w:rsidRDefault="00AA550E" w:rsidP="00352626">
      <w:pPr>
        <w:pStyle w:val="Paragraphedeliste"/>
        <w:numPr>
          <w:ilvl w:val="0"/>
          <w:numId w:val="13"/>
        </w:numPr>
        <w:tabs>
          <w:tab w:val="left" w:pos="2127"/>
          <w:tab w:val="left" w:pos="2694"/>
          <w:tab w:val="left" w:pos="6237"/>
        </w:tabs>
        <w:spacing w:after="0" w:line="240" w:lineRule="auto"/>
        <w:ind w:left="2694" w:hanging="567"/>
        <w:jc w:val="both"/>
        <w:rPr>
          <w:rFonts w:cs="Calibri"/>
          <w:bCs/>
          <w:sz w:val="24"/>
          <w:szCs w:val="24"/>
        </w:rPr>
      </w:pPr>
      <w:r w:rsidRPr="009C797D">
        <w:rPr>
          <w:rFonts w:cs="Calibri"/>
          <w:bCs/>
          <w:sz w:val="24"/>
          <w:szCs w:val="24"/>
        </w:rPr>
        <w:t>Pièce;</w:t>
      </w:r>
    </w:p>
    <w:p w14:paraId="26B5821F" w14:textId="77777777" w:rsidR="00FC6407" w:rsidRPr="009C797D" w:rsidRDefault="00AA550E" w:rsidP="00352626">
      <w:pPr>
        <w:pStyle w:val="Paragraphedeliste"/>
        <w:numPr>
          <w:ilvl w:val="0"/>
          <w:numId w:val="13"/>
        </w:numPr>
        <w:tabs>
          <w:tab w:val="left" w:pos="2127"/>
          <w:tab w:val="left" w:pos="2694"/>
          <w:tab w:val="left" w:pos="6237"/>
        </w:tabs>
        <w:spacing w:after="0" w:line="240" w:lineRule="auto"/>
        <w:ind w:left="2694" w:hanging="567"/>
        <w:jc w:val="both"/>
        <w:rPr>
          <w:rFonts w:cs="Calibri"/>
          <w:bCs/>
          <w:sz w:val="24"/>
          <w:szCs w:val="24"/>
        </w:rPr>
      </w:pPr>
      <w:r w:rsidRPr="009C797D">
        <w:rPr>
          <w:rFonts w:cs="Calibri"/>
          <w:bCs/>
          <w:sz w:val="24"/>
          <w:szCs w:val="24"/>
        </w:rPr>
        <w:t>Pièce.</w:t>
      </w:r>
    </w:p>
    <w:p w14:paraId="1C4DB150" w14:textId="77777777" w:rsidR="00FC6407" w:rsidRPr="009C797D" w:rsidRDefault="00FC6407" w:rsidP="00352626">
      <w:pPr>
        <w:spacing w:line="240" w:lineRule="auto"/>
        <w:rPr>
          <w:rFonts w:cs="Calibri"/>
          <w:szCs w:val="24"/>
        </w:rPr>
      </w:pPr>
    </w:p>
    <w:p w14:paraId="6B97F991" w14:textId="77777777" w:rsidR="00FC6407" w:rsidRPr="009C797D" w:rsidRDefault="00AA550E" w:rsidP="00352626">
      <w:pPr>
        <w:spacing w:line="240" w:lineRule="auto"/>
        <w:rPr>
          <w:rFonts w:cs="Calibri"/>
          <w:b/>
          <w:bCs/>
          <w:szCs w:val="24"/>
        </w:rPr>
      </w:pPr>
      <w:r>
        <w:rPr>
          <w:rFonts w:cs="Calibri"/>
          <w:b/>
          <w:bCs/>
          <w:szCs w:val="24"/>
        </w:rPr>
        <w:t>Préambule :</w:t>
      </w:r>
    </w:p>
    <w:p w14:paraId="404E0FA9" w14:textId="77777777" w:rsidR="00FC6407" w:rsidRPr="009C797D" w:rsidRDefault="00FC6407" w:rsidP="00352626">
      <w:pPr>
        <w:spacing w:line="240" w:lineRule="auto"/>
        <w:rPr>
          <w:rFonts w:cs="Calibri"/>
          <w:b/>
          <w:bCs/>
          <w:szCs w:val="24"/>
        </w:rPr>
      </w:pPr>
    </w:p>
    <w:p w14:paraId="0DBB9419" w14:textId="77777777" w:rsidR="00FC6407" w:rsidRPr="009C797D" w:rsidRDefault="00AA550E" w:rsidP="00352626">
      <w:pPr>
        <w:numPr>
          <w:ilvl w:val="0"/>
          <w:numId w:val="12"/>
        </w:numPr>
        <w:tabs>
          <w:tab w:val="left" w:pos="567"/>
        </w:tabs>
        <w:spacing w:line="240" w:lineRule="auto"/>
        <w:ind w:left="0" w:firstLine="0"/>
        <w:rPr>
          <w:rFonts w:cs="Calibri"/>
          <w:szCs w:val="24"/>
        </w:rPr>
      </w:pPr>
      <w:r w:rsidRPr="009C797D">
        <w:rPr>
          <w:rFonts w:cs="Calibri"/>
          <w:szCs w:val="24"/>
        </w:rPr>
        <w:t>En référence à la pièce (i).</w:t>
      </w:r>
    </w:p>
    <w:p w14:paraId="702D446B" w14:textId="77777777" w:rsidR="00FC6407" w:rsidRPr="009C797D" w:rsidRDefault="00FC6407" w:rsidP="00352626">
      <w:pPr>
        <w:tabs>
          <w:tab w:val="left" w:pos="567"/>
        </w:tabs>
        <w:spacing w:line="240" w:lineRule="auto"/>
        <w:rPr>
          <w:rFonts w:cs="Calibri"/>
          <w:szCs w:val="24"/>
        </w:rPr>
      </w:pPr>
    </w:p>
    <w:p w14:paraId="13A6A5B3" w14:textId="77777777" w:rsidR="00FC6407" w:rsidRPr="009C797D" w:rsidRDefault="00AA550E" w:rsidP="00352626">
      <w:pPr>
        <w:numPr>
          <w:ilvl w:val="0"/>
          <w:numId w:val="12"/>
        </w:numPr>
        <w:tabs>
          <w:tab w:val="left" w:pos="567"/>
        </w:tabs>
        <w:spacing w:line="240" w:lineRule="auto"/>
        <w:ind w:left="0" w:firstLine="0"/>
        <w:rPr>
          <w:rFonts w:cs="Calibri"/>
          <w:szCs w:val="24"/>
        </w:rPr>
      </w:pPr>
      <w:r w:rsidRPr="009C797D">
        <w:rPr>
          <w:rFonts w:cs="Calibri"/>
          <w:szCs w:val="24"/>
        </w:rPr>
        <w:t>En référence à la pièce (ii). Si nous ajoutons des soulignements dans une citation, voici un exemple :</w:t>
      </w:r>
    </w:p>
    <w:p w14:paraId="7B2F7BFF" w14:textId="77777777" w:rsidR="00FC6407" w:rsidRPr="009C797D" w:rsidRDefault="00FC6407" w:rsidP="00352626">
      <w:pPr>
        <w:rPr>
          <w:rFonts w:cs="Calibri"/>
          <w:szCs w:val="24"/>
        </w:rPr>
      </w:pPr>
    </w:p>
    <w:p w14:paraId="67B4D9C6" w14:textId="77777777" w:rsidR="00FC6407" w:rsidRPr="009C797D" w:rsidRDefault="00AA550E" w:rsidP="00352626">
      <w:pPr>
        <w:spacing w:line="240" w:lineRule="auto"/>
        <w:ind w:right="-92"/>
        <w:rPr>
          <w:rFonts w:cs="Calibri"/>
          <w:bCs/>
          <w:szCs w:val="24"/>
        </w:rPr>
      </w:pPr>
      <w:r w:rsidRPr="009C797D">
        <w:rPr>
          <w:rFonts w:eastAsiaTheme="minorHAnsi" w:cs="Calibri"/>
          <w:i/>
          <w:szCs w:val="24"/>
        </w:rPr>
        <w:t>« Diverses interventions sont déployées pour réduire les besoins à la pointe du réseau.</w:t>
      </w:r>
      <w:r w:rsidRPr="009C797D">
        <w:rPr>
          <w:rFonts w:eastAsiaTheme="minorHAnsi" w:cs="Calibri"/>
          <w:szCs w:val="24"/>
        </w:rPr>
        <w:t xml:space="preserve"> </w:t>
      </w:r>
      <w:r w:rsidRPr="009C797D">
        <w:rPr>
          <w:rFonts w:eastAsiaTheme="minorHAnsi" w:cs="Calibri"/>
          <w:i/>
          <w:szCs w:val="24"/>
        </w:rPr>
        <w:t xml:space="preserve">Les interventions </w:t>
      </w:r>
      <w:r w:rsidRPr="009C797D">
        <w:rPr>
          <w:rFonts w:eastAsiaTheme="minorHAnsi" w:cs="Calibri"/>
          <w:i/>
          <w:szCs w:val="24"/>
          <w:u w:val="single"/>
        </w:rPr>
        <w:t xml:space="preserve">dont la réduction de puissance n'est pas sous le contrôle du Distributeur </w:t>
      </w:r>
      <w:r w:rsidRPr="009C797D">
        <w:rPr>
          <w:rFonts w:eastAsiaTheme="minorHAnsi" w:cs="Calibri"/>
          <w:i/>
          <w:szCs w:val="24"/>
        </w:rPr>
        <w:t xml:space="preserve">sont </w:t>
      </w:r>
      <w:r w:rsidRPr="009C797D">
        <w:rPr>
          <w:rFonts w:eastAsiaTheme="minorHAnsi" w:cs="Calibri"/>
          <w:szCs w:val="24"/>
        </w:rPr>
        <w:t>[…]</w:t>
      </w:r>
      <w:r w:rsidRPr="009C797D">
        <w:rPr>
          <w:rFonts w:eastAsiaTheme="minorHAnsi" w:cs="Calibri"/>
          <w:i/>
          <w:szCs w:val="24"/>
        </w:rPr>
        <w:t xml:space="preserve"> des moyens permettant d'équilibrer le bilan en puissance (par exemple, l'électricité interruptible). » </w:t>
      </w:r>
      <w:r w:rsidRPr="009C797D">
        <w:rPr>
          <w:rFonts w:cs="Calibri"/>
          <w:bCs/>
          <w:szCs w:val="24"/>
        </w:rPr>
        <w:t>[nous soulignons]</w:t>
      </w:r>
    </w:p>
    <w:p w14:paraId="20136FC0" w14:textId="77777777" w:rsidR="00FC6407" w:rsidRPr="009C797D" w:rsidRDefault="00FC6407" w:rsidP="00352626">
      <w:pPr>
        <w:spacing w:line="240" w:lineRule="auto"/>
        <w:ind w:right="-92"/>
        <w:rPr>
          <w:rFonts w:eastAsiaTheme="minorHAnsi" w:cs="Calibri"/>
          <w:szCs w:val="24"/>
        </w:rPr>
      </w:pPr>
    </w:p>
    <w:p w14:paraId="24B2E507" w14:textId="77777777" w:rsidR="00FC6407" w:rsidRPr="009C797D" w:rsidRDefault="00AA550E" w:rsidP="00352626">
      <w:pPr>
        <w:numPr>
          <w:ilvl w:val="0"/>
          <w:numId w:val="12"/>
        </w:numPr>
        <w:tabs>
          <w:tab w:val="left" w:pos="567"/>
        </w:tabs>
        <w:spacing w:line="240" w:lineRule="auto"/>
        <w:ind w:left="0" w:firstLine="0"/>
        <w:rPr>
          <w:rFonts w:cs="Calibri"/>
          <w:szCs w:val="24"/>
        </w:rPr>
      </w:pPr>
      <w:r w:rsidRPr="009C797D">
        <w:rPr>
          <w:rFonts w:cs="Calibri"/>
          <w:szCs w:val="24"/>
        </w:rPr>
        <w:t>En référence à la pièce (iii).</w:t>
      </w:r>
    </w:p>
    <w:p w14:paraId="7E0913EF" w14:textId="77777777" w:rsidR="00FC6407" w:rsidRPr="009C797D" w:rsidRDefault="00FC6407" w:rsidP="00352626">
      <w:pPr>
        <w:spacing w:line="240" w:lineRule="auto"/>
        <w:rPr>
          <w:rFonts w:cs="Calibri"/>
          <w:bCs/>
          <w:szCs w:val="24"/>
        </w:rPr>
      </w:pPr>
    </w:p>
    <w:p w14:paraId="3D4EA239" w14:textId="77777777" w:rsidR="00FC6407" w:rsidRPr="009C797D" w:rsidRDefault="00AA550E" w:rsidP="00352626">
      <w:pPr>
        <w:spacing w:line="240" w:lineRule="auto"/>
        <w:rPr>
          <w:rFonts w:cs="Calibri"/>
          <w:b/>
          <w:bCs/>
          <w:szCs w:val="24"/>
        </w:rPr>
      </w:pPr>
      <w:r w:rsidRPr="009C797D">
        <w:rPr>
          <w:rFonts w:cs="Calibri"/>
          <w:b/>
          <w:bCs/>
          <w:szCs w:val="24"/>
        </w:rPr>
        <w:t>Demandes :</w:t>
      </w:r>
    </w:p>
    <w:p w14:paraId="0CB23BDA" w14:textId="77777777" w:rsidR="00FC6407" w:rsidRPr="009C797D" w:rsidRDefault="00FC6407" w:rsidP="00352626">
      <w:pPr>
        <w:spacing w:line="240" w:lineRule="auto"/>
        <w:rPr>
          <w:rFonts w:cs="Calibri"/>
          <w:b/>
          <w:bCs/>
          <w:szCs w:val="24"/>
        </w:rPr>
      </w:pPr>
    </w:p>
    <w:p w14:paraId="2CAED730" w14:textId="77777777" w:rsidR="00FC6407" w:rsidRPr="009C797D" w:rsidRDefault="00AA550E" w:rsidP="00352626">
      <w:pPr>
        <w:numPr>
          <w:ilvl w:val="1"/>
          <w:numId w:val="11"/>
        </w:numPr>
        <w:tabs>
          <w:tab w:val="clear" w:pos="680"/>
        </w:tabs>
        <w:spacing w:line="240" w:lineRule="auto"/>
        <w:ind w:left="567" w:hanging="567"/>
        <w:rPr>
          <w:rFonts w:cs="Calibri"/>
          <w:szCs w:val="24"/>
        </w:rPr>
      </w:pPr>
      <w:r w:rsidRPr="009C797D">
        <w:rPr>
          <w:rFonts w:cs="Calibri"/>
          <w:szCs w:val="24"/>
        </w:rPr>
        <w:t xml:space="preserve">Première demande en lien avec les références fournies, formulée sous forme d’impératif poli (veuillez fournir, veuillez expliquer, veuillez élaborer, </w:t>
      </w:r>
      <w:r w:rsidR="009C4B7B" w:rsidRPr="009C797D">
        <w:rPr>
          <w:rFonts w:cs="Calibri"/>
          <w:szCs w:val="24"/>
        </w:rPr>
        <w:t>etc.</w:t>
      </w:r>
      <w:r w:rsidRPr="009C797D">
        <w:rPr>
          <w:rFonts w:cs="Calibri"/>
          <w:szCs w:val="24"/>
        </w:rPr>
        <w:t>).</w:t>
      </w:r>
    </w:p>
    <w:p w14:paraId="4A8220BB" w14:textId="77777777" w:rsidR="00FC6407" w:rsidRPr="009C797D" w:rsidRDefault="00FC6407" w:rsidP="00352626">
      <w:pPr>
        <w:spacing w:line="240" w:lineRule="auto"/>
        <w:ind w:left="567" w:hanging="567"/>
        <w:rPr>
          <w:rFonts w:cs="Calibri"/>
          <w:szCs w:val="24"/>
        </w:rPr>
      </w:pPr>
    </w:p>
    <w:p w14:paraId="7D2E8D08" w14:textId="77777777" w:rsidR="00FC6407" w:rsidRPr="009C797D" w:rsidRDefault="00AA550E" w:rsidP="00352626">
      <w:pPr>
        <w:numPr>
          <w:ilvl w:val="1"/>
          <w:numId w:val="11"/>
        </w:numPr>
        <w:tabs>
          <w:tab w:val="clear" w:pos="680"/>
        </w:tabs>
        <w:spacing w:line="240" w:lineRule="auto"/>
        <w:ind w:left="567" w:hanging="567"/>
      </w:pPr>
      <w:r w:rsidRPr="00E30ABF">
        <w:rPr>
          <w:rFonts w:cs="Calibri"/>
          <w:szCs w:val="24"/>
        </w:rPr>
        <w:t>Deuxième demande en lien avec les références fournies.</w:t>
      </w:r>
    </w:p>
    <w:sectPr w:rsidR="00FC6407" w:rsidRPr="009C797D" w:rsidSect="00650362">
      <w:pgSz w:w="12242" w:h="15842" w:code="1"/>
      <w:pgMar w:top="1701" w:right="1418" w:bottom="1418" w:left="1418" w:header="709" w:footer="709"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24D0" w14:textId="77777777" w:rsidR="0011185F" w:rsidRDefault="0011185F">
      <w:pPr>
        <w:spacing w:before="0" w:after="0" w:line="240" w:lineRule="auto"/>
      </w:pPr>
      <w:r>
        <w:separator/>
      </w:r>
    </w:p>
  </w:endnote>
  <w:endnote w:type="continuationSeparator" w:id="0">
    <w:p w14:paraId="06334CDB" w14:textId="77777777" w:rsidR="0011185F" w:rsidRDefault="0011185F">
      <w:pPr>
        <w:spacing w:before="0" w:after="0" w:line="240" w:lineRule="auto"/>
      </w:pPr>
      <w:r>
        <w:continuationSeparator/>
      </w:r>
    </w:p>
  </w:endnote>
  <w:endnote w:type="continuationNotice" w:id="1">
    <w:p w14:paraId="30392B1A" w14:textId="77777777" w:rsidR="0011185F" w:rsidRDefault="001118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C99E" w14:textId="77777777" w:rsidR="00F15E27" w:rsidRDefault="00F15E27">
    <w:pPr>
      <w:pStyle w:val="Pieddepage"/>
      <w:jc w:val="right"/>
    </w:pPr>
  </w:p>
  <w:p w14:paraId="2BB45C49" w14:textId="75C7366F" w:rsidR="00F15E27" w:rsidRPr="00A658B0" w:rsidRDefault="00F15E27" w:rsidP="002C0FA2">
    <w:pPr>
      <w:pStyle w:val="Pieddepage"/>
      <w:pBdr>
        <w:top w:val="single" w:sz="2" w:space="1" w:color="auto"/>
      </w:pBdr>
      <w:tabs>
        <w:tab w:val="clear" w:pos="4320"/>
        <w:tab w:val="clear" w:pos="8640"/>
        <w:tab w:val="center" w:pos="4536"/>
        <w:tab w:val="right" w:pos="9356"/>
      </w:tabs>
      <w:rPr>
        <w:rFonts w:cs="Calibri"/>
        <w:highlight w:val="yellow"/>
      </w:rPr>
    </w:pPr>
    <w:r w:rsidRPr="002777AF">
      <w:rPr>
        <w:rFonts w:cs="Calibri"/>
      </w:rPr>
      <w:t xml:space="preserve">Régie de l’énergie </w:t>
    </w:r>
    <w:r w:rsidRPr="00A82B79">
      <w:rPr>
        <w:rFonts w:cs="Calibri"/>
      </w:rPr>
      <w:t>(202</w:t>
    </w:r>
    <w:r>
      <w:rPr>
        <w:rFonts w:cs="Calibri"/>
      </w:rPr>
      <w:t>3</w:t>
    </w:r>
    <w:r w:rsidRPr="00A82B79">
      <w:rPr>
        <w:rFonts w:cs="Calibri"/>
      </w:rPr>
      <w:t>-</w:t>
    </w:r>
    <w:r>
      <w:rPr>
        <w:rFonts w:cs="Calibri"/>
      </w:rPr>
      <w:t>0</w:t>
    </w:r>
    <w:r w:rsidR="003F18EB">
      <w:rPr>
        <w:rFonts w:cs="Calibri"/>
      </w:rPr>
      <w:t>4</w:t>
    </w:r>
    <w:r w:rsidRPr="00A82B79">
      <w:rPr>
        <w:rFonts w:cs="Calibri"/>
      </w:rPr>
      <w:t>-</w:t>
    </w:r>
    <w:r w:rsidR="003F18EB">
      <w:rPr>
        <w:rFonts w:cs="Calibri"/>
      </w:rPr>
      <w:t>05</w:t>
    </w:r>
    <w:r w:rsidRPr="00A82B79">
      <w:rPr>
        <w:rFonts w:cs="Calibri"/>
      </w:rPr>
      <w:t>)</w:t>
    </w:r>
    <w:r w:rsidRPr="002777AF">
      <w:rPr>
        <w:rFonts w:cs="Calibri"/>
      </w:rPr>
      <w:tab/>
    </w:r>
    <w:sdt>
      <w:sdtPr>
        <w:rPr>
          <w:rFonts w:cs="Calibri"/>
          <w:b/>
        </w:rPr>
        <w:id w:val="-1975595685"/>
        <w:docPartObj>
          <w:docPartGallery w:val="Page Numbers (Bottom of Page)"/>
          <w:docPartUnique/>
        </w:docPartObj>
      </w:sdtPr>
      <w:sdtEndPr>
        <w:rPr>
          <w:b w:val="0"/>
        </w:rPr>
      </w:sdtEndPr>
      <w:sdtContent>
        <w:r w:rsidRPr="002777AF">
          <w:rPr>
            <w:rFonts w:cs="Calibri"/>
            <w:b/>
          </w:rPr>
          <w:fldChar w:fldCharType="begin"/>
        </w:r>
        <w:r w:rsidRPr="002777AF">
          <w:rPr>
            <w:rFonts w:cs="Calibri"/>
            <w:b/>
          </w:rPr>
          <w:instrText>PAGE   \* MERGEFORMAT</w:instrText>
        </w:r>
        <w:r w:rsidRPr="002777AF">
          <w:rPr>
            <w:rFonts w:cs="Calibri"/>
            <w:b/>
          </w:rPr>
          <w:fldChar w:fldCharType="separate"/>
        </w:r>
        <w:r w:rsidR="00735537" w:rsidRPr="00735537">
          <w:rPr>
            <w:rFonts w:cs="Calibri"/>
            <w:b/>
            <w:noProof/>
            <w:lang w:val="fr-FR"/>
          </w:rPr>
          <w:t>41</w:t>
        </w:r>
        <w:r w:rsidRPr="002777AF">
          <w:rPr>
            <w:rFonts w:cs="Calibri"/>
            <w:b/>
          </w:rPr>
          <w:fldChar w:fldCharType="end"/>
        </w:r>
        <w:r w:rsidRPr="002777AF">
          <w:rPr>
            <w:rFonts w:cs="Calibri"/>
          </w:rPr>
          <w:tab/>
        </w:r>
      </w:sdtContent>
    </w:sdt>
    <w:r w:rsidRPr="002777AF">
      <w:rPr>
        <w:rFonts w:cs="Calibri"/>
      </w:rPr>
      <w:t xml:space="preserve">GUIDE DE DÉPÔT POUR </w:t>
    </w:r>
    <w:r>
      <w:rPr>
        <w:rFonts w:cs="Calibri"/>
      </w:rPr>
      <w:t>GAZIFÈRE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F2B6" w14:textId="77777777" w:rsidR="0011185F" w:rsidRDefault="0011185F">
      <w:pPr>
        <w:spacing w:line="240" w:lineRule="auto"/>
      </w:pPr>
      <w:r>
        <w:separator/>
      </w:r>
    </w:p>
  </w:footnote>
  <w:footnote w:type="continuationSeparator" w:id="0">
    <w:p w14:paraId="58D4C557" w14:textId="77777777" w:rsidR="0011185F" w:rsidRDefault="0011185F">
      <w:pPr>
        <w:spacing w:line="240" w:lineRule="auto"/>
      </w:pPr>
      <w:r>
        <w:continuationSeparator/>
      </w:r>
    </w:p>
  </w:footnote>
  <w:footnote w:type="continuationNotice" w:id="1">
    <w:p w14:paraId="1E6E8048" w14:textId="77777777" w:rsidR="0011185F" w:rsidRDefault="0011185F">
      <w:pPr>
        <w:spacing w:before="0" w:after="0" w:line="240" w:lineRule="auto"/>
      </w:pPr>
    </w:p>
  </w:footnote>
  <w:footnote w:id="2">
    <w:p w14:paraId="5D336725" w14:textId="005F9BF0" w:rsidR="00287EDA" w:rsidRDefault="00287EDA" w:rsidP="00287EDA">
      <w:pPr>
        <w:pStyle w:val="NBP1"/>
      </w:pPr>
      <w:r>
        <w:rPr>
          <w:rStyle w:val="Appelnotedebasdep"/>
        </w:rPr>
        <w:footnoteRef/>
      </w:r>
      <w:r>
        <w:t xml:space="preserve"> </w:t>
      </w:r>
      <w:r>
        <w:tab/>
      </w:r>
      <w:r w:rsidRPr="007928D3">
        <w:t>RLRQ, chapitre R-6.01</w:t>
      </w:r>
      <w:r>
        <w:t>.</w:t>
      </w:r>
    </w:p>
  </w:footnote>
  <w:footnote w:id="3">
    <w:p w14:paraId="0DA4AF88" w14:textId="77777777" w:rsidR="00F15E27" w:rsidRPr="007928D3" w:rsidRDefault="00F15E27" w:rsidP="003C5C4A">
      <w:pPr>
        <w:pStyle w:val="NBP1"/>
      </w:pPr>
      <w:r w:rsidRPr="007928D3">
        <w:rPr>
          <w:rStyle w:val="Appelnotedebasdep"/>
          <w:rFonts w:cs="Calibri"/>
        </w:rPr>
        <w:footnoteRef/>
      </w:r>
      <w:r w:rsidRPr="007928D3">
        <w:t xml:space="preserve"> </w:t>
      </w:r>
      <w:r w:rsidRPr="007928D3">
        <w:tab/>
        <w:t>RLRQ, chapitre R-6.01, r.8.</w:t>
      </w:r>
    </w:p>
  </w:footnote>
  <w:footnote w:id="4">
    <w:p w14:paraId="09AA996E" w14:textId="77777777" w:rsidR="00F15E27" w:rsidRDefault="00F15E27" w:rsidP="003C5C4A">
      <w:pPr>
        <w:pStyle w:val="NBP1"/>
      </w:pPr>
      <w:r w:rsidRPr="00334BD8">
        <w:rPr>
          <w:rStyle w:val="Appelnotedebasdep"/>
        </w:rPr>
        <w:footnoteRef/>
      </w:r>
      <w:r w:rsidRPr="00334BD8">
        <w:tab/>
        <w:t>À l’exception des articles 48.2 à 48.6 et 52.1 à 52.4.</w:t>
      </w:r>
    </w:p>
  </w:footnote>
  <w:footnote w:id="5">
    <w:p w14:paraId="7A1D33EB" w14:textId="77777777" w:rsidR="00F15E27" w:rsidRPr="007928D3" w:rsidRDefault="00F15E27" w:rsidP="003C5C4A">
      <w:pPr>
        <w:pStyle w:val="NBP1"/>
      </w:pPr>
      <w:r w:rsidRPr="007928D3">
        <w:rPr>
          <w:rStyle w:val="Appelnotedebasdep"/>
          <w:rFonts w:cs="Calibri"/>
        </w:rPr>
        <w:footnoteRef/>
      </w:r>
      <w:r w:rsidRPr="007928D3">
        <w:t xml:space="preserve"> </w:t>
      </w:r>
      <w:r w:rsidRPr="007928D3">
        <w:tab/>
        <w:t>RLRQ, chapitre R-6.01, r.2.</w:t>
      </w:r>
    </w:p>
  </w:footnote>
  <w:footnote w:id="6">
    <w:p w14:paraId="19BB7118" w14:textId="0E2FCBDA" w:rsidR="00F15E27" w:rsidRDefault="00F15E27" w:rsidP="003C5C4A">
      <w:pPr>
        <w:pStyle w:val="NBP1"/>
      </w:pPr>
      <w:r>
        <w:rPr>
          <w:rStyle w:val="Appelnotedebasdep"/>
        </w:rPr>
        <w:footnoteRef/>
      </w:r>
      <w:r>
        <w:t xml:space="preserve"> </w:t>
      </w:r>
      <w:r>
        <w:tab/>
        <w:t xml:space="preserve">Les tableaux préparés par </w:t>
      </w:r>
      <w:proofErr w:type="spellStart"/>
      <w:r>
        <w:t>Enbridge</w:t>
      </w:r>
      <w:proofErr w:type="spellEnd"/>
      <w:r>
        <w:t xml:space="preserve"> ou les preuves d’experts externes peuvent être présentés en anglais</w:t>
      </w:r>
      <w:r w:rsidR="000017E4">
        <w:t xml:space="preserve"> mais doivent être accompagnés d’une traduction française</w:t>
      </w:r>
      <w:r>
        <w:t>.</w:t>
      </w:r>
    </w:p>
  </w:footnote>
  <w:footnote w:id="7">
    <w:p w14:paraId="694E533C" w14:textId="77777777" w:rsidR="00F15E27" w:rsidRPr="002A6F53" w:rsidRDefault="00F15E27" w:rsidP="003C5C4A">
      <w:pPr>
        <w:pStyle w:val="NBP1"/>
      </w:pPr>
      <w:r w:rsidRPr="002A6F53">
        <w:rPr>
          <w:rStyle w:val="Appelnotedebasdep"/>
        </w:rPr>
        <w:footnoteRef/>
      </w:r>
      <w:r w:rsidRPr="002A6F53">
        <w:t xml:space="preserve"> </w:t>
      </w:r>
      <w:r w:rsidRPr="002A6F53">
        <w:tab/>
        <w:t>La plus ancienne version encore supportée par Microsoft.</w:t>
      </w:r>
    </w:p>
  </w:footnote>
  <w:footnote w:id="8">
    <w:p w14:paraId="76FE0BA2" w14:textId="67CE6512" w:rsidR="00F15E27" w:rsidRPr="00BB1043" w:rsidRDefault="00F15E27" w:rsidP="003C5C4A">
      <w:pPr>
        <w:pStyle w:val="NBP1"/>
      </w:pPr>
      <w:r w:rsidRPr="00BB1043">
        <w:rPr>
          <w:rStyle w:val="Appelnotedebasdep"/>
          <w:rFonts w:cs="Calibri"/>
        </w:rPr>
        <w:footnoteRef/>
      </w:r>
      <w:r w:rsidRPr="00BB1043">
        <w:t xml:space="preserve"> </w:t>
      </w:r>
      <w:r w:rsidRPr="00BB1043">
        <w:tab/>
        <w:t xml:space="preserve">Pour les délais inhérents au traitement des autres demandes, </w:t>
      </w:r>
      <w:r>
        <w:t>Gazifère</w:t>
      </w:r>
      <w:r w:rsidRPr="00BB1043">
        <w:t xml:space="preserve"> pourra se référer à la Loi et à ses règlements d’application.</w:t>
      </w:r>
    </w:p>
  </w:footnote>
  <w:footnote w:id="9">
    <w:p w14:paraId="002D4062" w14:textId="0AA00E0F" w:rsidR="00F15E27" w:rsidRPr="002A6F53" w:rsidRDefault="00F15E27" w:rsidP="003C5C4A">
      <w:pPr>
        <w:pStyle w:val="NBP1"/>
      </w:pPr>
      <w:r w:rsidRPr="002A6F53">
        <w:rPr>
          <w:rStyle w:val="Appelnotedebasdep"/>
        </w:rPr>
        <w:footnoteRef/>
      </w:r>
      <w:r w:rsidRPr="002A6F53">
        <w:t xml:space="preserve"> </w:t>
      </w:r>
      <w:r w:rsidRPr="002A6F53">
        <w:tab/>
        <w:t xml:space="preserve">Suivant l’article 4 du </w:t>
      </w:r>
      <w:hyperlink r:id="rId1" w:history="1">
        <w:r w:rsidRPr="00FF2349">
          <w:rPr>
            <w:rStyle w:val="Lienhypertexte"/>
            <w:i/>
            <w:lang w:val="fr-FR"/>
          </w:rPr>
          <w:t>Règlement sur la teneur</w:t>
        </w:r>
        <w:r>
          <w:rPr>
            <w:rStyle w:val="Lienhypertexte"/>
            <w:lang w:val="fr-FR"/>
          </w:rPr>
          <w:t xml:space="preserve"> </w:t>
        </w:r>
      </w:hyperlink>
      <w:r w:rsidRPr="002A6F53">
        <w:rPr>
          <w:lang w:val="fr-FR"/>
        </w:rPr>
        <w:t>.</w:t>
      </w:r>
    </w:p>
  </w:footnote>
  <w:footnote w:id="10">
    <w:p w14:paraId="630BAD91" w14:textId="77777777" w:rsidR="00F15E27" w:rsidRPr="002A6F53" w:rsidRDefault="00F15E27" w:rsidP="003C5C4A">
      <w:pPr>
        <w:pStyle w:val="NBP1"/>
      </w:pPr>
      <w:r w:rsidRPr="002A6F53">
        <w:rPr>
          <w:rStyle w:val="Appelnotedebasdep"/>
        </w:rPr>
        <w:footnoteRef/>
      </w:r>
      <w:r w:rsidRPr="002A6F53">
        <w:t xml:space="preserve"> </w:t>
      </w:r>
      <w:r w:rsidRPr="002A6F53">
        <w:tab/>
        <w:t>Le délai indiqué et les exigences de dépôt pour une modification des tarifs ne s’appliquent pas à une demande visant la fixation d’un nouveau tarif ou la modification d’un tarif particulier en cours d’année.</w:t>
      </w:r>
    </w:p>
  </w:footnote>
  <w:footnote w:id="11">
    <w:p w14:paraId="2E6AADAD" w14:textId="3B38BB8D" w:rsidR="00F15E27" w:rsidRDefault="00F15E27" w:rsidP="003C5C4A">
      <w:pPr>
        <w:pStyle w:val="NBP1"/>
      </w:pPr>
      <w:r>
        <w:rPr>
          <w:rStyle w:val="Appelnotedebasdep"/>
        </w:rPr>
        <w:footnoteRef/>
      </w:r>
      <w:r>
        <w:t xml:space="preserve"> </w:t>
      </w:r>
      <w:r>
        <w:tab/>
        <w:t>Lorsque l</w:t>
      </w:r>
      <w:r w:rsidRPr="008F1E48">
        <w:t xml:space="preserve">es ententes d’approvisionnement en GSR </w:t>
      </w:r>
      <w:r>
        <w:t>s</w:t>
      </w:r>
      <w:r w:rsidRPr="008F1E48">
        <w:t>ont conclues après le dépôt du plan d’appro</w:t>
      </w:r>
      <w:r>
        <w:t>visionnement, fournir les informations lors</w:t>
      </w:r>
      <w:r w:rsidRPr="008F1E48">
        <w:t xml:space="preserve"> du dépôt du dossier tarifaire</w:t>
      </w:r>
      <w:r>
        <w:t>.</w:t>
      </w:r>
    </w:p>
  </w:footnote>
  <w:footnote w:id="12">
    <w:p w14:paraId="3FB4FC8F" w14:textId="028ACDF6" w:rsidR="00F15E27" w:rsidRPr="00481573" w:rsidRDefault="00F15E27" w:rsidP="004E6445">
      <w:pPr>
        <w:pStyle w:val="Notedebasdepage"/>
        <w:tabs>
          <w:tab w:val="clear" w:pos="425"/>
          <w:tab w:val="left" w:pos="426"/>
        </w:tabs>
        <w:spacing w:before="0" w:after="0"/>
        <w:rPr>
          <w:rFonts w:cstheme="minorHAnsi"/>
          <w:color w:val="333333"/>
          <w:shd w:val="clear" w:color="auto" w:fill="FFFFFF"/>
        </w:rPr>
      </w:pPr>
      <w:r w:rsidRPr="00481573">
        <w:rPr>
          <w:rStyle w:val="Appelnotedebasdep"/>
          <w:rFonts w:cstheme="minorHAnsi"/>
        </w:rPr>
        <w:footnoteRef/>
      </w:r>
      <w:r w:rsidRPr="00481573">
        <w:rPr>
          <w:rFonts w:cstheme="minorHAnsi"/>
        </w:rPr>
        <w:t xml:space="preserve"> </w:t>
      </w:r>
      <w:r>
        <w:rPr>
          <w:rFonts w:cstheme="minorHAnsi"/>
        </w:rPr>
        <w:tab/>
      </w:r>
      <w:r w:rsidR="008E2109" w:rsidRPr="007928D3">
        <w:t xml:space="preserve">RLRQ, chapitre </w:t>
      </w:r>
      <w:hyperlink r:id="rId2" w:history="1">
        <w:r w:rsidRPr="002638C4">
          <w:rPr>
            <w:rStyle w:val="Lienhypertexte"/>
            <w:rFonts w:cstheme="minorHAnsi"/>
            <w:shd w:val="clear" w:color="auto" w:fill="FFFFFF"/>
          </w:rPr>
          <w:t>R-6.01, r. 8</w:t>
        </w:r>
      </w:hyperlink>
      <w:r>
        <w:rPr>
          <w:rFonts w:cstheme="minorHAnsi"/>
          <w:color w:val="333333"/>
          <w:shd w:val="clear" w:color="auto" w:fill="FFFFFF"/>
        </w:rPr>
        <w:t>.</w:t>
      </w:r>
    </w:p>
  </w:footnote>
  <w:footnote w:id="13">
    <w:p w14:paraId="0F6DA933" w14:textId="35350306" w:rsidR="00F15E27" w:rsidRDefault="00F15E27" w:rsidP="003C5C4A">
      <w:pPr>
        <w:pStyle w:val="NBP1"/>
      </w:pPr>
      <w:r>
        <w:rPr>
          <w:rStyle w:val="Appelnotedebasdep"/>
        </w:rPr>
        <w:footnoteRef/>
      </w:r>
      <w:r>
        <w:t xml:space="preserve"> </w:t>
      </w:r>
      <w:r>
        <w:tab/>
        <w:t>P</w:t>
      </w:r>
      <w:r w:rsidRPr="00D4286B">
        <w:t>lan d’approvisionnement sur quatre ans</w:t>
      </w:r>
      <w:r>
        <w:t xml:space="preserve"> et débutant la première année témoin projetée, conformément à la décision </w:t>
      </w:r>
      <w:hyperlink r:id="rId3" w:anchor="page=14" w:history="1">
        <w:r w:rsidRPr="00077438">
          <w:rPr>
            <w:rStyle w:val="Lienhypertexte"/>
          </w:rPr>
          <w:t>D-2018-090</w:t>
        </w:r>
      </w:hyperlink>
      <w:r w:rsidRPr="0052796B">
        <w:t xml:space="preserve">, </w:t>
      </w:r>
      <w:r>
        <w:t>p. 14, par. 33.</w:t>
      </w:r>
    </w:p>
  </w:footnote>
  <w:footnote w:id="14">
    <w:p w14:paraId="7D00BE0C" w14:textId="6264198C" w:rsidR="00F15E27" w:rsidRDefault="00F15E27" w:rsidP="003C5C4A">
      <w:pPr>
        <w:pStyle w:val="NBP1"/>
      </w:pPr>
      <w:r>
        <w:rPr>
          <w:rStyle w:val="Appelnotedebasdep"/>
        </w:rPr>
        <w:footnoteRef/>
      </w:r>
      <w:r>
        <w:t xml:space="preserve"> </w:t>
      </w:r>
      <w:r>
        <w:tab/>
        <w:t>P</w:t>
      </w:r>
      <w:r w:rsidRPr="00D4286B">
        <w:t xml:space="preserve">lan d’approvisionnement sur </w:t>
      </w:r>
      <w:r>
        <w:t>trois</w:t>
      </w:r>
      <w:r w:rsidRPr="00D4286B">
        <w:t xml:space="preserve"> ans</w:t>
      </w:r>
      <w:r>
        <w:t xml:space="preserve">, et débutant la seconde année témoin projetée, conformément à la décision </w:t>
      </w:r>
      <w:hyperlink r:id="rId4" w:anchor="page=14" w:history="1">
        <w:r w:rsidRPr="00077438">
          <w:rPr>
            <w:rStyle w:val="Lienhypertexte"/>
          </w:rPr>
          <w:t>D-2018-090</w:t>
        </w:r>
      </w:hyperlink>
      <w:r w:rsidRPr="0052796B">
        <w:t xml:space="preserve">, </w:t>
      </w:r>
      <w:r>
        <w:t>p. 14 et 15, par. 35 et 36.</w:t>
      </w:r>
    </w:p>
  </w:footnote>
  <w:footnote w:id="15">
    <w:p w14:paraId="2087DF3A" w14:textId="2BCFEA81" w:rsidR="00F15E27" w:rsidRDefault="00F15E27" w:rsidP="003C5C4A">
      <w:pPr>
        <w:pStyle w:val="NBP1"/>
      </w:pPr>
      <w:r>
        <w:rPr>
          <w:rStyle w:val="Appelnotedebasdep"/>
        </w:rPr>
        <w:footnoteRef/>
      </w:r>
      <w:r>
        <w:t xml:space="preserve"> </w:t>
      </w:r>
      <w:r>
        <w:tab/>
        <w:t xml:space="preserve">Dossiers </w:t>
      </w:r>
      <w:r w:rsidRPr="009D3FD2">
        <w:t>R-3969-2016 phase 2</w:t>
      </w:r>
      <w:r>
        <w:t xml:space="preserve">, décision </w:t>
      </w:r>
      <w:hyperlink r:id="rId5" w:anchor="page=27" w:history="1">
        <w:r w:rsidRPr="009D3FD2">
          <w:rPr>
            <w:rStyle w:val="Lienhypertexte"/>
          </w:rPr>
          <w:t>D-2017-028</w:t>
        </w:r>
      </w:hyperlink>
      <w:r>
        <w:t xml:space="preserve">, p. 27 et 28, par. 89 à 92 et R-3924-2015 phase 3, pièce </w:t>
      </w:r>
      <w:hyperlink r:id="rId6" w:history="1">
        <w:r w:rsidRPr="00FC0091">
          <w:rPr>
            <w:rStyle w:val="Lienhypertexte"/>
          </w:rPr>
          <w:t>B</w:t>
        </w:r>
        <w:r w:rsidRPr="00FC0091">
          <w:rPr>
            <w:rStyle w:val="Lienhypertexte"/>
          </w:rPr>
          <w:noBreakHyphen/>
          <w:t>0102</w:t>
        </w:r>
      </w:hyperlink>
      <w:r>
        <w:t>.</w:t>
      </w:r>
    </w:p>
  </w:footnote>
  <w:footnote w:id="16">
    <w:p w14:paraId="19911DE5" w14:textId="771633E2" w:rsidR="00F15E27" w:rsidRDefault="00F15E27" w:rsidP="003C5C4A">
      <w:pPr>
        <w:pStyle w:val="NBP1"/>
      </w:pPr>
      <w:r>
        <w:rPr>
          <w:rStyle w:val="Appelnotedebasdep"/>
        </w:rPr>
        <w:footnoteRef/>
      </w:r>
      <w:r>
        <w:t xml:space="preserve"> </w:t>
      </w:r>
      <w:r>
        <w:tab/>
        <w:t>Dans le format présenté au Dossier R-4113-2019, phase 1, pièce B-0014 (confidentiel)</w:t>
      </w:r>
    </w:p>
  </w:footnote>
  <w:footnote w:id="17">
    <w:p w14:paraId="373C8698" w14:textId="77777777" w:rsidR="00F15E27" w:rsidRDefault="00F15E27" w:rsidP="003C5C4A">
      <w:pPr>
        <w:pStyle w:val="NBP1"/>
      </w:pPr>
      <w:r>
        <w:rPr>
          <w:rStyle w:val="Appelnotedebasdep"/>
        </w:rPr>
        <w:footnoteRef/>
      </w:r>
      <w:r>
        <w:t xml:space="preserve"> </w:t>
      </w:r>
      <w:r>
        <w:tab/>
        <w:t>Lorsque possible et aux fins d’alléger la phase traitant de la demande tarifaire, tout proposition devrait faire l’objet d’une phase antérieure à la demande tarifaire.</w:t>
      </w:r>
    </w:p>
  </w:footnote>
  <w:footnote w:id="18">
    <w:p w14:paraId="5CD91775" w14:textId="77777777" w:rsidR="00F15E27" w:rsidRDefault="00F15E27" w:rsidP="003C5C4A">
      <w:pPr>
        <w:pStyle w:val="NBP1"/>
      </w:pPr>
      <w:r>
        <w:rPr>
          <w:rStyle w:val="Appelnotedebasdep"/>
        </w:rPr>
        <w:footnoteRef/>
      </w:r>
      <w:r>
        <w:t xml:space="preserve"> </w:t>
      </w:r>
      <w:r>
        <w:tab/>
        <w:t>Seulement si changement significatif impactant la demande tarifaire de l’an 2.</w:t>
      </w:r>
    </w:p>
  </w:footnote>
  <w:footnote w:id="19">
    <w:p w14:paraId="5A486A57" w14:textId="52697074" w:rsidR="00F15E27" w:rsidRDefault="00F15E27">
      <w:pPr>
        <w:pStyle w:val="Notedebasdepage"/>
      </w:pPr>
      <w:r>
        <w:rPr>
          <w:rStyle w:val="Appelnotedebasdep"/>
        </w:rPr>
        <w:footnoteRef/>
      </w:r>
      <w:r>
        <w:t xml:space="preserve"> </w:t>
      </w:r>
      <w:r>
        <w:tab/>
        <w:t>Le calcul de l’indicateur de l’an 2 est présenté dans la phase tarifaire (ans 1 et 2).</w:t>
      </w:r>
    </w:p>
  </w:footnote>
  <w:footnote w:id="20">
    <w:p w14:paraId="0F65CAAF" w14:textId="5A1E21DF" w:rsidR="00F15E27" w:rsidRDefault="00F15E27" w:rsidP="003C5C4A">
      <w:pPr>
        <w:pStyle w:val="NBP1"/>
      </w:pPr>
      <w:r w:rsidRPr="00DB7F79">
        <w:rPr>
          <w:rStyle w:val="Appelnotedebasdep"/>
        </w:rPr>
        <w:footnoteRef/>
      </w:r>
      <w:r w:rsidRPr="00DB7F79">
        <w:t xml:space="preserve"> </w:t>
      </w:r>
      <w:r w:rsidRPr="00DB7F79">
        <w:tab/>
        <w:t>Seulement pour les postes budgétaires présentant des changements par rapport à la demande tarifaire. Auquel cas, la comparaison est seulement effectuée avec le budget de l'an 1.</w:t>
      </w:r>
    </w:p>
  </w:footnote>
  <w:footnote w:id="21">
    <w:p w14:paraId="5B3ECCAC" w14:textId="461D5B3F" w:rsidR="00F15E27" w:rsidRPr="00DB7F79" w:rsidRDefault="00F15E27" w:rsidP="003C5C4A">
      <w:pPr>
        <w:pStyle w:val="NBP1"/>
      </w:pPr>
      <w:r w:rsidRPr="00DB7F79">
        <w:rPr>
          <w:rStyle w:val="Appelnotedebasdep"/>
        </w:rPr>
        <w:footnoteRef/>
      </w:r>
      <w:r w:rsidRPr="00DB7F79">
        <w:t xml:space="preserve"> </w:t>
      </w:r>
      <w:r w:rsidRPr="00DB7F79">
        <w:tab/>
        <w:t>Seulement pour les postes budgétaires présentant des changements par rapport à la demande tarifaire.</w:t>
      </w:r>
    </w:p>
  </w:footnote>
  <w:footnote w:id="22">
    <w:p w14:paraId="5A0B722C" w14:textId="77777777" w:rsidR="00F15E27" w:rsidRPr="00DB7F79" w:rsidRDefault="00F15E27" w:rsidP="003C5C4A">
      <w:pPr>
        <w:pStyle w:val="NBP1"/>
      </w:pPr>
      <w:r w:rsidRPr="00DB7F79">
        <w:rPr>
          <w:rStyle w:val="Appelnotedebasdep"/>
        </w:rPr>
        <w:footnoteRef/>
      </w:r>
      <w:r w:rsidRPr="00DB7F79">
        <w:t xml:space="preserve"> </w:t>
      </w:r>
      <w:r w:rsidRPr="00DB7F79">
        <w:tab/>
        <w:t>Cette étude pourrait être déposée dans le cadre de l’an 1 ou de l’an 2.</w:t>
      </w:r>
    </w:p>
  </w:footnote>
  <w:footnote w:id="23">
    <w:p w14:paraId="1A984093" w14:textId="18311780" w:rsidR="00F15E27" w:rsidRDefault="00F15E27" w:rsidP="003C5C4A">
      <w:pPr>
        <w:pStyle w:val="NBP1"/>
      </w:pPr>
      <w:r w:rsidRPr="00DB7F79">
        <w:rPr>
          <w:rStyle w:val="Appelnotedebasdep"/>
        </w:rPr>
        <w:footnoteRef/>
      </w:r>
      <w:r w:rsidRPr="00DB7F79">
        <w:t xml:space="preserve"> </w:t>
      </w:r>
      <w:r w:rsidRPr="00DB7F79">
        <w:tab/>
        <w:t>La comparaison est seulement effectuée avec le budget de l'an 1.</w:t>
      </w:r>
    </w:p>
  </w:footnote>
  <w:footnote w:id="24">
    <w:p w14:paraId="6DA29F70" w14:textId="2A144621" w:rsidR="00F15E27" w:rsidRDefault="00F15E27" w:rsidP="003C5C4A">
      <w:pPr>
        <w:pStyle w:val="NBP1"/>
      </w:pPr>
      <w:r>
        <w:rPr>
          <w:rStyle w:val="Appelnotedebasdep"/>
        </w:rPr>
        <w:footnoteRef/>
      </w:r>
      <w:r>
        <w:t xml:space="preserve"> </w:t>
      </w:r>
      <w:r>
        <w:tab/>
        <w:t>Voir Dossier R-4003-2017, phase 3, décision D-2018-060, par. 96.</w:t>
      </w:r>
    </w:p>
  </w:footnote>
  <w:footnote w:id="25">
    <w:p w14:paraId="5A173614" w14:textId="6B61D866" w:rsidR="00F15E27" w:rsidRDefault="00F15E27">
      <w:pPr>
        <w:pStyle w:val="Notedebasdepage"/>
      </w:pPr>
      <w:r>
        <w:rPr>
          <w:rStyle w:val="Appelnotedebasdep"/>
        </w:rPr>
        <w:footnoteRef/>
      </w:r>
      <w:r>
        <w:t xml:space="preserve"> </w:t>
      </w:r>
      <w:r>
        <w:tab/>
        <w:t xml:space="preserve">Décision </w:t>
      </w:r>
      <w:hyperlink r:id="rId7" w:anchor="page=73" w:history="1">
        <w:r w:rsidRPr="009457C4">
          <w:rPr>
            <w:rStyle w:val="Lienhypertexte"/>
          </w:rPr>
          <w:t>D-2022-119</w:t>
        </w:r>
      </w:hyperlink>
      <w:r>
        <w:t>, p. 73, par. 314.</w:t>
      </w:r>
    </w:p>
  </w:footnote>
  <w:footnote w:id="26">
    <w:p w14:paraId="331DCF82" w14:textId="27C85AB4" w:rsidR="00F15E27" w:rsidRDefault="00F15E27" w:rsidP="003C5C4A">
      <w:pPr>
        <w:pStyle w:val="NBP1"/>
      </w:pPr>
      <w:r>
        <w:rPr>
          <w:rStyle w:val="Appelnotedebasdep"/>
        </w:rPr>
        <w:footnoteRef/>
      </w:r>
      <w:r>
        <w:t xml:space="preserve"> </w:t>
      </w:r>
      <w:r>
        <w:tab/>
        <w:t xml:space="preserve">Dossier </w:t>
      </w:r>
      <w:r w:rsidRPr="00D1704D">
        <w:t xml:space="preserve">R-3924-2015 Phase 3, décision </w:t>
      </w:r>
      <w:hyperlink r:id="rId8" w:anchor="page=65" w:history="1">
        <w:r w:rsidRPr="00787540">
          <w:rPr>
            <w:rStyle w:val="Lienhypertexte"/>
          </w:rPr>
          <w:t>D-2016-014</w:t>
        </w:r>
      </w:hyperlink>
      <w:r w:rsidRPr="00D1704D">
        <w:t>, p. 65, par. 263 à 265.</w:t>
      </w:r>
    </w:p>
  </w:footnote>
  <w:footnote w:id="27">
    <w:p w14:paraId="56578E7F" w14:textId="58529B72" w:rsidR="003C5C4A" w:rsidRDefault="003C5C4A" w:rsidP="003C5C4A">
      <w:pPr>
        <w:pStyle w:val="NBP1"/>
      </w:pPr>
      <w:r>
        <w:rPr>
          <w:rStyle w:val="Appelnotedebasdep"/>
        </w:rPr>
        <w:footnoteRef/>
      </w:r>
      <w:r>
        <w:t xml:space="preserve"> </w:t>
      </w:r>
      <w:r>
        <w:tab/>
      </w:r>
      <w:r w:rsidRPr="008F1E48">
        <w:t>Si aucune modification</w:t>
      </w:r>
      <w:r>
        <w:t xml:space="preserve"> n’est requise</w:t>
      </w:r>
      <w:r w:rsidRPr="008F1E48">
        <w:t xml:space="preserve"> </w:t>
      </w:r>
      <w:r>
        <w:t>dans le budget en capital de l’an 2, la section 4.7</w:t>
      </w:r>
      <w:r w:rsidRPr="008F1E48">
        <w:t xml:space="preserve"> </w:t>
      </w:r>
      <w:r>
        <w:t>ne s’applique pas à la phase d’ajustement</w:t>
      </w:r>
      <w:r w:rsidRPr="008F1E48">
        <w:t>.</w:t>
      </w:r>
    </w:p>
  </w:footnote>
  <w:footnote w:id="28">
    <w:p w14:paraId="19AE726A" w14:textId="5051340A" w:rsidR="00F15E27" w:rsidRDefault="00F15E27" w:rsidP="003C5C4A">
      <w:pPr>
        <w:pStyle w:val="NBP1"/>
      </w:pPr>
      <w:r w:rsidRPr="00DB7F79">
        <w:rPr>
          <w:rStyle w:val="Appelnotedebasdep"/>
        </w:rPr>
        <w:footnoteRef/>
      </w:r>
      <w:r w:rsidRPr="00DB7F79">
        <w:t xml:space="preserve"> </w:t>
      </w:r>
      <w:r w:rsidRPr="00DB7F79">
        <w:tab/>
        <w:t xml:space="preserve">Décision </w:t>
      </w:r>
      <w:hyperlink r:id="rId9" w:anchor="page=24" w:history="1">
        <w:r w:rsidRPr="00DB7F79">
          <w:rPr>
            <w:rStyle w:val="Lienhypertexte"/>
          </w:rPr>
          <w:t>D-2016-092</w:t>
        </w:r>
      </w:hyperlink>
      <w:r w:rsidRPr="00DB7F79">
        <w:t>, p. 24, par 86. Gazifère précise que l’étude portant sur son fonds de roulement sera mise à jour annuellement.</w:t>
      </w:r>
    </w:p>
  </w:footnote>
  <w:footnote w:id="29">
    <w:p w14:paraId="54680B39" w14:textId="021D2119" w:rsidR="00F15E27" w:rsidRDefault="00F15E27" w:rsidP="003C5C4A">
      <w:pPr>
        <w:pStyle w:val="NBP1"/>
      </w:pPr>
      <w:r w:rsidRPr="00C45A16">
        <w:rPr>
          <w:rStyle w:val="Appelnotedebasdep"/>
        </w:rPr>
        <w:footnoteRef/>
      </w:r>
      <w:r w:rsidRPr="00C45A16">
        <w:t xml:space="preserve"> </w:t>
      </w:r>
      <w:r w:rsidRPr="00C45A16">
        <w:tab/>
      </w:r>
      <w:hyperlink r:id="rId10" w:history="1">
        <w:r>
          <w:rPr>
            <w:color w:val="0563C1"/>
            <w:u w:val="single"/>
          </w:rPr>
          <w:t>RLRQ, c. R-6.01, r. 2</w:t>
        </w:r>
      </w:hyperlink>
      <w:r w:rsidRPr="00D1704D">
        <w:t>.</w:t>
      </w:r>
    </w:p>
  </w:footnote>
  <w:footnote w:id="30">
    <w:p w14:paraId="0BC84C90" w14:textId="79B5C3E3" w:rsidR="00F15E27" w:rsidRDefault="00F15E27" w:rsidP="003C5C4A">
      <w:pPr>
        <w:pStyle w:val="NBP1"/>
      </w:pPr>
      <w:r>
        <w:rPr>
          <w:rStyle w:val="Appelnotedebasdep"/>
        </w:rPr>
        <w:footnoteRef/>
      </w:r>
      <w:r>
        <w:t xml:space="preserve"> </w:t>
      </w:r>
      <w:r>
        <w:tab/>
      </w:r>
      <w:r w:rsidRPr="008F1E48">
        <w:t>S</w:t>
      </w:r>
      <w:r>
        <w:t>’</w:t>
      </w:r>
      <w:r w:rsidRPr="008F1E48">
        <w:t>i</w:t>
      </w:r>
      <w:r>
        <w:t>l n’y a</w:t>
      </w:r>
      <w:r w:rsidRPr="008F1E48">
        <w:t xml:space="preserve"> aucune modification au budget des volumes, la section 4.9 n'est pas à faire à l'an 2.</w:t>
      </w:r>
    </w:p>
  </w:footnote>
  <w:footnote w:id="31">
    <w:p w14:paraId="368364D2" w14:textId="00DEE5A8" w:rsidR="00F15E27" w:rsidRDefault="00F15E27" w:rsidP="003C5C4A">
      <w:pPr>
        <w:pStyle w:val="NBP1"/>
      </w:pPr>
      <w:r>
        <w:rPr>
          <w:rStyle w:val="Appelnotedebasdep"/>
        </w:rPr>
        <w:footnoteRef/>
      </w:r>
      <w:r>
        <w:t xml:space="preserve"> </w:t>
      </w:r>
      <w:r>
        <w:tab/>
        <w:t xml:space="preserve">Dossier R-4032-2018, Phase 6, décision </w:t>
      </w:r>
      <w:hyperlink r:id="rId11" w:anchor="page=29" w:history="1">
        <w:r>
          <w:rPr>
            <w:rStyle w:val="Lienhypertexte"/>
          </w:rPr>
          <w:t>D-2019-163</w:t>
        </w:r>
      </w:hyperlink>
      <w:r>
        <w:t>, p. 29, par. 102.</w:t>
      </w:r>
    </w:p>
  </w:footnote>
  <w:footnote w:id="32">
    <w:p w14:paraId="4628EEB0" w14:textId="0428E5BC" w:rsidR="003035D8" w:rsidRDefault="003035D8" w:rsidP="000D5100">
      <w:pPr>
        <w:pStyle w:val="NBP1"/>
      </w:pPr>
      <w:r>
        <w:rPr>
          <w:rStyle w:val="Appelnotedebasdep"/>
        </w:rPr>
        <w:footnoteRef/>
      </w:r>
      <w:r>
        <w:t xml:space="preserve"> </w:t>
      </w:r>
      <w:r w:rsidR="000D5100">
        <w:tab/>
      </w:r>
      <w:r w:rsidRPr="008F1E48">
        <w:t>S</w:t>
      </w:r>
      <w:r>
        <w:t>’</w:t>
      </w:r>
      <w:r w:rsidRPr="008F1E48">
        <w:t>i</w:t>
      </w:r>
      <w:r>
        <w:t>l n’y a</w:t>
      </w:r>
      <w:r w:rsidRPr="008F1E48">
        <w:t xml:space="preserve"> aucune modification au budget des volumes</w:t>
      </w:r>
      <w:r>
        <w:t xml:space="preserve"> de l’an 2</w:t>
      </w:r>
      <w:r w:rsidRPr="008F1E48">
        <w:t>, la section 4.</w:t>
      </w:r>
      <w:r>
        <w:t>12</w:t>
      </w:r>
      <w:r w:rsidRPr="008F1E48">
        <w:t xml:space="preserve"> n'est pas à faire à l'an 2.</w:t>
      </w:r>
    </w:p>
  </w:footnote>
  <w:footnote w:id="33">
    <w:p w14:paraId="07611395" w14:textId="77777777" w:rsidR="00F15E27" w:rsidRDefault="00F15E27" w:rsidP="00096E12">
      <w:pPr>
        <w:pStyle w:val="Notedebasdepage"/>
      </w:pPr>
      <w:r>
        <w:rPr>
          <w:rStyle w:val="Appelnotedebasdep"/>
        </w:rPr>
        <w:footnoteRef/>
      </w:r>
      <w:r>
        <w:t xml:space="preserve"> </w:t>
      </w:r>
      <w:r>
        <w:tab/>
        <w:t>À l’an 1 ou l’an 2, selon l’état d’avancement de l’examen du dossier.</w:t>
      </w:r>
    </w:p>
  </w:footnote>
  <w:footnote w:id="34">
    <w:p w14:paraId="718F22B6" w14:textId="77777777" w:rsidR="000D5100" w:rsidRDefault="000D5100" w:rsidP="000D5100">
      <w:pPr>
        <w:pStyle w:val="Notedebasdepage"/>
      </w:pPr>
      <w:r>
        <w:rPr>
          <w:rStyle w:val="Appelnotedebasdep"/>
        </w:rPr>
        <w:footnoteRef/>
      </w:r>
      <w:r>
        <w:t xml:space="preserve"> </w:t>
      </w:r>
      <w:r>
        <w:tab/>
        <w:t xml:space="preserve">À l’an 1 et/ou l’an 2, le cas échéant. </w:t>
      </w:r>
    </w:p>
  </w:footnote>
  <w:footnote w:id="35">
    <w:p w14:paraId="69BFA155" w14:textId="22F735FD" w:rsidR="00F15E27" w:rsidRPr="00736749" w:rsidRDefault="00F15E27" w:rsidP="003C5C4A">
      <w:pPr>
        <w:pStyle w:val="NBP1"/>
        <w:rPr>
          <w:sz w:val="18"/>
          <w:szCs w:val="18"/>
        </w:rPr>
      </w:pPr>
      <w:r w:rsidRPr="00ED4940">
        <w:rPr>
          <w:rStyle w:val="Appelnotedebasdep"/>
        </w:rPr>
        <w:footnoteRef/>
      </w:r>
      <w:r w:rsidRPr="00ED4940">
        <w:t xml:space="preserve"> </w:t>
      </w:r>
      <w:r w:rsidRPr="00ED4940">
        <w:tab/>
        <w:t xml:space="preserve">Dossier R-4043-2018, Décision </w:t>
      </w:r>
      <w:hyperlink r:id="rId12" w:history="1">
        <w:r w:rsidRPr="00ED4940">
          <w:rPr>
            <w:rStyle w:val="Lienhypertexte"/>
          </w:rPr>
          <w:t>D-2019-088</w:t>
        </w:r>
      </w:hyperlink>
      <w:r w:rsidRPr="00ED4940">
        <w:t>.</w:t>
      </w:r>
    </w:p>
  </w:footnote>
  <w:footnote w:id="36">
    <w:p w14:paraId="779D19EF" w14:textId="2C1B00B7" w:rsidR="00F15E27" w:rsidRPr="00ED4940" w:rsidRDefault="00F15E27" w:rsidP="003C5C4A">
      <w:pPr>
        <w:pStyle w:val="NBP1"/>
      </w:pPr>
      <w:r w:rsidRPr="00ED4940">
        <w:rPr>
          <w:rStyle w:val="Appelnotedebasdep"/>
        </w:rPr>
        <w:footnoteRef/>
      </w:r>
      <w:r w:rsidRPr="00ED4940">
        <w:t xml:space="preserve"> </w:t>
      </w:r>
      <w:r w:rsidRPr="00ED4940">
        <w:tab/>
        <w:t xml:space="preserve">Dossier R-4043-2019, décision </w:t>
      </w:r>
      <w:hyperlink r:id="rId13" w:anchor="page=136" w:history="1">
        <w:r w:rsidRPr="00ED4940">
          <w:rPr>
            <w:rStyle w:val="Lienhypertexte"/>
          </w:rPr>
          <w:t>D-2019-088</w:t>
        </w:r>
      </w:hyperlink>
      <w:r w:rsidRPr="00ED4940">
        <w:t xml:space="preserve">, </w:t>
      </w:r>
      <w:r>
        <w:t xml:space="preserve">p. 136 et 137, </w:t>
      </w:r>
      <w:r w:rsidRPr="00ED4940">
        <w:t>par. 497.</w:t>
      </w:r>
    </w:p>
  </w:footnote>
  <w:footnote w:id="37">
    <w:p w14:paraId="60F8E0C8" w14:textId="5C1EFE9F" w:rsidR="00F15E27" w:rsidRPr="00ED4940" w:rsidRDefault="00F15E27" w:rsidP="003C5C4A">
      <w:pPr>
        <w:pStyle w:val="NBP1"/>
      </w:pPr>
      <w:r w:rsidRPr="00ED4940">
        <w:rPr>
          <w:rStyle w:val="Appelnotedebasdep"/>
        </w:rPr>
        <w:footnoteRef/>
      </w:r>
      <w:r w:rsidRPr="00ED4940">
        <w:t xml:space="preserve"> </w:t>
      </w:r>
      <w:r w:rsidRPr="00ED4940">
        <w:tab/>
        <w:t xml:space="preserve">Dossier R-4043-2018, décision </w:t>
      </w:r>
      <w:hyperlink r:id="rId14" w:anchor="page=139" w:history="1">
        <w:r w:rsidRPr="00ED4940">
          <w:rPr>
            <w:rStyle w:val="Lienhypertexte"/>
          </w:rPr>
          <w:t>D-2019-088</w:t>
        </w:r>
      </w:hyperlink>
      <w:r>
        <w:t>, p. 139.</w:t>
      </w:r>
    </w:p>
  </w:footnote>
  <w:footnote w:id="38">
    <w:p w14:paraId="21ECAD70" w14:textId="3CD6A008" w:rsidR="00F15E27" w:rsidRPr="00ED4940" w:rsidRDefault="00F15E27" w:rsidP="003C5C4A">
      <w:pPr>
        <w:pStyle w:val="NBP1"/>
      </w:pPr>
      <w:r w:rsidRPr="00ED4940">
        <w:rPr>
          <w:rStyle w:val="Appelnotedebasdep"/>
        </w:rPr>
        <w:footnoteRef/>
      </w:r>
      <w:r w:rsidRPr="00ED4940">
        <w:t xml:space="preserve"> </w:t>
      </w:r>
      <w:r w:rsidRPr="00ED4940">
        <w:tab/>
        <w:t xml:space="preserve">Dossier R-4043-2019, décision </w:t>
      </w:r>
      <w:hyperlink r:id="rId15" w:anchor="page=139" w:history="1">
        <w:r w:rsidRPr="00ED4940">
          <w:rPr>
            <w:rStyle w:val="Lienhypertexte"/>
          </w:rPr>
          <w:t>D-2019-088</w:t>
        </w:r>
      </w:hyperlink>
      <w:r w:rsidRPr="00ED4940">
        <w:t xml:space="preserve">, </w:t>
      </w:r>
      <w:r>
        <w:t xml:space="preserve">p. 139, </w:t>
      </w:r>
      <w:r w:rsidRPr="00ED4940">
        <w:t>par. 511.</w:t>
      </w:r>
    </w:p>
  </w:footnote>
  <w:footnote w:id="39">
    <w:p w14:paraId="47229967" w14:textId="31A50CFA" w:rsidR="00F15E27" w:rsidRPr="00736749" w:rsidRDefault="00F15E27" w:rsidP="004A13D6">
      <w:pPr>
        <w:pStyle w:val="Notedebasdepage"/>
        <w:spacing w:before="0" w:after="0"/>
        <w:rPr>
          <w:sz w:val="18"/>
          <w:szCs w:val="18"/>
        </w:rPr>
      </w:pPr>
      <w:r w:rsidRPr="00ED4940">
        <w:rPr>
          <w:rStyle w:val="Appelnotedebasdep"/>
        </w:rPr>
        <w:footnoteRef/>
      </w:r>
      <w:r w:rsidRPr="00ED4940">
        <w:t xml:space="preserve"> </w:t>
      </w:r>
      <w:r w:rsidRPr="00ED4940">
        <w:tab/>
        <w:t xml:space="preserve">Dossier R-4043-2018, décision </w:t>
      </w:r>
      <w:hyperlink r:id="rId16" w:anchor="page=53" w:history="1">
        <w:r w:rsidRPr="00ED4940">
          <w:rPr>
            <w:rStyle w:val="Lienhypertexte"/>
          </w:rPr>
          <w:t>D-2019-088</w:t>
        </w:r>
      </w:hyperlink>
      <w:r w:rsidRPr="00ED4940">
        <w:t>, p. 53, par. 186.</w:t>
      </w:r>
    </w:p>
  </w:footnote>
  <w:footnote w:id="40">
    <w:p w14:paraId="1563E707" w14:textId="60BC44B7" w:rsidR="00F15E27" w:rsidRPr="00ED4940" w:rsidRDefault="00F15E27" w:rsidP="003C5C4A">
      <w:pPr>
        <w:pStyle w:val="NBP1"/>
      </w:pPr>
      <w:r w:rsidRPr="00ED4940">
        <w:rPr>
          <w:rStyle w:val="Appelnotedebasdep"/>
        </w:rPr>
        <w:footnoteRef/>
      </w:r>
      <w:r w:rsidRPr="00ED4940">
        <w:t xml:space="preserve"> </w:t>
      </w:r>
      <w:r w:rsidRPr="00ED4940">
        <w:tab/>
        <w:t xml:space="preserve">Dossier R-4043-2019, décision </w:t>
      </w:r>
      <w:hyperlink r:id="rId17" w:anchor="page=136" w:history="1">
        <w:r w:rsidRPr="00ED4940">
          <w:rPr>
            <w:rStyle w:val="Lienhypertexte"/>
          </w:rPr>
          <w:t>D-2019-088</w:t>
        </w:r>
      </w:hyperlink>
      <w:r w:rsidRPr="00ED4940">
        <w:t xml:space="preserve">, p. 136 et </w:t>
      </w:r>
      <w:proofErr w:type="gramStart"/>
      <w:r w:rsidRPr="00ED4940">
        <w:t>137</w:t>
      </w:r>
      <w:r>
        <w:t>,par</w:t>
      </w:r>
      <w:proofErr w:type="gramEnd"/>
      <w:r>
        <w:t>. 497</w:t>
      </w:r>
      <w:r w:rsidRPr="00ED4940">
        <w:t>.</w:t>
      </w:r>
    </w:p>
  </w:footnote>
  <w:footnote w:id="41">
    <w:p w14:paraId="5FC12DE6" w14:textId="77777777" w:rsidR="00F15E27" w:rsidRDefault="00F15E27" w:rsidP="00503C51">
      <w:pPr>
        <w:pStyle w:val="Notedebasdepage"/>
        <w:ind w:left="284" w:hanging="284"/>
      </w:pPr>
      <w:r>
        <w:rPr>
          <w:rStyle w:val="Appelnotedebasdep"/>
        </w:rPr>
        <w:footnoteRef/>
      </w:r>
      <w:r>
        <w:t xml:space="preserve"> </w:t>
      </w:r>
      <w:r>
        <w:tab/>
      </w:r>
      <w:r w:rsidRPr="00272769">
        <w:t xml:space="preserve">RLRQ, chapitre </w:t>
      </w:r>
      <w:r w:rsidRPr="00BF4E69">
        <w:t>P‐41.1</w:t>
      </w:r>
      <w:r>
        <w:t>.</w:t>
      </w:r>
    </w:p>
  </w:footnote>
  <w:footnote w:id="42">
    <w:p w14:paraId="3ED5A2A6" w14:textId="5EC43D88" w:rsidR="00F15E27" w:rsidRDefault="00F15E27" w:rsidP="003C5C4A">
      <w:pPr>
        <w:pStyle w:val="NBP1"/>
      </w:pPr>
      <w:r>
        <w:rPr>
          <w:rStyle w:val="Appelnotedebasdep"/>
        </w:rPr>
        <w:footnoteRef/>
      </w:r>
      <w:r>
        <w:t xml:space="preserve"> </w:t>
      </w:r>
      <w:r>
        <w:tab/>
        <w:t xml:space="preserve">Voir, par exemple le Rapport de la firme </w:t>
      </w:r>
      <w:proofErr w:type="spellStart"/>
      <w:r>
        <w:t>Dunsky</w:t>
      </w:r>
      <w:proofErr w:type="spellEnd"/>
      <w:r>
        <w:t xml:space="preserve"> : </w:t>
      </w:r>
      <w:hyperlink r:id="rId18" w:history="1">
        <w:r w:rsidRPr="00CB765D">
          <w:rPr>
            <w:rStyle w:val="Lienhypertexte"/>
            <w:i/>
          </w:rPr>
          <w:t>Bénéfices non éne</w:t>
        </w:r>
        <w:r w:rsidRPr="00CB765D">
          <w:rPr>
            <w:rStyle w:val="Lienhypertexte"/>
            <w:i/>
          </w:rPr>
          <w:t>r</w:t>
        </w:r>
        <w:r w:rsidRPr="00CB765D">
          <w:rPr>
            <w:rStyle w:val="Lienhypertexte"/>
            <w:i/>
          </w:rPr>
          <w:t>gétiques (BNÉ) Orientation sur la prise en compte dans la  pratique règlementaire</w:t>
        </w:r>
      </w:hyperlink>
      <w:r w:rsidRPr="00CB765D">
        <w:rPr>
          <w:i/>
        </w:rPr>
        <w:t>, 2021</w:t>
      </w:r>
      <w:r>
        <w:t xml:space="preserve"> et la Présentation du Pr. </w:t>
      </w:r>
      <w:proofErr w:type="spellStart"/>
      <w:r>
        <w:t>Krolik</w:t>
      </w:r>
      <w:proofErr w:type="spellEnd"/>
      <w:r>
        <w:t xml:space="preserve"> : </w:t>
      </w:r>
      <w:hyperlink r:id="rId19" w:history="1">
        <w:r w:rsidRPr="004F09BC">
          <w:rPr>
            <w:rStyle w:val="Lienhypertexte"/>
            <w:i/>
          </w:rPr>
          <w:t>Les bénéfices sociaux et environnementaux dans les réseaux auton</w:t>
        </w:r>
        <w:r w:rsidR="009F2D22">
          <w:rPr>
            <w:rStyle w:val="Lienhypertexte"/>
            <w:i/>
          </w:rPr>
          <w:t>o</w:t>
        </w:r>
        <w:r w:rsidRPr="004F09BC">
          <w:rPr>
            <w:rStyle w:val="Lienhypertexte"/>
            <w:i/>
          </w:rPr>
          <w:t>mes du Nunavik</w:t>
        </w:r>
      </w:hyperlink>
      <w:r>
        <w:t>, septembre 2021.</w:t>
      </w:r>
    </w:p>
  </w:footnote>
  <w:footnote w:id="43">
    <w:p w14:paraId="4CB295E5" w14:textId="77777777" w:rsidR="00F15E27" w:rsidRPr="002A6F53" w:rsidRDefault="00F15E27" w:rsidP="003C5C4A">
      <w:pPr>
        <w:pStyle w:val="NBP1"/>
        <w:rPr>
          <w:u w:val="single"/>
        </w:rPr>
      </w:pPr>
      <w:r w:rsidRPr="002A6F53">
        <w:rPr>
          <w:rStyle w:val="Appelnotedebasdep"/>
        </w:rPr>
        <w:footnoteRef/>
      </w:r>
      <w:r w:rsidRPr="002A6F53">
        <w:t xml:space="preserve"> </w:t>
      </w:r>
      <w:r w:rsidRPr="002A6F53">
        <w:tab/>
        <w:t xml:space="preserve">Les sections sur fond bleu font références aux articles de la </w:t>
      </w:r>
      <w:hyperlink r:id="rId20" w:history="1">
        <w:r w:rsidRPr="009F2D22">
          <w:rPr>
            <w:rStyle w:val="Lienhypertexte"/>
            <w:i/>
            <w:iCs w:val="0"/>
          </w:rPr>
          <w:t>Loi sur la Régie de l’énergie</w:t>
        </w:r>
      </w:hyperlink>
      <w:r w:rsidRPr="002A6F53">
        <w:t>.</w:t>
      </w:r>
    </w:p>
  </w:footnote>
  <w:footnote w:id="44">
    <w:p w14:paraId="7A2D4D00" w14:textId="03A60B5C" w:rsidR="00F15E27" w:rsidRPr="00F12CBF" w:rsidRDefault="00F15E27" w:rsidP="003C5C4A">
      <w:pPr>
        <w:pStyle w:val="NBP1"/>
      </w:pPr>
      <w:r w:rsidRPr="002A6F53">
        <w:rPr>
          <w:rStyle w:val="Appelnotedebasdep"/>
        </w:rPr>
        <w:footnoteRef/>
      </w:r>
      <w:r w:rsidRPr="002A6F53">
        <w:t xml:space="preserve"> </w:t>
      </w:r>
      <w:r w:rsidRPr="002A6F53">
        <w:tab/>
        <w:t>Toute variation importante à la hausse ou à la baisse, doit être expliquée. Le seuil définissant l’importance est</w:t>
      </w:r>
      <w:r>
        <w:t xml:space="preserve"> </w:t>
      </w:r>
      <w:r w:rsidRPr="002A6F53">
        <w:t xml:space="preserve">établi à 100 000 $, tel que précisé à la décision </w:t>
      </w:r>
      <w:hyperlink r:id="rId21" w:anchor="page=7" w:history="1">
        <w:r w:rsidRPr="002A6F53">
          <w:rPr>
            <w:rStyle w:val="Lienhypertexte"/>
          </w:rPr>
          <w:t>D-2007-90</w:t>
        </w:r>
      </w:hyperlink>
      <w:r w:rsidRPr="002A6F53">
        <w:t>, p. 7. Ceci s’applique à tou</w:t>
      </w:r>
      <w:r>
        <w:t>te</w:t>
      </w:r>
      <w:r w:rsidRPr="002A6F53">
        <w:t xml:space="preserve">s les </w:t>
      </w:r>
      <w:r>
        <w:t>information</w:t>
      </w:r>
      <w:r w:rsidRPr="002A6F53">
        <w:t>s relati</w:t>
      </w:r>
      <w:r>
        <w:t>ve</w:t>
      </w:r>
      <w:r w:rsidRPr="002A6F53">
        <w:t>s à la fermeture réglementaire des livres.</w:t>
      </w:r>
    </w:p>
  </w:footnote>
  <w:footnote w:id="45">
    <w:p w14:paraId="36EFFEE6" w14:textId="5BAB9692" w:rsidR="00F15E27" w:rsidRPr="00E53F27" w:rsidRDefault="00F15E27" w:rsidP="003C5C4A">
      <w:pPr>
        <w:pStyle w:val="NBP1"/>
      </w:pPr>
      <w:r w:rsidRPr="00AB17A1">
        <w:rPr>
          <w:rStyle w:val="Appelnotedebasdep"/>
          <w:i/>
        </w:rPr>
        <w:footnoteRef/>
      </w:r>
      <w:r w:rsidRPr="00AB17A1">
        <w:t xml:space="preserve"> </w:t>
      </w:r>
      <w:r w:rsidRPr="00AB17A1">
        <w:tab/>
        <w:t xml:space="preserve">Décision </w:t>
      </w:r>
      <w:hyperlink r:id="rId22" w:anchor="page=17" w:history="1">
        <w:r w:rsidRPr="00E53F27">
          <w:rPr>
            <w:rStyle w:val="Lienhypertexte"/>
          </w:rPr>
          <w:t>D-2017</w:t>
        </w:r>
        <w:r w:rsidRPr="00E53F27">
          <w:rPr>
            <w:rStyle w:val="Lienhypertexte"/>
          </w:rPr>
          <w:t>-</w:t>
        </w:r>
        <w:r w:rsidRPr="00E53F27">
          <w:rPr>
            <w:rStyle w:val="Lienhypertexte"/>
          </w:rPr>
          <w:t>081</w:t>
        </w:r>
      </w:hyperlink>
      <w:r w:rsidRPr="00E53F27">
        <w:t>, p. 17, par. 33.</w:t>
      </w:r>
    </w:p>
  </w:footnote>
  <w:footnote w:id="46">
    <w:p w14:paraId="301287CF" w14:textId="0EF15737" w:rsidR="00F15E27" w:rsidRPr="00743423" w:rsidRDefault="00F15E27" w:rsidP="003C5C4A">
      <w:pPr>
        <w:pStyle w:val="NBP1"/>
        <w:rPr>
          <w:sz w:val="18"/>
          <w:szCs w:val="18"/>
        </w:rPr>
      </w:pPr>
      <w:r w:rsidRPr="00E53F27">
        <w:rPr>
          <w:rStyle w:val="Appelnotedebasdep"/>
        </w:rPr>
        <w:footnoteRef/>
      </w:r>
      <w:r w:rsidRPr="00E53F27">
        <w:t xml:space="preserve"> </w:t>
      </w:r>
      <w:r w:rsidRPr="00E53F27">
        <w:tab/>
        <w:t xml:space="preserve">Décision </w:t>
      </w:r>
      <w:hyperlink r:id="rId23" w:anchor="page=13" w:history="1">
        <w:r w:rsidRPr="00E53F27">
          <w:rPr>
            <w:rStyle w:val="Lienhypertexte"/>
          </w:rPr>
          <w:t>D-2014</w:t>
        </w:r>
        <w:r w:rsidRPr="00E53F27">
          <w:rPr>
            <w:rStyle w:val="Lienhypertexte"/>
          </w:rPr>
          <w:t>-</w:t>
        </w:r>
        <w:r w:rsidRPr="00E53F27">
          <w:rPr>
            <w:rStyle w:val="Lienhypertexte"/>
          </w:rPr>
          <w:t>114</w:t>
        </w:r>
      </w:hyperlink>
      <w:r w:rsidRPr="00E53F27">
        <w:t>, p. 1</w:t>
      </w:r>
      <w:r w:rsidRPr="00AB17A1">
        <w:t>3, par. 24.</w:t>
      </w:r>
    </w:p>
  </w:footnote>
  <w:footnote w:id="47">
    <w:p w14:paraId="51F0EA43" w14:textId="2B5FA2B2" w:rsidR="00F15E27" w:rsidRPr="00275DF0" w:rsidRDefault="00F15E27" w:rsidP="003C5C4A">
      <w:pPr>
        <w:pStyle w:val="NBP1"/>
      </w:pPr>
      <w:r w:rsidRPr="00275DF0">
        <w:rPr>
          <w:rStyle w:val="Appelnotedebasdep"/>
        </w:rPr>
        <w:footnoteRef/>
      </w:r>
      <w:r w:rsidRPr="00275DF0">
        <w:t xml:space="preserve"> </w:t>
      </w:r>
      <w:r w:rsidRPr="00275DF0">
        <w:tab/>
        <w:t xml:space="preserve">Dossier R-4032-2018 Phase 5, décision </w:t>
      </w:r>
      <w:hyperlink r:id="rId24" w:anchor="page=19http://publicsde.regie-energie.qc.ca/projets/440/DocPrj/R-4032-2018-A-0082-Dec-Dec-2019_11_20.pdf" w:history="1">
        <w:r w:rsidRPr="00275DF0">
          <w:rPr>
            <w:rStyle w:val="Lienhypertexte"/>
          </w:rPr>
          <w:t>D-2019-154</w:t>
        </w:r>
      </w:hyperlink>
      <w:r w:rsidRPr="00275DF0">
        <w:t>, p. 20, par. 65.</w:t>
      </w:r>
    </w:p>
  </w:footnote>
  <w:footnote w:id="48">
    <w:p w14:paraId="2257F2EB" w14:textId="10A52A97" w:rsidR="00F15E27" w:rsidRDefault="00F15E27" w:rsidP="003C5C4A">
      <w:pPr>
        <w:pStyle w:val="NBP1"/>
      </w:pPr>
      <w:r w:rsidRPr="00275DF0">
        <w:rPr>
          <w:rStyle w:val="Appelnotedebasdep"/>
        </w:rPr>
        <w:footnoteRef/>
      </w:r>
      <w:r w:rsidRPr="000D73A6">
        <w:t xml:space="preserve"> </w:t>
      </w:r>
      <w:r w:rsidRPr="000D73A6">
        <w:tab/>
      </w:r>
      <w:r w:rsidRPr="00275DF0">
        <w:t xml:space="preserve">Dossier R-4032-2018 Phase 5, décision </w:t>
      </w:r>
      <w:hyperlink r:id="rId25" w:anchor="page=19http://publicsde.regie-energie.qc.ca/projets/440/DocPrj/R-4032-2018-A-0082-Dec-Dec-2019_11_20.pdf" w:history="1">
        <w:r w:rsidRPr="00275DF0">
          <w:rPr>
            <w:rStyle w:val="Lienhypertexte"/>
          </w:rPr>
          <w:t>D-2</w:t>
        </w:r>
        <w:r w:rsidRPr="00275DF0">
          <w:rPr>
            <w:rStyle w:val="Lienhypertexte"/>
          </w:rPr>
          <w:t>0</w:t>
        </w:r>
        <w:r w:rsidRPr="00275DF0">
          <w:rPr>
            <w:rStyle w:val="Lienhypertexte"/>
          </w:rPr>
          <w:t>19-154</w:t>
        </w:r>
      </w:hyperlink>
      <w:r w:rsidRPr="00275DF0">
        <w:t>, p. 19, par. 63.</w:t>
      </w:r>
    </w:p>
  </w:footnote>
  <w:footnote w:id="49">
    <w:p w14:paraId="3C39DDC2" w14:textId="1448D83D" w:rsidR="00F15E27" w:rsidRPr="006805BC" w:rsidRDefault="00F15E27">
      <w:pPr>
        <w:pStyle w:val="Notedebasdepage"/>
      </w:pPr>
      <w:r>
        <w:rPr>
          <w:rStyle w:val="Appelnotedebasdep"/>
        </w:rPr>
        <w:footnoteRef/>
      </w:r>
      <w:r>
        <w:t xml:space="preserve"> </w:t>
      </w:r>
      <w:r>
        <w:tab/>
        <w:t xml:space="preserve">Voir dossier R-4032-2018, </w:t>
      </w:r>
      <w:r w:rsidRPr="006805BC">
        <w:t xml:space="preserve">phase 2, pièce </w:t>
      </w:r>
      <w:r w:rsidRPr="000C5E15">
        <w:rPr>
          <w:rStyle w:val="Lienhypertexte"/>
          <w:color w:val="auto"/>
          <w:u w:val="none"/>
        </w:rPr>
        <w:t>GI-18, Doc. 1</w:t>
      </w:r>
    </w:p>
  </w:footnote>
  <w:footnote w:id="50">
    <w:p w14:paraId="0EDC8E68" w14:textId="18EB26D2" w:rsidR="00F15E27" w:rsidRPr="00ED4940" w:rsidRDefault="00F15E27" w:rsidP="003C5C4A">
      <w:pPr>
        <w:pStyle w:val="NBP1"/>
      </w:pPr>
      <w:r w:rsidRPr="00275DF0">
        <w:rPr>
          <w:rStyle w:val="Appelnotedebasdep"/>
        </w:rPr>
        <w:footnoteRef/>
      </w:r>
      <w:r w:rsidRPr="00275DF0">
        <w:t xml:space="preserve"> </w:t>
      </w:r>
      <w:r w:rsidRPr="00275DF0">
        <w:tab/>
        <w:t xml:space="preserve">Dossier R-4043-2018, décision </w:t>
      </w:r>
      <w:hyperlink r:id="rId26" w:anchor="page=121" w:history="1">
        <w:r w:rsidRPr="00275DF0">
          <w:rPr>
            <w:rStyle w:val="Lienhypertexte"/>
          </w:rPr>
          <w:t>D-2019-088</w:t>
        </w:r>
      </w:hyperlink>
      <w:r w:rsidRPr="00275DF0">
        <w:t>, p. 121.</w:t>
      </w:r>
    </w:p>
  </w:footnote>
  <w:footnote w:id="51">
    <w:p w14:paraId="3E4FECF8" w14:textId="085AA7FC" w:rsidR="00F15E27" w:rsidRPr="00275DF0" w:rsidRDefault="00F15E27" w:rsidP="003C5C4A">
      <w:pPr>
        <w:pStyle w:val="NBP1"/>
      </w:pPr>
      <w:r w:rsidRPr="00275DF0">
        <w:rPr>
          <w:rStyle w:val="Appelnotedebasdep"/>
        </w:rPr>
        <w:footnoteRef/>
      </w:r>
      <w:r w:rsidRPr="00275DF0">
        <w:t xml:space="preserve"> </w:t>
      </w:r>
      <w:r w:rsidRPr="00275DF0">
        <w:tab/>
        <w:t xml:space="preserve">Dossier R-4043-2018, décision </w:t>
      </w:r>
      <w:hyperlink r:id="rId27" w:anchor="page=139" w:history="1">
        <w:r w:rsidRPr="00275DF0">
          <w:rPr>
            <w:rStyle w:val="Lienhypertexte"/>
          </w:rPr>
          <w:t>D-2019-088</w:t>
        </w:r>
      </w:hyperlink>
      <w:r>
        <w:t>, p. 139.</w:t>
      </w:r>
    </w:p>
  </w:footnote>
  <w:footnote w:id="52">
    <w:p w14:paraId="1B42C0FC" w14:textId="63672DF3" w:rsidR="00F15E27" w:rsidRPr="00743423" w:rsidRDefault="00F15E27" w:rsidP="003C5C4A">
      <w:pPr>
        <w:pStyle w:val="NBP1"/>
        <w:rPr>
          <w:sz w:val="18"/>
          <w:szCs w:val="18"/>
        </w:rPr>
      </w:pPr>
      <w:r w:rsidRPr="00275DF0">
        <w:rPr>
          <w:rStyle w:val="Appelnotedebasdep"/>
        </w:rPr>
        <w:footnoteRef/>
      </w:r>
      <w:r w:rsidRPr="00275DF0">
        <w:t xml:space="preserve"> </w:t>
      </w:r>
      <w:r w:rsidRPr="00275DF0">
        <w:tab/>
        <w:t xml:space="preserve">Dossier R-4043-2018, décision </w:t>
      </w:r>
      <w:hyperlink r:id="rId28" w:anchor="page=112" w:history="1">
        <w:r w:rsidRPr="00275DF0">
          <w:rPr>
            <w:rStyle w:val="Lienhypertexte"/>
          </w:rPr>
          <w:t>D-2019</w:t>
        </w:r>
        <w:r w:rsidRPr="00275DF0">
          <w:rPr>
            <w:rStyle w:val="Lienhypertexte"/>
          </w:rPr>
          <w:t>-</w:t>
        </w:r>
        <w:r w:rsidRPr="00275DF0">
          <w:rPr>
            <w:rStyle w:val="Lienhypertexte"/>
          </w:rPr>
          <w:t>088</w:t>
        </w:r>
      </w:hyperlink>
      <w:r w:rsidRPr="00275DF0">
        <w:t>, p. 112 à 114, 116 à 118 et 120.</w:t>
      </w:r>
    </w:p>
  </w:footnote>
  <w:footnote w:id="53">
    <w:p w14:paraId="1897162F" w14:textId="4C636C8A" w:rsidR="00F15E27" w:rsidRPr="00AB17A1" w:rsidRDefault="00F15E27" w:rsidP="003C5C4A">
      <w:pPr>
        <w:pStyle w:val="NBP1"/>
      </w:pPr>
      <w:r w:rsidRPr="00AB17A1">
        <w:rPr>
          <w:rStyle w:val="Appelnotedebasdep"/>
        </w:rPr>
        <w:footnoteRef/>
      </w:r>
      <w:r w:rsidRPr="00AB17A1">
        <w:t xml:space="preserve"> </w:t>
      </w:r>
      <w:r w:rsidRPr="00AB17A1">
        <w:tab/>
        <w:t xml:space="preserve">Dossier R-4043-2018, décision </w:t>
      </w:r>
      <w:hyperlink r:id="rId29" w:anchor="page=121" w:history="1">
        <w:r w:rsidRPr="00AB17A1">
          <w:rPr>
            <w:rStyle w:val="Lienhypertexte"/>
          </w:rPr>
          <w:t>D-2019-088</w:t>
        </w:r>
      </w:hyperlink>
      <w:r w:rsidRPr="00AB17A1">
        <w:t>, p. 121 et 122, par</w:t>
      </w:r>
      <w:r>
        <w:t>.</w:t>
      </w:r>
      <w:r w:rsidRPr="00AB17A1">
        <w:t xml:space="preserve"> 423 et 424.</w:t>
      </w:r>
    </w:p>
  </w:footnote>
  <w:footnote w:id="54">
    <w:p w14:paraId="773AD0ED" w14:textId="484CFBC4" w:rsidR="00F15E27" w:rsidRPr="00B4445F" w:rsidRDefault="00F15E27" w:rsidP="003C5C4A">
      <w:pPr>
        <w:pStyle w:val="NBP1"/>
      </w:pPr>
      <w:r w:rsidRPr="00AB17A1">
        <w:rPr>
          <w:rStyle w:val="Appelnotedebasdep"/>
        </w:rPr>
        <w:footnoteRef/>
      </w:r>
      <w:r w:rsidRPr="00AB17A1">
        <w:t xml:space="preserve"> </w:t>
      </w:r>
      <w:r w:rsidRPr="00AB17A1">
        <w:tab/>
        <w:t xml:space="preserve">Dossier R-4043-2018, décision </w:t>
      </w:r>
      <w:hyperlink r:id="rId30" w:anchor="page=102" w:history="1">
        <w:r w:rsidRPr="00BC24BC">
          <w:rPr>
            <w:rStyle w:val="Lienhypertexte"/>
          </w:rPr>
          <w:t>D-2019-088</w:t>
        </w:r>
      </w:hyperlink>
      <w:r w:rsidRPr="00BC24BC">
        <w:t>,</w:t>
      </w:r>
      <w:r w:rsidRPr="00AB17A1">
        <w:t xml:space="preserve"> p. 102 à 121.</w:t>
      </w:r>
    </w:p>
  </w:footnote>
  <w:footnote w:id="55">
    <w:p w14:paraId="660BBEC0" w14:textId="0AA71E95" w:rsidR="00F15E27" w:rsidRDefault="00F15E27" w:rsidP="003C5C4A">
      <w:pPr>
        <w:pStyle w:val="NBP1"/>
      </w:pPr>
      <w:r>
        <w:rPr>
          <w:rStyle w:val="Appelnotedebasdep"/>
        </w:rPr>
        <w:footnoteRef/>
      </w:r>
      <w:r>
        <w:t xml:space="preserve"> </w:t>
      </w:r>
      <w:r>
        <w:tab/>
        <w:t xml:space="preserve">Dossier </w:t>
      </w:r>
      <w:r w:rsidRPr="00044C82">
        <w:t>R-3489-2002</w:t>
      </w:r>
      <w:r>
        <w:t xml:space="preserve">, </w:t>
      </w:r>
      <w:hyperlink r:id="rId31" w:anchor="page=18" w:history="1">
        <w:r>
          <w:rPr>
            <w:rStyle w:val="Lienhypertexte"/>
          </w:rPr>
          <w:t>D-2002-283</w:t>
        </w:r>
      </w:hyperlink>
      <w:r w:rsidRPr="0006558F">
        <w:rPr>
          <w:rStyle w:val="Lienhypertexte"/>
          <w:color w:val="auto"/>
          <w:u w:val="none"/>
        </w:rPr>
        <w:t>, p.</w:t>
      </w:r>
      <w:r>
        <w:rPr>
          <w:rStyle w:val="Lienhypertexte"/>
          <w:color w:val="auto"/>
          <w:u w:val="none"/>
        </w:rPr>
        <w:t xml:space="preserve"> 17 et 18.</w:t>
      </w:r>
    </w:p>
  </w:footnote>
  <w:footnote w:id="56">
    <w:p w14:paraId="6BA1C428" w14:textId="77777777" w:rsidR="00F15E27" w:rsidRPr="00ED4940" w:rsidRDefault="00F15E27" w:rsidP="003C5C4A">
      <w:pPr>
        <w:pStyle w:val="NBP1"/>
      </w:pPr>
      <w:r w:rsidRPr="00ED4940">
        <w:rPr>
          <w:rStyle w:val="Appelnotedebasdep"/>
        </w:rPr>
        <w:footnoteRef/>
      </w:r>
      <w:r w:rsidRPr="00ED4940">
        <w:t xml:space="preserve"> </w:t>
      </w:r>
      <w:r w:rsidRPr="00ED4940">
        <w:tab/>
        <w:t>La plus ancienne version encore supportée par Microsoft.</w:t>
      </w:r>
    </w:p>
  </w:footnote>
  <w:footnote w:id="57">
    <w:p w14:paraId="37EF2EC3" w14:textId="1BEA6811" w:rsidR="00F15E27" w:rsidRDefault="00F15E27" w:rsidP="003C5C4A">
      <w:pPr>
        <w:pStyle w:val="NBP1"/>
      </w:pPr>
      <w:r>
        <w:rPr>
          <w:rStyle w:val="Appelnotedebasdep"/>
        </w:rPr>
        <w:footnoteRef/>
      </w:r>
      <w:r>
        <w:t xml:space="preserve"> </w:t>
      </w:r>
      <w:r>
        <w:tab/>
        <w:t xml:space="preserve">Conformément aux décisions D-90-42 et </w:t>
      </w:r>
      <w:hyperlink r:id="rId32" w:anchor="page=18" w:history="1">
        <w:r>
          <w:rPr>
            <w:rStyle w:val="Lienhypertexte"/>
          </w:rPr>
          <w:t>D-2002-283</w:t>
        </w:r>
      </w:hyperlink>
      <w:r w:rsidRPr="0006558F">
        <w:rPr>
          <w:rStyle w:val="Lienhypertexte"/>
          <w:color w:val="auto"/>
          <w:u w:val="none"/>
        </w:rPr>
        <w:t>, p.</w:t>
      </w:r>
      <w:r>
        <w:rPr>
          <w:rStyle w:val="Lienhypertexte"/>
          <w:color w:val="auto"/>
          <w:u w:val="none"/>
        </w:rPr>
        <w:t xml:space="preserve"> 17 et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DCCE" w14:textId="77777777" w:rsidR="00F15E27" w:rsidRPr="002A0EBC" w:rsidRDefault="00F15E27" w:rsidP="00026D0A">
    <w:pPr>
      <w:pStyle w:val="En-tte"/>
      <w:tabs>
        <w:tab w:val="clear" w:pos="4320"/>
        <w:tab w:val="clear" w:pos="8640"/>
        <w:tab w:val="right" w:pos="93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F7BF" w14:textId="77777777" w:rsidR="00F15E27" w:rsidRPr="00C50B28" w:rsidRDefault="00F15E27" w:rsidP="00DC13E0">
    <w:pPr>
      <w:pStyle w:val="En-tte"/>
      <w:pBdr>
        <w:bottom w:val="single" w:sz="6" w:space="1" w:color="auto"/>
      </w:pBdr>
      <w:tabs>
        <w:tab w:val="clear" w:pos="4320"/>
        <w:tab w:val="clear" w:pos="8640"/>
        <w:tab w:val="right" w:pos="9356"/>
      </w:tabs>
      <w:rPr>
        <w:rStyle w:val="Numrodepage"/>
        <w:sz w:val="22"/>
        <w:szCs w:val="22"/>
      </w:rPr>
    </w:pPr>
    <w:r w:rsidRPr="00885DC7">
      <w:rPr>
        <w:rStyle w:val="Numrodepage"/>
        <w:sz w:val="22"/>
        <w:szCs w:val="22"/>
      </w:rPr>
      <w:fldChar w:fldCharType="begin"/>
    </w:r>
    <w:r w:rsidRPr="00885DC7">
      <w:rPr>
        <w:rStyle w:val="Numrodepage"/>
        <w:sz w:val="22"/>
        <w:szCs w:val="22"/>
      </w:rPr>
      <w:instrText xml:space="preserve"> PAGE </w:instrText>
    </w:r>
    <w:r w:rsidRPr="00885DC7">
      <w:rPr>
        <w:rStyle w:val="Numrodepage"/>
        <w:sz w:val="22"/>
        <w:szCs w:val="22"/>
      </w:rPr>
      <w:fldChar w:fldCharType="separate"/>
    </w:r>
    <w:r>
      <w:rPr>
        <w:rStyle w:val="Numrodepage"/>
        <w:noProof/>
        <w:sz w:val="22"/>
        <w:szCs w:val="22"/>
      </w:rPr>
      <w:t>24</w:t>
    </w:r>
    <w:r w:rsidRPr="00885DC7">
      <w:rPr>
        <w:rStyle w:val="Numrodepage"/>
        <w:sz w:val="22"/>
        <w:szCs w:val="22"/>
      </w:rPr>
      <w:fldChar w:fldCharType="end"/>
    </w:r>
    <w:r w:rsidRPr="00885DC7">
      <w:rPr>
        <w:rStyle w:val="Numrodepage"/>
        <w:sz w:val="22"/>
        <w:szCs w:val="22"/>
      </w:rPr>
      <w:t xml:space="preserve"> de </w:t>
    </w:r>
    <w:r>
      <w:rPr>
        <w:rStyle w:val="Numrodepage"/>
        <w:noProof/>
        <w:sz w:val="22"/>
        <w:szCs w:val="22"/>
      </w:rPr>
      <w:t>49</w:t>
    </w:r>
    <w:r>
      <w:rPr>
        <w:rStyle w:val="Numrodepage"/>
        <w:sz w:val="22"/>
        <w:szCs w:val="22"/>
      </w:rPr>
      <w:tab/>
    </w:r>
    <w:r>
      <w:rPr>
        <w:snapToGrid w:val="0"/>
        <w:sz w:val="22"/>
        <w:szCs w:val="22"/>
      </w:rPr>
      <w:t xml:space="preserve">Guide de dépôt pour Gazifère Inc. </w:t>
    </w:r>
    <w:r w:rsidRPr="00FD74D9">
      <w:rPr>
        <w:snapToGrid w:val="0"/>
        <w:sz w:val="22"/>
        <w:szCs w:val="22"/>
      </w:rPr>
      <w:t xml:space="preserve">– 2020 </w:t>
    </w:r>
    <w:r w:rsidRPr="00481D86">
      <w:rPr>
        <w:snapToGrid w:val="0"/>
        <w:sz w:val="22"/>
        <w:szCs w:val="22"/>
        <w:highlight w:val="yellow"/>
      </w:rPr>
      <w:t xml:space="preserve">XX </w:t>
    </w:r>
    <w:proofErr w:type="spellStart"/>
    <w:r w:rsidRPr="00481D86">
      <w:rPr>
        <w:snapToGrid w:val="0"/>
        <w:sz w:val="22"/>
        <w:szCs w:val="22"/>
        <w:highlight w:val="yellow"/>
      </w:rPr>
      <w:t>XX</w:t>
    </w:r>
    <w:proofErr w:type="spellEnd"/>
  </w:p>
  <w:p w14:paraId="71C21F05" w14:textId="77777777" w:rsidR="00F15E27" w:rsidRDefault="00F15E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516E" w14:textId="77777777" w:rsidR="00F15E27" w:rsidRPr="002C0FA2" w:rsidRDefault="00F15E27" w:rsidP="002C0FA2">
    <w:pPr>
      <w:pStyle w:val="En-tte"/>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261C9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556EE3"/>
    <w:multiLevelType w:val="hybridMultilevel"/>
    <w:tmpl w:val="749AC7DE"/>
    <w:lvl w:ilvl="0" w:tplc="19FE7E00">
      <w:start w:val="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E6F52">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769910">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FA7A94">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C80C72">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C44E18">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2A8C0C">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64228">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005DBA">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3A7462"/>
    <w:multiLevelType w:val="multilevel"/>
    <w:tmpl w:val="6D8874EA"/>
    <w:lvl w:ilvl="0">
      <w:start w:val="1"/>
      <w:numFmt w:val="lowerRoman"/>
      <w:lvlText w:val="(%1)"/>
      <w:lvlJc w:val="left"/>
      <w:pPr>
        <w:tabs>
          <w:tab w:val="num" w:pos="567"/>
        </w:tabs>
        <w:ind w:left="567" w:hanging="567"/>
      </w:pPr>
      <w:rPr>
        <w:rFonts w:hint="default"/>
        <w:b w:val="0"/>
        <w:bCs/>
        <w:i w:val="0"/>
      </w:rPr>
    </w:lvl>
    <w:lvl w:ilvl="1">
      <w:start w:val="1"/>
      <w:numFmt w:val="decimal"/>
      <w:lvlText w:val="%1.%2"/>
      <w:lvlJc w:val="left"/>
      <w:pPr>
        <w:tabs>
          <w:tab w:val="num" w:pos="1077"/>
        </w:tabs>
        <w:ind w:left="1134" w:hanging="1134"/>
      </w:pPr>
      <w:rPr>
        <w:rFonts w:hint="default"/>
        <w:b/>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 w15:restartNumberingAfterBreak="0">
    <w:nsid w:val="171240F0"/>
    <w:multiLevelType w:val="hybridMultilevel"/>
    <w:tmpl w:val="2BAE2610"/>
    <w:lvl w:ilvl="0" w:tplc="A282C090">
      <w:start w:val="1"/>
      <w:numFmt w:val="bullet"/>
      <w:lvlText w:val=""/>
      <w:lvlJc w:val="left"/>
      <w:pPr>
        <w:ind w:left="1077" w:hanging="360"/>
      </w:pPr>
      <w:rPr>
        <w:rFonts w:ascii="Symbol" w:hAnsi="Symbol" w:hint="default"/>
        <w:sz w:val="26"/>
        <w:szCs w:val="26"/>
      </w:rPr>
    </w:lvl>
    <w:lvl w:ilvl="1" w:tplc="042C50CC">
      <w:start w:val="1"/>
      <w:numFmt w:val="bullet"/>
      <w:lvlText w:val="o"/>
      <w:lvlJc w:val="left"/>
      <w:pPr>
        <w:ind w:left="1797" w:hanging="360"/>
      </w:pPr>
      <w:rPr>
        <w:rFonts w:ascii="Courier New" w:hAnsi="Courier New" w:cs="Courier New" w:hint="default"/>
      </w:rPr>
    </w:lvl>
    <w:lvl w:ilvl="2" w:tplc="001801F2" w:tentative="1">
      <w:start w:val="1"/>
      <w:numFmt w:val="bullet"/>
      <w:lvlText w:val=""/>
      <w:lvlJc w:val="left"/>
      <w:pPr>
        <w:ind w:left="2517" w:hanging="360"/>
      </w:pPr>
      <w:rPr>
        <w:rFonts w:ascii="Wingdings" w:hAnsi="Wingdings" w:hint="default"/>
      </w:rPr>
    </w:lvl>
    <w:lvl w:ilvl="3" w:tplc="218C4C7C" w:tentative="1">
      <w:start w:val="1"/>
      <w:numFmt w:val="bullet"/>
      <w:lvlText w:val=""/>
      <w:lvlJc w:val="left"/>
      <w:pPr>
        <w:ind w:left="3237" w:hanging="360"/>
      </w:pPr>
      <w:rPr>
        <w:rFonts w:ascii="Symbol" w:hAnsi="Symbol" w:hint="default"/>
      </w:rPr>
    </w:lvl>
    <w:lvl w:ilvl="4" w:tplc="8C4A9180" w:tentative="1">
      <w:start w:val="1"/>
      <w:numFmt w:val="bullet"/>
      <w:lvlText w:val="o"/>
      <w:lvlJc w:val="left"/>
      <w:pPr>
        <w:ind w:left="3957" w:hanging="360"/>
      </w:pPr>
      <w:rPr>
        <w:rFonts w:ascii="Courier New" w:hAnsi="Courier New" w:cs="Courier New" w:hint="default"/>
      </w:rPr>
    </w:lvl>
    <w:lvl w:ilvl="5" w:tplc="57829348" w:tentative="1">
      <w:start w:val="1"/>
      <w:numFmt w:val="bullet"/>
      <w:lvlText w:val=""/>
      <w:lvlJc w:val="left"/>
      <w:pPr>
        <w:ind w:left="4677" w:hanging="360"/>
      </w:pPr>
      <w:rPr>
        <w:rFonts w:ascii="Wingdings" w:hAnsi="Wingdings" w:hint="default"/>
      </w:rPr>
    </w:lvl>
    <w:lvl w:ilvl="6" w:tplc="9BDA786C" w:tentative="1">
      <w:start w:val="1"/>
      <w:numFmt w:val="bullet"/>
      <w:lvlText w:val=""/>
      <w:lvlJc w:val="left"/>
      <w:pPr>
        <w:ind w:left="5397" w:hanging="360"/>
      </w:pPr>
      <w:rPr>
        <w:rFonts w:ascii="Symbol" w:hAnsi="Symbol" w:hint="default"/>
      </w:rPr>
    </w:lvl>
    <w:lvl w:ilvl="7" w:tplc="5A888CD4" w:tentative="1">
      <w:start w:val="1"/>
      <w:numFmt w:val="bullet"/>
      <w:lvlText w:val="o"/>
      <w:lvlJc w:val="left"/>
      <w:pPr>
        <w:ind w:left="6117" w:hanging="360"/>
      </w:pPr>
      <w:rPr>
        <w:rFonts w:ascii="Courier New" w:hAnsi="Courier New" w:cs="Courier New" w:hint="default"/>
      </w:rPr>
    </w:lvl>
    <w:lvl w:ilvl="8" w:tplc="299C970A" w:tentative="1">
      <w:start w:val="1"/>
      <w:numFmt w:val="bullet"/>
      <w:lvlText w:val=""/>
      <w:lvlJc w:val="left"/>
      <w:pPr>
        <w:ind w:left="6837" w:hanging="360"/>
      </w:pPr>
      <w:rPr>
        <w:rFonts w:ascii="Wingdings" w:hAnsi="Wingdings" w:hint="default"/>
      </w:rPr>
    </w:lvl>
  </w:abstractNum>
  <w:abstractNum w:abstractNumId="4" w15:restartNumberingAfterBreak="0">
    <w:nsid w:val="1C5B1435"/>
    <w:multiLevelType w:val="hybridMultilevel"/>
    <w:tmpl w:val="00F4DA6E"/>
    <w:lvl w:ilvl="0" w:tplc="B636CE98">
      <w:start w:val="1"/>
      <w:numFmt w:val="decimal"/>
      <w:lvlText w:val="%1."/>
      <w:lvlJc w:val="left"/>
      <w:pPr>
        <w:ind w:left="454" w:hanging="454"/>
      </w:pPr>
      <w:rPr>
        <w:rFonts w:ascii="Calibri" w:eastAsia="Yu Mincho" w:hAnsi="Calibri" w:cs="Calibri" w:hint="default"/>
        <w:b w:val="0"/>
        <w:strike w:val="0"/>
      </w:rPr>
    </w:lvl>
    <w:lvl w:ilvl="1" w:tplc="43DCD276">
      <w:start w:val="1"/>
      <w:numFmt w:val="bullet"/>
      <w:lvlText w:val="o"/>
      <w:lvlJc w:val="left"/>
      <w:pPr>
        <w:ind w:left="1080" w:hanging="360"/>
      </w:pPr>
      <w:rPr>
        <w:rFonts w:ascii="Courier New" w:hAnsi="Courier New" w:cs="Courier New" w:hint="default"/>
      </w:rPr>
    </w:lvl>
    <w:lvl w:ilvl="2" w:tplc="87D22698" w:tentative="1">
      <w:start w:val="1"/>
      <w:numFmt w:val="bullet"/>
      <w:lvlText w:val=""/>
      <w:lvlJc w:val="left"/>
      <w:pPr>
        <w:ind w:left="1800" w:hanging="360"/>
      </w:pPr>
      <w:rPr>
        <w:rFonts w:ascii="Wingdings" w:hAnsi="Wingdings" w:hint="default"/>
      </w:rPr>
    </w:lvl>
    <w:lvl w:ilvl="3" w:tplc="EAE28E48" w:tentative="1">
      <w:start w:val="1"/>
      <w:numFmt w:val="bullet"/>
      <w:lvlText w:val=""/>
      <w:lvlJc w:val="left"/>
      <w:pPr>
        <w:ind w:left="2520" w:hanging="360"/>
      </w:pPr>
      <w:rPr>
        <w:rFonts w:ascii="Symbol" w:hAnsi="Symbol" w:hint="default"/>
      </w:rPr>
    </w:lvl>
    <w:lvl w:ilvl="4" w:tplc="C764E3CE" w:tentative="1">
      <w:start w:val="1"/>
      <w:numFmt w:val="bullet"/>
      <w:lvlText w:val="o"/>
      <w:lvlJc w:val="left"/>
      <w:pPr>
        <w:ind w:left="3240" w:hanging="360"/>
      </w:pPr>
      <w:rPr>
        <w:rFonts w:ascii="Courier New" w:hAnsi="Courier New" w:cs="Courier New" w:hint="default"/>
      </w:rPr>
    </w:lvl>
    <w:lvl w:ilvl="5" w:tplc="DA9657A8" w:tentative="1">
      <w:start w:val="1"/>
      <w:numFmt w:val="bullet"/>
      <w:lvlText w:val=""/>
      <w:lvlJc w:val="left"/>
      <w:pPr>
        <w:ind w:left="3960" w:hanging="360"/>
      </w:pPr>
      <w:rPr>
        <w:rFonts w:ascii="Wingdings" w:hAnsi="Wingdings" w:hint="default"/>
      </w:rPr>
    </w:lvl>
    <w:lvl w:ilvl="6" w:tplc="2ED64702" w:tentative="1">
      <w:start w:val="1"/>
      <w:numFmt w:val="bullet"/>
      <w:lvlText w:val=""/>
      <w:lvlJc w:val="left"/>
      <w:pPr>
        <w:ind w:left="4680" w:hanging="360"/>
      </w:pPr>
      <w:rPr>
        <w:rFonts w:ascii="Symbol" w:hAnsi="Symbol" w:hint="default"/>
      </w:rPr>
    </w:lvl>
    <w:lvl w:ilvl="7" w:tplc="699C021A" w:tentative="1">
      <w:start w:val="1"/>
      <w:numFmt w:val="bullet"/>
      <w:lvlText w:val="o"/>
      <w:lvlJc w:val="left"/>
      <w:pPr>
        <w:ind w:left="5400" w:hanging="360"/>
      </w:pPr>
      <w:rPr>
        <w:rFonts w:ascii="Courier New" w:hAnsi="Courier New" w:cs="Courier New" w:hint="default"/>
      </w:rPr>
    </w:lvl>
    <w:lvl w:ilvl="8" w:tplc="F392B68E" w:tentative="1">
      <w:start w:val="1"/>
      <w:numFmt w:val="bullet"/>
      <w:lvlText w:val=""/>
      <w:lvlJc w:val="left"/>
      <w:pPr>
        <w:ind w:left="6120" w:hanging="360"/>
      </w:pPr>
      <w:rPr>
        <w:rFonts w:ascii="Wingdings" w:hAnsi="Wingdings" w:hint="default"/>
      </w:rPr>
    </w:lvl>
  </w:abstractNum>
  <w:abstractNum w:abstractNumId="5" w15:restartNumberingAfterBreak="0">
    <w:nsid w:val="1F2D3ACE"/>
    <w:multiLevelType w:val="hybridMultilevel"/>
    <w:tmpl w:val="F210080A"/>
    <w:lvl w:ilvl="0" w:tplc="499C79BE">
      <w:start w:val="1"/>
      <w:numFmt w:val="bullet"/>
      <w:lvlText w:val=""/>
      <w:lvlJc w:val="left"/>
      <w:pPr>
        <w:ind w:left="720" w:hanging="360"/>
      </w:pPr>
      <w:rPr>
        <w:rFonts w:ascii="Symbol" w:hAnsi="Symbol" w:hint="default"/>
      </w:rPr>
    </w:lvl>
    <w:lvl w:ilvl="1" w:tplc="102EF71E">
      <w:start w:val="1"/>
      <w:numFmt w:val="lowerLetter"/>
      <w:lvlText w:val="%2."/>
      <w:lvlJc w:val="left"/>
      <w:pPr>
        <w:ind w:left="1440" w:hanging="360"/>
      </w:pPr>
    </w:lvl>
    <w:lvl w:ilvl="2" w:tplc="BA643740">
      <w:start w:val="1"/>
      <w:numFmt w:val="lowerRoman"/>
      <w:lvlText w:val="%3."/>
      <w:lvlJc w:val="right"/>
      <w:pPr>
        <w:ind w:left="2160" w:hanging="180"/>
      </w:pPr>
    </w:lvl>
    <w:lvl w:ilvl="3" w:tplc="00344648" w:tentative="1">
      <w:start w:val="1"/>
      <w:numFmt w:val="decimal"/>
      <w:lvlText w:val="%4."/>
      <w:lvlJc w:val="left"/>
      <w:pPr>
        <w:ind w:left="2880" w:hanging="360"/>
      </w:pPr>
    </w:lvl>
    <w:lvl w:ilvl="4" w:tplc="BDEEE700" w:tentative="1">
      <w:start w:val="1"/>
      <w:numFmt w:val="lowerLetter"/>
      <w:lvlText w:val="%5."/>
      <w:lvlJc w:val="left"/>
      <w:pPr>
        <w:ind w:left="3600" w:hanging="360"/>
      </w:pPr>
    </w:lvl>
    <w:lvl w:ilvl="5" w:tplc="A6BA9998" w:tentative="1">
      <w:start w:val="1"/>
      <w:numFmt w:val="lowerRoman"/>
      <w:lvlText w:val="%6."/>
      <w:lvlJc w:val="right"/>
      <w:pPr>
        <w:ind w:left="4320" w:hanging="180"/>
      </w:pPr>
    </w:lvl>
    <w:lvl w:ilvl="6" w:tplc="C0760542" w:tentative="1">
      <w:start w:val="1"/>
      <w:numFmt w:val="decimal"/>
      <w:lvlText w:val="%7."/>
      <w:lvlJc w:val="left"/>
      <w:pPr>
        <w:ind w:left="5040" w:hanging="360"/>
      </w:pPr>
    </w:lvl>
    <w:lvl w:ilvl="7" w:tplc="2BC8F542" w:tentative="1">
      <w:start w:val="1"/>
      <w:numFmt w:val="lowerLetter"/>
      <w:lvlText w:val="%8."/>
      <w:lvlJc w:val="left"/>
      <w:pPr>
        <w:ind w:left="5760" w:hanging="360"/>
      </w:pPr>
    </w:lvl>
    <w:lvl w:ilvl="8" w:tplc="AD4CAEA2" w:tentative="1">
      <w:start w:val="1"/>
      <w:numFmt w:val="lowerRoman"/>
      <w:lvlText w:val="%9."/>
      <w:lvlJc w:val="right"/>
      <w:pPr>
        <w:ind w:left="6480" w:hanging="180"/>
      </w:pPr>
    </w:lvl>
  </w:abstractNum>
  <w:abstractNum w:abstractNumId="6" w15:restartNumberingAfterBreak="0">
    <w:nsid w:val="200D56DB"/>
    <w:multiLevelType w:val="hybridMultilevel"/>
    <w:tmpl w:val="BF8AA1A0"/>
    <w:lvl w:ilvl="0" w:tplc="4C724420">
      <w:start w:val="1"/>
      <w:numFmt w:val="bullet"/>
      <w:lvlText w:val=""/>
      <w:lvlJc w:val="left"/>
      <w:pPr>
        <w:ind w:left="7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4D09408" w:tentative="1">
      <w:start w:val="1"/>
      <w:numFmt w:val="bullet"/>
      <w:lvlText w:val="o"/>
      <w:lvlJc w:val="left"/>
      <w:pPr>
        <w:ind w:left="1299" w:hanging="360"/>
      </w:pPr>
      <w:rPr>
        <w:rFonts w:ascii="Courier New" w:hAnsi="Courier New" w:cs="Courier New" w:hint="default"/>
      </w:rPr>
    </w:lvl>
    <w:lvl w:ilvl="2" w:tplc="601EBE78" w:tentative="1">
      <w:start w:val="1"/>
      <w:numFmt w:val="bullet"/>
      <w:lvlText w:val=""/>
      <w:lvlJc w:val="left"/>
      <w:pPr>
        <w:ind w:left="2019" w:hanging="360"/>
      </w:pPr>
      <w:rPr>
        <w:rFonts w:ascii="Wingdings" w:hAnsi="Wingdings" w:hint="default"/>
      </w:rPr>
    </w:lvl>
    <w:lvl w:ilvl="3" w:tplc="BB88E1B6" w:tentative="1">
      <w:start w:val="1"/>
      <w:numFmt w:val="bullet"/>
      <w:lvlText w:val=""/>
      <w:lvlJc w:val="left"/>
      <w:pPr>
        <w:ind w:left="2739" w:hanging="360"/>
      </w:pPr>
      <w:rPr>
        <w:rFonts w:ascii="Symbol" w:hAnsi="Symbol" w:hint="default"/>
      </w:rPr>
    </w:lvl>
    <w:lvl w:ilvl="4" w:tplc="B70A9B38" w:tentative="1">
      <w:start w:val="1"/>
      <w:numFmt w:val="bullet"/>
      <w:lvlText w:val="o"/>
      <w:lvlJc w:val="left"/>
      <w:pPr>
        <w:ind w:left="3459" w:hanging="360"/>
      </w:pPr>
      <w:rPr>
        <w:rFonts w:ascii="Courier New" w:hAnsi="Courier New" w:cs="Courier New" w:hint="default"/>
      </w:rPr>
    </w:lvl>
    <w:lvl w:ilvl="5" w:tplc="3B00EEE6" w:tentative="1">
      <w:start w:val="1"/>
      <w:numFmt w:val="bullet"/>
      <w:lvlText w:val=""/>
      <w:lvlJc w:val="left"/>
      <w:pPr>
        <w:ind w:left="4179" w:hanging="360"/>
      </w:pPr>
      <w:rPr>
        <w:rFonts w:ascii="Wingdings" w:hAnsi="Wingdings" w:hint="default"/>
      </w:rPr>
    </w:lvl>
    <w:lvl w:ilvl="6" w:tplc="90069FEE" w:tentative="1">
      <w:start w:val="1"/>
      <w:numFmt w:val="bullet"/>
      <w:lvlText w:val=""/>
      <w:lvlJc w:val="left"/>
      <w:pPr>
        <w:ind w:left="4899" w:hanging="360"/>
      </w:pPr>
      <w:rPr>
        <w:rFonts w:ascii="Symbol" w:hAnsi="Symbol" w:hint="default"/>
      </w:rPr>
    </w:lvl>
    <w:lvl w:ilvl="7" w:tplc="F3B87030" w:tentative="1">
      <w:start w:val="1"/>
      <w:numFmt w:val="bullet"/>
      <w:lvlText w:val="o"/>
      <w:lvlJc w:val="left"/>
      <w:pPr>
        <w:ind w:left="5619" w:hanging="360"/>
      </w:pPr>
      <w:rPr>
        <w:rFonts w:ascii="Courier New" w:hAnsi="Courier New" w:cs="Courier New" w:hint="default"/>
      </w:rPr>
    </w:lvl>
    <w:lvl w:ilvl="8" w:tplc="7FEE74FC" w:tentative="1">
      <w:start w:val="1"/>
      <w:numFmt w:val="bullet"/>
      <w:lvlText w:val=""/>
      <w:lvlJc w:val="left"/>
      <w:pPr>
        <w:ind w:left="6339" w:hanging="360"/>
      </w:pPr>
      <w:rPr>
        <w:rFonts w:ascii="Wingdings" w:hAnsi="Wingdings" w:hint="default"/>
      </w:rPr>
    </w:lvl>
  </w:abstractNum>
  <w:abstractNum w:abstractNumId="7" w15:restartNumberingAfterBreak="0">
    <w:nsid w:val="230109F7"/>
    <w:multiLevelType w:val="hybridMultilevel"/>
    <w:tmpl w:val="EC96FD0A"/>
    <w:lvl w:ilvl="0" w:tplc="EBCC6EB4">
      <w:start w:val="1"/>
      <w:numFmt w:val="bullet"/>
      <w:lvlText w:val=""/>
      <w:lvlJc w:val="left"/>
      <w:pPr>
        <w:ind w:left="1069" w:hanging="360"/>
      </w:pPr>
      <w:rPr>
        <w:rFonts w:ascii="Symbol" w:hAnsi="Symbol" w:hint="default"/>
      </w:rPr>
    </w:lvl>
    <w:lvl w:ilvl="1" w:tplc="84BE03F0">
      <w:start w:val="1"/>
      <w:numFmt w:val="bullet"/>
      <w:lvlText w:val="o"/>
      <w:lvlJc w:val="left"/>
      <w:pPr>
        <w:ind w:left="1789" w:hanging="360"/>
      </w:pPr>
      <w:rPr>
        <w:rFonts w:ascii="Courier New" w:hAnsi="Courier New" w:cs="Courier New" w:hint="default"/>
      </w:rPr>
    </w:lvl>
    <w:lvl w:ilvl="2" w:tplc="72524386">
      <w:start w:val="1"/>
      <w:numFmt w:val="bullet"/>
      <w:lvlText w:val=""/>
      <w:lvlJc w:val="left"/>
      <w:pPr>
        <w:ind w:left="2509" w:hanging="360"/>
      </w:pPr>
      <w:rPr>
        <w:rFonts w:ascii="Wingdings" w:hAnsi="Wingdings" w:hint="default"/>
      </w:rPr>
    </w:lvl>
    <w:lvl w:ilvl="3" w:tplc="B76C199C">
      <w:start w:val="1"/>
      <w:numFmt w:val="bullet"/>
      <w:lvlText w:val=""/>
      <w:lvlJc w:val="left"/>
      <w:pPr>
        <w:ind w:left="3229" w:hanging="360"/>
      </w:pPr>
      <w:rPr>
        <w:rFonts w:ascii="Symbol" w:hAnsi="Symbol" w:hint="default"/>
      </w:rPr>
    </w:lvl>
    <w:lvl w:ilvl="4" w:tplc="F410B04C" w:tentative="1">
      <w:start w:val="1"/>
      <w:numFmt w:val="bullet"/>
      <w:lvlText w:val="o"/>
      <w:lvlJc w:val="left"/>
      <w:pPr>
        <w:ind w:left="3949" w:hanging="360"/>
      </w:pPr>
      <w:rPr>
        <w:rFonts w:ascii="Courier New" w:hAnsi="Courier New" w:cs="Courier New" w:hint="default"/>
      </w:rPr>
    </w:lvl>
    <w:lvl w:ilvl="5" w:tplc="C9009ABE" w:tentative="1">
      <w:start w:val="1"/>
      <w:numFmt w:val="bullet"/>
      <w:lvlText w:val=""/>
      <w:lvlJc w:val="left"/>
      <w:pPr>
        <w:ind w:left="4669" w:hanging="360"/>
      </w:pPr>
      <w:rPr>
        <w:rFonts w:ascii="Wingdings" w:hAnsi="Wingdings" w:hint="default"/>
      </w:rPr>
    </w:lvl>
    <w:lvl w:ilvl="6" w:tplc="FB20A9D2" w:tentative="1">
      <w:start w:val="1"/>
      <w:numFmt w:val="bullet"/>
      <w:lvlText w:val=""/>
      <w:lvlJc w:val="left"/>
      <w:pPr>
        <w:ind w:left="5389" w:hanging="360"/>
      </w:pPr>
      <w:rPr>
        <w:rFonts w:ascii="Symbol" w:hAnsi="Symbol" w:hint="default"/>
      </w:rPr>
    </w:lvl>
    <w:lvl w:ilvl="7" w:tplc="6D5A9B52" w:tentative="1">
      <w:start w:val="1"/>
      <w:numFmt w:val="bullet"/>
      <w:lvlText w:val="o"/>
      <w:lvlJc w:val="left"/>
      <w:pPr>
        <w:ind w:left="6109" w:hanging="360"/>
      </w:pPr>
      <w:rPr>
        <w:rFonts w:ascii="Courier New" w:hAnsi="Courier New" w:cs="Courier New" w:hint="default"/>
      </w:rPr>
    </w:lvl>
    <w:lvl w:ilvl="8" w:tplc="41081A40" w:tentative="1">
      <w:start w:val="1"/>
      <w:numFmt w:val="bullet"/>
      <w:lvlText w:val=""/>
      <w:lvlJc w:val="left"/>
      <w:pPr>
        <w:ind w:left="6829" w:hanging="360"/>
      </w:pPr>
      <w:rPr>
        <w:rFonts w:ascii="Wingdings" w:hAnsi="Wingdings" w:hint="default"/>
      </w:rPr>
    </w:lvl>
  </w:abstractNum>
  <w:abstractNum w:abstractNumId="8" w15:restartNumberingAfterBreak="0">
    <w:nsid w:val="27367C1A"/>
    <w:multiLevelType w:val="hybridMultilevel"/>
    <w:tmpl w:val="A6ACA658"/>
    <w:lvl w:ilvl="0" w:tplc="75C48558">
      <w:start w:val="1"/>
      <w:numFmt w:val="bullet"/>
      <w:lvlText w:val=""/>
      <w:lvlJc w:val="left"/>
      <w:pPr>
        <w:ind w:left="34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4F06B80" w:tentative="1">
      <w:start w:val="1"/>
      <w:numFmt w:val="bullet"/>
      <w:lvlText w:val="o"/>
      <w:lvlJc w:val="left"/>
      <w:pPr>
        <w:ind w:left="4010" w:hanging="360"/>
      </w:pPr>
      <w:rPr>
        <w:rFonts w:ascii="Courier New" w:hAnsi="Courier New" w:cs="Courier New" w:hint="default"/>
      </w:rPr>
    </w:lvl>
    <w:lvl w:ilvl="2" w:tplc="AF62E4AC" w:tentative="1">
      <w:start w:val="1"/>
      <w:numFmt w:val="bullet"/>
      <w:lvlText w:val=""/>
      <w:lvlJc w:val="left"/>
      <w:pPr>
        <w:ind w:left="4730" w:hanging="360"/>
      </w:pPr>
      <w:rPr>
        <w:rFonts w:ascii="Wingdings" w:hAnsi="Wingdings" w:hint="default"/>
      </w:rPr>
    </w:lvl>
    <w:lvl w:ilvl="3" w:tplc="385A3C88" w:tentative="1">
      <w:start w:val="1"/>
      <w:numFmt w:val="bullet"/>
      <w:lvlText w:val=""/>
      <w:lvlJc w:val="left"/>
      <w:pPr>
        <w:ind w:left="5450" w:hanging="360"/>
      </w:pPr>
      <w:rPr>
        <w:rFonts w:ascii="Symbol" w:hAnsi="Symbol" w:hint="default"/>
      </w:rPr>
    </w:lvl>
    <w:lvl w:ilvl="4" w:tplc="8F94B1CA" w:tentative="1">
      <w:start w:val="1"/>
      <w:numFmt w:val="bullet"/>
      <w:lvlText w:val="o"/>
      <w:lvlJc w:val="left"/>
      <w:pPr>
        <w:ind w:left="6170" w:hanging="360"/>
      </w:pPr>
      <w:rPr>
        <w:rFonts w:ascii="Courier New" w:hAnsi="Courier New" w:cs="Courier New" w:hint="default"/>
      </w:rPr>
    </w:lvl>
    <w:lvl w:ilvl="5" w:tplc="1D188402" w:tentative="1">
      <w:start w:val="1"/>
      <w:numFmt w:val="bullet"/>
      <w:lvlText w:val=""/>
      <w:lvlJc w:val="left"/>
      <w:pPr>
        <w:ind w:left="6890" w:hanging="360"/>
      </w:pPr>
      <w:rPr>
        <w:rFonts w:ascii="Wingdings" w:hAnsi="Wingdings" w:hint="default"/>
      </w:rPr>
    </w:lvl>
    <w:lvl w:ilvl="6" w:tplc="ADA4E7BC" w:tentative="1">
      <w:start w:val="1"/>
      <w:numFmt w:val="bullet"/>
      <w:lvlText w:val=""/>
      <w:lvlJc w:val="left"/>
      <w:pPr>
        <w:ind w:left="7610" w:hanging="360"/>
      </w:pPr>
      <w:rPr>
        <w:rFonts w:ascii="Symbol" w:hAnsi="Symbol" w:hint="default"/>
      </w:rPr>
    </w:lvl>
    <w:lvl w:ilvl="7" w:tplc="DB68E878" w:tentative="1">
      <w:start w:val="1"/>
      <w:numFmt w:val="bullet"/>
      <w:lvlText w:val="o"/>
      <w:lvlJc w:val="left"/>
      <w:pPr>
        <w:ind w:left="8330" w:hanging="360"/>
      </w:pPr>
      <w:rPr>
        <w:rFonts w:ascii="Courier New" w:hAnsi="Courier New" w:cs="Courier New" w:hint="default"/>
      </w:rPr>
    </w:lvl>
    <w:lvl w:ilvl="8" w:tplc="D0E0C5DA" w:tentative="1">
      <w:start w:val="1"/>
      <w:numFmt w:val="bullet"/>
      <w:lvlText w:val=""/>
      <w:lvlJc w:val="left"/>
      <w:pPr>
        <w:ind w:left="9050" w:hanging="360"/>
      </w:pPr>
      <w:rPr>
        <w:rFonts w:ascii="Wingdings" w:hAnsi="Wingdings" w:hint="default"/>
      </w:rPr>
    </w:lvl>
  </w:abstractNum>
  <w:abstractNum w:abstractNumId="9" w15:restartNumberingAfterBreak="0">
    <w:nsid w:val="28D11544"/>
    <w:multiLevelType w:val="hybridMultilevel"/>
    <w:tmpl w:val="2B8AD4F2"/>
    <w:lvl w:ilvl="0" w:tplc="BDA85F2C">
      <w:start w:val="1"/>
      <w:numFmt w:val="bullet"/>
      <w:lvlText w:val=""/>
      <w:lvlJc w:val="left"/>
      <w:pPr>
        <w:ind w:left="1429" w:hanging="360"/>
      </w:pPr>
      <w:rPr>
        <w:rFonts w:ascii="Symbol" w:hAnsi="Symbol" w:hint="default"/>
      </w:rPr>
    </w:lvl>
    <w:lvl w:ilvl="1" w:tplc="75F22F24">
      <w:start w:val="1"/>
      <w:numFmt w:val="lowerLetter"/>
      <w:lvlText w:val="%2."/>
      <w:lvlJc w:val="left"/>
      <w:pPr>
        <w:ind w:left="2149" w:hanging="360"/>
      </w:pPr>
    </w:lvl>
    <w:lvl w:ilvl="2" w:tplc="C6AC5B70">
      <w:start w:val="1"/>
      <w:numFmt w:val="lowerRoman"/>
      <w:lvlText w:val="%3."/>
      <w:lvlJc w:val="right"/>
      <w:pPr>
        <w:ind w:left="2869" w:hanging="180"/>
      </w:pPr>
    </w:lvl>
    <w:lvl w:ilvl="3" w:tplc="56F69B74">
      <w:start w:val="1"/>
      <w:numFmt w:val="bullet"/>
      <w:lvlText w:val=""/>
      <w:lvlJc w:val="left"/>
      <w:pPr>
        <w:ind w:left="3589" w:hanging="360"/>
      </w:pPr>
      <w:rPr>
        <w:rFonts w:ascii="Symbol" w:hAnsi="Symbol" w:hint="default"/>
        <w:color w:val="auto"/>
        <w:sz w:val="24"/>
        <w:szCs w:val="24"/>
      </w:rPr>
    </w:lvl>
    <w:lvl w:ilvl="4" w:tplc="2C645EE2" w:tentative="1">
      <w:start w:val="1"/>
      <w:numFmt w:val="lowerLetter"/>
      <w:lvlText w:val="%5."/>
      <w:lvlJc w:val="left"/>
      <w:pPr>
        <w:ind w:left="4309" w:hanging="360"/>
      </w:pPr>
    </w:lvl>
    <w:lvl w:ilvl="5" w:tplc="8F9CB564" w:tentative="1">
      <w:start w:val="1"/>
      <w:numFmt w:val="lowerRoman"/>
      <w:lvlText w:val="%6."/>
      <w:lvlJc w:val="right"/>
      <w:pPr>
        <w:ind w:left="5029" w:hanging="180"/>
      </w:pPr>
    </w:lvl>
    <w:lvl w:ilvl="6" w:tplc="4DA2A41E" w:tentative="1">
      <w:start w:val="1"/>
      <w:numFmt w:val="decimal"/>
      <w:lvlText w:val="%7."/>
      <w:lvlJc w:val="left"/>
      <w:pPr>
        <w:ind w:left="5749" w:hanging="360"/>
      </w:pPr>
    </w:lvl>
    <w:lvl w:ilvl="7" w:tplc="9DF40CC4" w:tentative="1">
      <w:start w:val="1"/>
      <w:numFmt w:val="lowerLetter"/>
      <w:lvlText w:val="%8."/>
      <w:lvlJc w:val="left"/>
      <w:pPr>
        <w:ind w:left="6469" w:hanging="360"/>
      </w:pPr>
    </w:lvl>
    <w:lvl w:ilvl="8" w:tplc="0F6053DA" w:tentative="1">
      <w:start w:val="1"/>
      <w:numFmt w:val="lowerRoman"/>
      <w:lvlText w:val="%9."/>
      <w:lvlJc w:val="right"/>
      <w:pPr>
        <w:ind w:left="7189" w:hanging="180"/>
      </w:pPr>
    </w:lvl>
  </w:abstractNum>
  <w:abstractNum w:abstractNumId="10" w15:restartNumberingAfterBreak="0">
    <w:nsid w:val="2CE80B5C"/>
    <w:multiLevelType w:val="hybridMultilevel"/>
    <w:tmpl w:val="1570C4F8"/>
    <w:lvl w:ilvl="0" w:tplc="B9EC0988">
      <w:start w:val="1"/>
      <w:numFmt w:val="bullet"/>
      <w:lvlText w:val=""/>
      <w:lvlJc w:val="left"/>
      <w:pPr>
        <w:ind w:left="720" w:hanging="360"/>
      </w:pPr>
      <w:rPr>
        <w:rFonts w:ascii="Symbol" w:hAnsi="Symbol" w:hint="default"/>
      </w:rPr>
    </w:lvl>
    <w:lvl w:ilvl="1" w:tplc="EB92DA62">
      <w:start w:val="1"/>
      <w:numFmt w:val="bullet"/>
      <w:lvlText w:val="o"/>
      <w:lvlJc w:val="left"/>
      <w:pPr>
        <w:ind w:left="1440" w:hanging="360"/>
      </w:pPr>
      <w:rPr>
        <w:rFonts w:ascii="Courier New" w:hAnsi="Courier New" w:cs="Courier New" w:hint="default"/>
      </w:rPr>
    </w:lvl>
    <w:lvl w:ilvl="2" w:tplc="78A842F4">
      <w:start w:val="1"/>
      <w:numFmt w:val="bullet"/>
      <w:lvlText w:val="o"/>
      <w:lvlJc w:val="left"/>
      <w:pPr>
        <w:ind w:left="2160" w:hanging="360"/>
      </w:pPr>
      <w:rPr>
        <w:rFonts w:ascii="Courier New" w:hAnsi="Courier New" w:cs="Courier New" w:hint="default"/>
      </w:rPr>
    </w:lvl>
    <w:lvl w:ilvl="3" w:tplc="F244AADA">
      <w:start w:val="1"/>
      <w:numFmt w:val="bullet"/>
      <w:lvlText w:val=""/>
      <w:lvlJc w:val="left"/>
      <w:pPr>
        <w:ind w:left="2880" w:hanging="360"/>
      </w:pPr>
      <w:rPr>
        <w:rFonts w:ascii="Symbol" w:hAnsi="Symbol" w:hint="default"/>
      </w:rPr>
    </w:lvl>
    <w:lvl w:ilvl="4" w:tplc="E6A29338" w:tentative="1">
      <w:start w:val="1"/>
      <w:numFmt w:val="bullet"/>
      <w:lvlText w:val="o"/>
      <w:lvlJc w:val="left"/>
      <w:pPr>
        <w:ind w:left="3600" w:hanging="360"/>
      </w:pPr>
      <w:rPr>
        <w:rFonts w:ascii="Courier New" w:hAnsi="Courier New" w:cs="Courier New" w:hint="default"/>
      </w:rPr>
    </w:lvl>
    <w:lvl w:ilvl="5" w:tplc="5D084E3A" w:tentative="1">
      <w:start w:val="1"/>
      <w:numFmt w:val="bullet"/>
      <w:lvlText w:val=""/>
      <w:lvlJc w:val="left"/>
      <w:pPr>
        <w:ind w:left="4320" w:hanging="360"/>
      </w:pPr>
      <w:rPr>
        <w:rFonts w:ascii="Wingdings" w:hAnsi="Wingdings" w:hint="default"/>
      </w:rPr>
    </w:lvl>
    <w:lvl w:ilvl="6" w:tplc="6DE0C7D0" w:tentative="1">
      <w:start w:val="1"/>
      <w:numFmt w:val="bullet"/>
      <w:lvlText w:val=""/>
      <w:lvlJc w:val="left"/>
      <w:pPr>
        <w:ind w:left="5040" w:hanging="360"/>
      </w:pPr>
      <w:rPr>
        <w:rFonts w:ascii="Symbol" w:hAnsi="Symbol" w:hint="default"/>
      </w:rPr>
    </w:lvl>
    <w:lvl w:ilvl="7" w:tplc="2DCEAE94" w:tentative="1">
      <w:start w:val="1"/>
      <w:numFmt w:val="bullet"/>
      <w:lvlText w:val="o"/>
      <w:lvlJc w:val="left"/>
      <w:pPr>
        <w:ind w:left="5760" w:hanging="360"/>
      </w:pPr>
      <w:rPr>
        <w:rFonts w:ascii="Courier New" w:hAnsi="Courier New" w:cs="Courier New" w:hint="default"/>
      </w:rPr>
    </w:lvl>
    <w:lvl w:ilvl="8" w:tplc="09929C90" w:tentative="1">
      <w:start w:val="1"/>
      <w:numFmt w:val="bullet"/>
      <w:lvlText w:val=""/>
      <w:lvlJc w:val="left"/>
      <w:pPr>
        <w:ind w:left="6480" w:hanging="360"/>
      </w:pPr>
      <w:rPr>
        <w:rFonts w:ascii="Wingdings" w:hAnsi="Wingdings" w:hint="default"/>
      </w:rPr>
    </w:lvl>
  </w:abstractNum>
  <w:abstractNum w:abstractNumId="11" w15:restartNumberingAfterBreak="0">
    <w:nsid w:val="34CA55CA"/>
    <w:multiLevelType w:val="hybridMultilevel"/>
    <w:tmpl w:val="59544B5A"/>
    <w:lvl w:ilvl="0" w:tplc="0240CCFE">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95644E7"/>
    <w:multiLevelType w:val="hybridMultilevel"/>
    <w:tmpl w:val="356E1AC8"/>
    <w:lvl w:ilvl="0" w:tplc="0C0C0001">
      <w:start w:val="1"/>
      <w:numFmt w:val="bullet"/>
      <w:lvlText w:val=""/>
      <w:lvlJc w:val="left"/>
      <w:pPr>
        <w:ind w:left="1560" w:hanging="360"/>
      </w:pPr>
      <w:rPr>
        <w:rFonts w:ascii="Symbol" w:hAnsi="Symbol" w:hint="default"/>
      </w:rPr>
    </w:lvl>
    <w:lvl w:ilvl="1" w:tplc="0C0C0003" w:tentative="1">
      <w:start w:val="1"/>
      <w:numFmt w:val="bullet"/>
      <w:lvlText w:val="o"/>
      <w:lvlJc w:val="left"/>
      <w:pPr>
        <w:ind w:left="2280" w:hanging="360"/>
      </w:pPr>
      <w:rPr>
        <w:rFonts w:ascii="Courier New" w:hAnsi="Courier New" w:cs="Courier New" w:hint="default"/>
      </w:rPr>
    </w:lvl>
    <w:lvl w:ilvl="2" w:tplc="0C0C0005" w:tentative="1">
      <w:start w:val="1"/>
      <w:numFmt w:val="bullet"/>
      <w:lvlText w:val=""/>
      <w:lvlJc w:val="left"/>
      <w:pPr>
        <w:ind w:left="3000" w:hanging="360"/>
      </w:pPr>
      <w:rPr>
        <w:rFonts w:ascii="Wingdings" w:hAnsi="Wingdings" w:hint="default"/>
      </w:rPr>
    </w:lvl>
    <w:lvl w:ilvl="3" w:tplc="0C0C0001" w:tentative="1">
      <w:start w:val="1"/>
      <w:numFmt w:val="bullet"/>
      <w:lvlText w:val=""/>
      <w:lvlJc w:val="left"/>
      <w:pPr>
        <w:ind w:left="3720" w:hanging="360"/>
      </w:pPr>
      <w:rPr>
        <w:rFonts w:ascii="Symbol" w:hAnsi="Symbol" w:hint="default"/>
      </w:rPr>
    </w:lvl>
    <w:lvl w:ilvl="4" w:tplc="0C0C0003" w:tentative="1">
      <w:start w:val="1"/>
      <w:numFmt w:val="bullet"/>
      <w:lvlText w:val="o"/>
      <w:lvlJc w:val="left"/>
      <w:pPr>
        <w:ind w:left="4440" w:hanging="360"/>
      </w:pPr>
      <w:rPr>
        <w:rFonts w:ascii="Courier New" w:hAnsi="Courier New" w:cs="Courier New" w:hint="default"/>
      </w:rPr>
    </w:lvl>
    <w:lvl w:ilvl="5" w:tplc="0C0C0005" w:tentative="1">
      <w:start w:val="1"/>
      <w:numFmt w:val="bullet"/>
      <w:lvlText w:val=""/>
      <w:lvlJc w:val="left"/>
      <w:pPr>
        <w:ind w:left="5160" w:hanging="360"/>
      </w:pPr>
      <w:rPr>
        <w:rFonts w:ascii="Wingdings" w:hAnsi="Wingdings" w:hint="default"/>
      </w:rPr>
    </w:lvl>
    <w:lvl w:ilvl="6" w:tplc="0C0C0001" w:tentative="1">
      <w:start w:val="1"/>
      <w:numFmt w:val="bullet"/>
      <w:lvlText w:val=""/>
      <w:lvlJc w:val="left"/>
      <w:pPr>
        <w:ind w:left="5880" w:hanging="360"/>
      </w:pPr>
      <w:rPr>
        <w:rFonts w:ascii="Symbol" w:hAnsi="Symbol" w:hint="default"/>
      </w:rPr>
    </w:lvl>
    <w:lvl w:ilvl="7" w:tplc="0C0C0003" w:tentative="1">
      <w:start w:val="1"/>
      <w:numFmt w:val="bullet"/>
      <w:lvlText w:val="o"/>
      <w:lvlJc w:val="left"/>
      <w:pPr>
        <w:ind w:left="6600" w:hanging="360"/>
      </w:pPr>
      <w:rPr>
        <w:rFonts w:ascii="Courier New" w:hAnsi="Courier New" w:cs="Courier New" w:hint="default"/>
      </w:rPr>
    </w:lvl>
    <w:lvl w:ilvl="8" w:tplc="0C0C0005" w:tentative="1">
      <w:start w:val="1"/>
      <w:numFmt w:val="bullet"/>
      <w:lvlText w:val=""/>
      <w:lvlJc w:val="left"/>
      <w:pPr>
        <w:ind w:left="7320" w:hanging="360"/>
      </w:pPr>
      <w:rPr>
        <w:rFonts w:ascii="Wingdings" w:hAnsi="Wingdings" w:hint="default"/>
      </w:rPr>
    </w:lvl>
  </w:abstractNum>
  <w:abstractNum w:abstractNumId="13" w15:restartNumberingAfterBreak="0">
    <w:nsid w:val="3ACE350C"/>
    <w:multiLevelType w:val="hybridMultilevel"/>
    <w:tmpl w:val="F9DE7F36"/>
    <w:lvl w:ilvl="0" w:tplc="1980B060">
      <w:start w:val="7"/>
      <w:numFmt w:val="bullet"/>
      <w:lvlText w:val="-"/>
      <w:lvlJc w:val="left"/>
      <w:pPr>
        <w:ind w:left="720" w:hanging="360"/>
      </w:pPr>
      <w:rPr>
        <w:rFonts w:ascii="Calibri" w:eastAsia="Times New Roman" w:hAnsi="Calibri" w:cs="Calibri"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2335426"/>
    <w:multiLevelType w:val="multilevel"/>
    <w:tmpl w:val="9E0843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1.%2.%3"/>
      <w:lvlJc w:val="left"/>
      <w:pPr>
        <w:tabs>
          <w:tab w:val="num" w:pos="992"/>
        </w:tabs>
        <w:ind w:left="992" w:hanging="992"/>
      </w:pPr>
      <w:rPr>
        <w:rFonts w:hint="default"/>
        <w:i w:val="0"/>
        <w:i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3740C53"/>
    <w:multiLevelType w:val="hybridMultilevel"/>
    <w:tmpl w:val="025CEABA"/>
    <w:lvl w:ilvl="0" w:tplc="040C8CA8">
      <w:start w:val="1"/>
      <w:numFmt w:val="decimal"/>
      <w:lvlText w:val="%1."/>
      <w:lvlJc w:val="left"/>
      <w:pPr>
        <w:ind w:left="720" w:hanging="360"/>
      </w:pPr>
    </w:lvl>
    <w:lvl w:ilvl="1" w:tplc="90CE9C64">
      <w:start w:val="1"/>
      <w:numFmt w:val="lowerLetter"/>
      <w:lvlText w:val="%2."/>
      <w:lvlJc w:val="left"/>
      <w:pPr>
        <w:ind w:left="1440" w:hanging="360"/>
      </w:pPr>
    </w:lvl>
    <w:lvl w:ilvl="2" w:tplc="2D14BCB0" w:tentative="1">
      <w:start w:val="1"/>
      <w:numFmt w:val="lowerRoman"/>
      <w:lvlText w:val="%3."/>
      <w:lvlJc w:val="right"/>
      <w:pPr>
        <w:ind w:left="2160" w:hanging="180"/>
      </w:pPr>
    </w:lvl>
    <w:lvl w:ilvl="3" w:tplc="2CE84CDE" w:tentative="1">
      <w:start w:val="1"/>
      <w:numFmt w:val="decimal"/>
      <w:lvlText w:val="%4."/>
      <w:lvlJc w:val="left"/>
      <w:pPr>
        <w:ind w:left="2880" w:hanging="360"/>
      </w:pPr>
    </w:lvl>
    <w:lvl w:ilvl="4" w:tplc="7320204E" w:tentative="1">
      <w:start w:val="1"/>
      <w:numFmt w:val="lowerLetter"/>
      <w:lvlText w:val="%5."/>
      <w:lvlJc w:val="left"/>
      <w:pPr>
        <w:ind w:left="3600" w:hanging="360"/>
      </w:pPr>
    </w:lvl>
    <w:lvl w:ilvl="5" w:tplc="D128A02A" w:tentative="1">
      <w:start w:val="1"/>
      <w:numFmt w:val="lowerRoman"/>
      <w:lvlText w:val="%6."/>
      <w:lvlJc w:val="right"/>
      <w:pPr>
        <w:ind w:left="4320" w:hanging="180"/>
      </w:pPr>
    </w:lvl>
    <w:lvl w:ilvl="6" w:tplc="1BE45726" w:tentative="1">
      <w:start w:val="1"/>
      <w:numFmt w:val="decimal"/>
      <w:lvlText w:val="%7."/>
      <w:lvlJc w:val="left"/>
      <w:pPr>
        <w:ind w:left="5040" w:hanging="360"/>
      </w:pPr>
    </w:lvl>
    <w:lvl w:ilvl="7" w:tplc="E07EF560" w:tentative="1">
      <w:start w:val="1"/>
      <w:numFmt w:val="lowerLetter"/>
      <w:lvlText w:val="%8."/>
      <w:lvlJc w:val="left"/>
      <w:pPr>
        <w:ind w:left="5760" w:hanging="360"/>
      </w:pPr>
    </w:lvl>
    <w:lvl w:ilvl="8" w:tplc="2744B214" w:tentative="1">
      <w:start w:val="1"/>
      <w:numFmt w:val="lowerRoman"/>
      <w:lvlText w:val="%9."/>
      <w:lvlJc w:val="right"/>
      <w:pPr>
        <w:ind w:left="6480" w:hanging="180"/>
      </w:pPr>
    </w:lvl>
  </w:abstractNum>
  <w:abstractNum w:abstractNumId="16" w15:restartNumberingAfterBreak="0">
    <w:nsid w:val="473A4908"/>
    <w:multiLevelType w:val="hybridMultilevel"/>
    <w:tmpl w:val="12FC919A"/>
    <w:lvl w:ilvl="0" w:tplc="F80EB2C2">
      <w:start w:val="1"/>
      <w:numFmt w:val="decimal"/>
      <w:lvlText w:val="%1."/>
      <w:lvlJc w:val="left"/>
      <w:pPr>
        <w:ind w:left="720" w:hanging="360"/>
      </w:pPr>
      <w:rPr>
        <w:rFonts w:hint="default"/>
      </w:rPr>
    </w:lvl>
    <w:lvl w:ilvl="1" w:tplc="3F74BAFE" w:tentative="1">
      <w:start w:val="1"/>
      <w:numFmt w:val="lowerLetter"/>
      <w:lvlText w:val="%2."/>
      <w:lvlJc w:val="left"/>
      <w:pPr>
        <w:ind w:left="1440" w:hanging="360"/>
      </w:pPr>
    </w:lvl>
    <w:lvl w:ilvl="2" w:tplc="429CC87C" w:tentative="1">
      <w:start w:val="1"/>
      <w:numFmt w:val="lowerRoman"/>
      <w:lvlText w:val="%3."/>
      <w:lvlJc w:val="right"/>
      <w:pPr>
        <w:ind w:left="2160" w:hanging="180"/>
      </w:pPr>
    </w:lvl>
    <w:lvl w:ilvl="3" w:tplc="C1CC3D20" w:tentative="1">
      <w:start w:val="1"/>
      <w:numFmt w:val="decimal"/>
      <w:lvlText w:val="%4."/>
      <w:lvlJc w:val="left"/>
      <w:pPr>
        <w:ind w:left="2880" w:hanging="360"/>
      </w:pPr>
    </w:lvl>
    <w:lvl w:ilvl="4" w:tplc="542CAC9E" w:tentative="1">
      <w:start w:val="1"/>
      <w:numFmt w:val="lowerLetter"/>
      <w:lvlText w:val="%5."/>
      <w:lvlJc w:val="left"/>
      <w:pPr>
        <w:ind w:left="3600" w:hanging="360"/>
      </w:pPr>
    </w:lvl>
    <w:lvl w:ilvl="5" w:tplc="CC84763E" w:tentative="1">
      <w:start w:val="1"/>
      <w:numFmt w:val="lowerRoman"/>
      <w:lvlText w:val="%6."/>
      <w:lvlJc w:val="right"/>
      <w:pPr>
        <w:ind w:left="4320" w:hanging="180"/>
      </w:pPr>
    </w:lvl>
    <w:lvl w:ilvl="6" w:tplc="AB5EA610" w:tentative="1">
      <w:start w:val="1"/>
      <w:numFmt w:val="decimal"/>
      <w:lvlText w:val="%7."/>
      <w:lvlJc w:val="left"/>
      <w:pPr>
        <w:ind w:left="5040" w:hanging="360"/>
      </w:pPr>
    </w:lvl>
    <w:lvl w:ilvl="7" w:tplc="63B80936" w:tentative="1">
      <w:start w:val="1"/>
      <w:numFmt w:val="lowerLetter"/>
      <w:lvlText w:val="%8."/>
      <w:lvlJc w:val="left"/>
      <w:pPr>
        <w:ind w:left="5760" w:hanging="360"/>
      </w:pPr>
    </w:lvl>
    <w:lvl w:ilvl="8" w:tplc="B6E641C8" w:tentative="1">
      <w:start w:val="1"/>
      <w:numFmt w:val="lowerRoman"/>
      <w:lvlText w:val="%9."/>
      <w:lvlJc w:val="right"/>
      <w:pPr>
        <w:ind w:left="6480" w:hanging="180"/>
      </w:pPr>
    </w:lvl>
  </w:abstractNum>
  <w:abstractNum w:abstractNumId="17" w15:restartNumberingAfterBreak="0">
    <w:nsid w:val="4A491160"/>
    <w:multiLevelType w:val="hybridMultilevel"/>
    <w:tmpl w:val="A620994A"/>
    <w:lvl w:ilvl="0" w:tplc="F6A25138">
      <w:start w:val="1"/>
      <w:numFmt w:val="decimal"/>
      <w:lvlText w:val="%1."/>
      <w:lvlJc w:val="left"/>
      <w:pPr>
        <w:ind w:left="720" w:hanging="360"/>
      </w:pPr>
    </w:lvl>
    <w:lvl w:ilvl="1" w:tplc="203AA61E" w:tentative="1">
      <w:start w:val="1"/>
      <w:numFmt w:val="lowerLetter"/>
      <w:lvlText w:val="%2."/>
      <w:lvlJc w:val="left"/>
      <w:pPr>
        <w:ind w:left="1440" w:hanging="360"/>
      </w:pPr>
    </w:lvl>
    <w:lvl w:ilvl="2" w:tplc="5448BD2C" w:tentative="1">
      <w:start w:val="1"/>
      <w:numFmt w:val="lowerRoman"/>
      <w:lvlText w:val="%3."/>
      <w:lvlJc w:val="right"/>
      <w:pPr>
        <w:ind w:left="2160" w:hanging="180"/>
      </w:pPr>
    </w:lvl>
    <w:lvl w:ilvl="3" w:tplc="B68A8376" w:tentative="1">
      <w:start w:val="1"/>
      <w:numFmt w:val="decimal"/>
      <w:lvlText w:val="%4."/>
      <w:lvlJc w:val="left"/>
      <w:pPr>
        <w:ind w:left="2880" w:hanging="360"/>
      </w:pPr>
    </w:lvl>
    <w:lvl w:ilvl="4" w:tplc="AF828898" w:tentative="1">
      <w:start w:val="1"/>
      <w:numFmt w:val="lowerLetter"/>
      <w:lvlText w:val="%5."/>
      <w:lvlJc w:val="left"/>
      <w:pPr>
        <w:ind w:left="3600" w:hanging="360"/>
      </w:pPr>
    </w:lvl>
    <w:lvl w:ilvl="5" w:tplc="AD203110" w:tentative="1">
      <w:start w:val="1"/>
      <w:numFmt w:val="lowerRoman"/>
      <w:lvlText w:val="%6."/>
      <w:lvlJc w:val="right"/>
      <w:pPr>
        <w:ind w:left="4320" w:hanging="180"/>
      </w:pPr>
    </w:lvl>
    <w:lvl w:ilvl="6" w:tplc="B948A4EC" w:tentative="1">
      <w:start w:val="1"/>
      <w:numFmt w:val="decimal"/>
      <w:lvlText w:val="%7."/>
      <w:lvlJc w:val="left"/>
      <w:pPr>
        <w:ind w:left="5040" w:hanging="360"/>
      </w:pPr>
    </w:lvl>
    <w:lvl w:ilvl="7" w:tplc="9DC03958" w:tentative="1">
      <w:start w:val="1"/>
      <w:numFmt w:val="lowerLetter"/>
      <w:lvlText w:val="%8."/>
      <w:lvlJc w:val="left"/>
      <w:pPr>
        <w:ind w:left="5760" w:hanging="360"/>
      </w:pPr>
    </w:lvl>
    <w:lvl w:ilvl="8" w:tplc="40405560" w:tentative="1">
      <w:start w:val="1"/>
      <w:numFmt w:val="lowerRoman"/>
      <w:lvlText w:val="%9."/>
      <w:lvlJc w:val="right"/>
      <w:pPr>
        <w:ind w:left="6480" w:hanging="180"/>
      </w:pPr>
    </w:lvl>
  </w:abstractNum>
  <w:abstractNum w:abstractNumId="18" w15:restartNumberingAfterBreak="0">
    <w:nsid w:val="50DA0E75"/>
    <w:multiLevelType w:val="hybridMultilevel"/>
    <w:tmpl w:val="AA842350"/>
    <w:lvl w:ilvl="0" w:tplc="64F686B4">
      <w:start w:val="1"/>
      <w:numFmt w:val="decimal"/>
      <w:lvlText w:val="%1."/>
      <w:lvlJc w:val="left"/>
      <w:pPr>
        <w:ind w:left="720" w:hanging="360"/>
      </w:pPr>
    </w:lvl>
    <w:lvl w:ilvl="1" w:tplc="1DD60B3C">
      <w:start w:val="1"/>
      <w:numFmt w:val="decimal"/>
      <w:lvlText w:val="%2."/>
      <w:lvlJc w:val="left"/>
      <w:pPr>
        <w:ind w:left="1440" w:hanging="360"/>
      </w:pPr>
    </w:lvl>
    <w:lvl w:ilvl="2" w:tplc="4638526A" w:tentative="1">
      <w:start w:val="1"/>
      <w:numFmt w:val="lowerRoman"/>
      <w:lvlText w:val="%3."/>
      <w:lvlJc w:val="right"/>
      <w:pPr>
        <w:ind w:left="2160" w:hanging="180"/>
      </w:pPr>
    </w:lvl>
    <w:lvl w:ilvl="3" w:tplc="0DC22B46" w:tentative="1">
      <w:start w:val="1"/>
      <w:numFmt w:val="decimal"/>
      <w:lvlText w:val="%4."/>
      <w:lvlJc w:val="left"/>
      <w:pPr>
        <w:ind w:left="2880" w:hanging="360"/>
      </w:pPr>
    </w:lvl>
    <w:lvl w:ilvl="4" w:tplc="8C46E038" w:tentative="1">
      <w:start w:val="1"/>
      <w:numFmt w:val="lowerLetter"/>
      <w:lvlText w:val="%5."/>
      <w:lvlJc w:val="left"/>
      <w:pPr>
        <w:ind w:left="3600" w:hanging="360"/>
      </w:pPr>
    </w:lvl>
    <w:lvl w:ilvl="5" w:tplc="6AEEB914" w:tentative="1">
      <w:start w:val="1"/>
      <w:numFmt w:val="lowerRoman"/>
      <w:lvlText w:val="%6."/>
      <w:lvlJc w:val="right"/>
      <w:pPr>
        <w:ind w:left="4320" w:hanging="180"/>
      </w:pPr>
    </w:lvl>
    <w:lvl w:ilvl="6" w:tplc="B9DEF4F6" w:tentative="1">
      <w:start w:val="1"/>
      <w:numFmt w:val="decimal"/>
      <w:lvlText w:val="%7."/>
      <w:lvlJc w:val="left"/>
      <w:pPr>
        <w:ind w:left="5040" w:hanging="360"/>
      </w:pPr>
    </w:lvl>
    <w:lvl w:ilvl="7" w:tplc="3A147408" w:tentative="1">
      <w:start w:val="1"/>
      <w:numFmt w:val="lowerLetter"/>
      <w:lvlText w:val="%8."/>
      <w:lvlJc w:val="left"/>
      <w:pPr>
        <w:ind w:left="5760" w:hanging="360"/>
      </w:pPr>
    </w:lvl>
    <w:lvl w:ilvl="8" w:tplc="B6BCD94C" w:tentative="1">
      <w:start w:val="1"/>
      <w:numFmt w:val="lowerRoman"/>
      <w:lvlText w:val="%9."/>
      <w:lvlJc w:val="right"/>
      <w:pPr>
        <w:ind w:left="6480" w:hanging="180"/>
      </w:pPr>
    </w:lvl>
  </w:abstractNum>
  <w:abstractNum w:abstractNumId="19" w15:restartNumberingAfterBreak="0">
    <w:nsid w:val="54126AF9"/>
    <w:multiLevelType w:val="hybridMultilevel"/>
    <w:tmpl w:val="5DB41798"/>
    <w:lvl w:ilvl="0" w:tplc="5C547198">
      <w:start w:val="1"/>
      <w:numFmt w:val="bullet"/>
      <w:lvlText w:val=""/>
      <w:lvlJc w:val="left"/>
      <w:pPr>
        <w:ind w:left="85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F32603C">
      <w:start w:val="1"/>
      <w:numFmt w:val="bullet"/>
      <w:lvlText w:val="•"/>
      <w:lvlJc w:val="left"/>
      <w:pPr>
        <w:ind w:left="11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70770C">
      <w:start w:val="1"/>
      <w:numFmt w:val="bullet"/>
      <w:lvlText w:val="▪"/>
      <w:lvlJc w:val="left"/>
      <w:pPr>
        <w:ind w:left="19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162532">
      <w:start w:val="1"/>
      <w:numFmt w:val="bullet"/>
      <w:lvlText w:val="•"/>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03930">
      <w:start w:val="1"/>
      <w:numFmt w:val="bullet"/>
      <w:lvlText w:val="o"/>
      <w:lvlJc w:val="left"/>
      <w:pPr>
        <w:ind w:left="3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1A9A22">
      <w:start w:val="1"/>
      <w:numFmt w:val="bullet"/>
      <w:lvlText w:val="▪"/>
      <w:lvlJc w:val="left"/>
      <w:pPr>
        <w:ind w:left="4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BCF040">
      <w:start w:val="1"/>
      <w:numFmt w:val="bullet"/>
      <w:lvlText w:val="•"/>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CF7A8">
      <w:start w:val="1"/>
      <w:numFmt w:val="bullet"/>
      <w:lvlText w:val="o"/>
      <w:lvlJc w:val="left"/>
      <w:pPr>
        <w:ind w:left="5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DCABE4">
      <w:start w:val="1"/>
      <w:numFmt w:val="bullet"/>
      <w:lvlText w:val="▪"/>
      <w:lvlJc w:val="left"/>
      <w:pPr>
        <w:ind w:left="6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84200C"/>
    <w:multiLevelType w:val="hybridMultilevel"/>
    <w:tmpl w:val="43383EEC"/>
    <w:lvl w:ilvl="0" w:tplc="87648902">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58D6635E"/>
    <w:multiLevelType w:val="hybridMultilevel"/>
    <w:tmpl w:val="A16E8AD0"/>
    <w:lvl w:ilvl="0" w:tplc="54ACA114">
      <w:start w:val="1"/>
      <w:numFmt w:val="bullet"/>
      <w:lvlText w:val=""/>
      <w:lvlJc w:val="left"/>
      <w:pPr>
        <w:ind w:left="1069" w:hanging="360"/>
      </w:pPr>
      <w:rPr>
        <w:rFonts w:ascii="Symbol" w:hAnsi="Symbol" w:hint="default"/>
      </w:rPr>
    </w:lvl>
    <w:lvl w:ilvl="1" w:tplc="11E4B814" w:tentative="1">
      <w:start w:val="1"/>
      <w:numFmt w:val="bullet"/>
      <w:lvlText w:val="o"/>
      <w:lvlJc w:val="left"/>
      <w:pPr>
        <w:ind w:left="1789" w:hanging="360"/>
      </w:pPr>
      <w:rPr>
        <w:rFonts w:ascii="Courier New" w:hAnsi="Courier New" w:cs="Courier New" w:hint="default"/>
      </w:rPr>
    </w:lvl>
    <w:lvl w:ilvl="2" w:tplc="5D8678A8" w:tentative="1">
      <w:start w:val="1"/>
      <w:numFmt w:val="bullet"/>
      <w:lvlText w:val=""/>
      <w:lvlJc w:val="left"/>
      <w:pPr>
        <w:ind w:left="2509" w:hanging="360"/>
      </w:pPr>
      <w:rPr>
        <w:rFonts w:ascii="Wingdings" w:hAnsi="Wingdings" w:hint="default"/>
      </w:rPr>
    </w:lvl>
    <w:lvl w:ilvl="3" w:tplc="2200C4CC" w:tentative="1">
      <w:start w:val="1"/>
      <w:numFmt w:val="bullet"/>
      <w:lvlText w:val=""/>
      <w:lvlJc w:val="left"/>
      <w:pPr>
        <w:ind w:left="3229" w:hanging="360"/>
      </w:pPr>
      <w:rPr>
        <w:rFonts w:ascii="Symbol" w:hAnsi="Symbol" w:hint="default"/>
      </w:rPr>
    </w:lvl>
    <w:lvl w:ilvl="4" w:tplc="5A3E5202" w:tentative="1">
      <w:start w:val="1"/>
      <w:numFmt w:val="bullet"/>
      <w:lvlText w:val="o"/>
      <w:lvlJc w:val="left"/>
      <w:pPr>
        <w:ind w:left="3949" w:hanging="360"/>
      </w:pPr>
      <w:rPr>
        <w:rFonts w:ascii="Courier New" w:hAnsi="Courier New" w:cs="Courier New" w:hint="default"/>
      </w:rPr>
    </w:lvl>
    <w:lvl w:ilvl="5" w:tplc="A90EEB08" w:tentative="1">
      <w:start w:val="1"/>
      <w:numFmt w:val="bullet"/>
      <w:lvlText w:val=""/>
      <w:lvlJc w:val="left"/>
      <w:pPr>
        <w:ind w:left="4669" w:hanging="360"/>
      </w:pPr>
      <w:rPr>
        <w:rFonts w:ascii="Wingdings" w:hAnsi="Wingdings" w:hint="default"/>
      </w:rPr>
    </w:lvl>
    <w:lvl w:ilvl="6" w:tplc="1EA61D24" w:tentative="1">
      <w:start w:val="1"/>
      <w:numFmt w:val="bullet"/>
      <w:lvlText w:val=""/>
      <w:lvlJc w:val="left"/>
      <w:pPr>
        <w:ind w:left="5389" w:hanging="360"/>
      </w:pPr>
      <w:rPr>
        <w:rFonts w:ascii="Symbol" w:hAnsi="Symbol" w:hint="default"/>
      </w:rPr>
    </w:lvl>
    <w:lvl w:ilvl="7" w:tplc="47BA252A" w:tentative="1">
      <w:start w:val="1"/>
      <w:numFmt w:val="bullet"/>
      <w:lvlText w:val="o"/>
      <w:lvlJc w:val="left"/>
      <w:pPr>
        <w:ind w:left="6109" w:hanging="360"/>
      </w:pPr>
      <w:rPr>
        <w:rFonts w:ascii="Courier New" w:hAnsi="Courier New" w:cs="Courier New" w:hint="default"/>
      </w:rPr>
    </w:lvl>
    <w:lvl w:ilvl="8" w:tplc="127462AC" w:tentative="1">
      <w:start w:val="1"/>
      <w:numFmt w:val="bullet"/>
      <w:lvlText w:val=""/>
      <w:lvlJc w:val="left"/>
      <w:pPr>
        <w:ind w:left="6829" w:hanging="360"/>
      </w:pPr>
      <w:rPr>
        <w:rFonts w:ascii="Wingdings" w:hAnsi="Wingdings" w:hint="default"/>
      </w:rPr>
    </w:lvl>
  </w:abstractNum>
  <w:abstractNum w:abstractNumId="22" w15:restartNumberingAfterBreak="0">
    <w:nsid w:val="64FD7B00"/>
    <w:multiLevelType w:val="hybridMultilevel"/>
    <w:tmpl w:val="A298149E"/>
    <w:lvl w:ilvl="0" w:tplc="E578B5C0">
      <w:numFmt w:val="bullet"/>
      <w:lvlText w:val="-"/>
      <w:lvlJc w:val="left"/>
      <w:pPr>
        <w:ind w:left="927" w:hanging="360"/>
      </w:pPr>
      <w:rPr>
        <w:rFonts w:ascii="Calibri" w:eastAsiaTheme="minorEastAsia" w:hAnsi="Calibri" w:cs="Calibri" w:hint="default"/>
      </w:rPr>
    </w:lvl>
    <w:lvl w:ilvl="1" w:tplc="0C0C0003">
      <w:start w:val="1"/>
      <w:numFmt w:val="bullet"/>
      <w:lvlText w:val="o"/>
      <w:lvlJc w:val="left"/>
      <w:pPr>
        <w:ind w:left="1647" w:hanging="360"/>
      </w:pPr>
      <w:rPr>
        <w:rFonts w:ascii="Courier New" w:hAnsi="Courier New" w:cs="Courier New" w:hint="default"/>
      </w:rPr>
    </w:lvl>
    <w:lvl w:ilvl="2" w:tplc="0C0C0005">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3" w15:restartNumberingAfterBreak="0">
    <w:nsid w:val="656A6852"/>
    <w:multiLevelType w:val="hybridMultilevel"/>
    <w:tmpl w:val="E8209E10"/>
    <w:lvl w:ilvl="0" w:tplc="3C3653C4">
      <w:start w:val="1"/>
      <w:numFmt w:val="bullet"/>
      <w:lvlText w:val=""/>
      <w:lvlJc w:val="left"/>
      <w:pPr>
        <w:ind w:left="705" w:hanging="660"/>
      </w:pPr>
      <w:rPr>
        <w:rFonts w:ascii="Symbol" w:hAnsi="Symbol" w:hint="default"/>
      </w:rPr>
    </w:lvl>
    <w:lvl w:ilvl="1" w:tplc="FB72DE06" w:tentative="1">
      <w:start w:val="1"/>
      <w:numFmt w:val="bullet"/>
      <w:lvlText w:val="o"/>
      <w:lvlJc w:val="left"/>
      <w:pPr>
        <w:ind w:left="1125" w:hanging="360"/>
      </w:pPr>
      <w:rPr>
        <w:rFonts w:ascii="Courier New" w:hAnsi="Courier New" w:cs="Courier New" w:hint="default"/>
      </w:rPr>
    </w:lvl>
    <w:lvl w:ilvl="2" w:tplc="48EE3532" w:tentative="1">
      <w:start w:val="1"/>
      <w:numFmt w:val="bullet"/>
      <w:lvlText w:val=""/>
      <w:lvlJc w:val="left"/>
      <w:pPr>
        <w:ind w:left="1845" w:hanging="360"/>
      </w:pPr>
      <w:rPr>
        <w:rFonts w:ascii="Wingdings" w:hAnsi="Wingdings" w:hint="default"/>
      </w:rPr>
    </w:lvl>
    <w:lvl w:ilvl="3" w:tplc="21BEF8EA" w:tentative="1">
      <w:start w:val="1"/>
      <w:numFmt w:val="bullet"/>
      <w:lvlText w:val=""/>
      <w:lvlJc w:val="left"/>
      <w:pPr>
        <w:ind w:left="2565" w:hanging="360"/>
      </w:pPr>
      <w:rPr>
        <w:rFonts w:ascii="Symbol" w:hAnsi="Symbol" w:hint="default"/>
      </w:rPr>
    </w:lvl>
    <w:lvl w:ilvl="4" w:tplc="CBF8740A" w:tentative="1">
      <w:start w:val="1"/>
      <w:numFmt w:val="bullet"/>
      <w:lvlText w:val="o"/>
      <w:lvlJc w:val="left"/>
      <w:pPr>
        <w:ind w:left="3285" w:hanging="360"/>
      </w:pPr>
      <w:rPr>
        <w:rFonts w:ascii="Courier New" w:hAnsi="Courier New" w:cs="Courier New" w:hint="default"/>
      </w:rPr>
    </w:lvl>
    <w:lvl w:ilvl="5" w:tplc="2B166BC8" w:tentative="1">
      <w:start w:val="1"/>
      <w:numFmt w:val="bullet"/>
      <w:lvlText w:val=""/>
      <w:lvlJc w:val="left"/>
      <w:pPr>
        <w:ind w:left="4005" w:hanging="360"/>
      </w:pPr>
      <w:rPr>
        <w:rFonts w:ascii="Wingdings" w:hAnsi="Wingdings" w:hint="default"/>
      </w:rPr>
    </w:lvl>
    <w:lvl w:ilvl="6" w:tplc="6F1047CC" w:tentative="1">
      <w:start w:val="1"/>
      <w:numFmt w:val="bullet"/>
      <w:lvlText w:val=""/>
      <w:lvlJc w:val="left"/>
      <w:pPr>
        <w:ind w:left="4725" w:hanging="360"/>
      </w:pPr>
      <w:rPr>
        <w:rFonts w:ascii="Symbol" w:hAnsi="Symbol" w:hint="default"/>
      </w:rPr>
    </w:lvl>
    <w:lvl w:ilvl="7" w:tplc="F08AA346" w:tentative="1">
      <w:start w:val="1"/>
      <w:numFmt w:val="bullet"/>
      <w:lvlText w:val="o"/>
      <w:lvlJc w:val="left"/>
      <w:pPr>
        <w:ind w:left="5445" w:hanging="360"/>
      </w:pPr>
      <w:rPr>
        <w:rFonts w:ascii="Courier New" w:hAnsi="Courier New" w:cs="Courier New" w:hint="default"/>
      </w:rPr>
    </w:lvl>
    <w:lvl w:ilvl="8" w:tplc="4CBAF72A" w:tentative="1">
      <w:start w:val="1"/>
      <w:numFmt w:val="bullet"/>
      <w:lvlText w:val=""/>
      <w:lvlJc w:val="left"/>
      <w:pPr>
        <w:ind w:left="6165" w:hanging="360"/>
      </w:pPr>
      <w:rPr>
        <w:rFonts w:ascii="Wingdings" w:hAnsi="Wingdings" w:hint="default"/>
      </w:rPr>
    </w:lvl>
  </w:abstractNum>
  <w:abstractNum w:abstractNumId="24" w15:restartNumberingAfterBreak="0">
    <w:nsid w:val="666D3CBA"/>
    <w:multiLevelType w:val="hybridMultilevel"/>
    <w:tmpl w:val="8A0EB05E"/>
    <w:lvl w:ilvl="0" w:tplc="C4EC4140">
      <w:start w:val="1"/>
      <w:numFmt w:val="bullet"/>
      <w:lvlText w:val=""/>
      <w:lvlJc w:val="left"/>
      <w:pPr>
        <w:tabs>
          <w:tab w:val="num" w:pos="720"/>
        </w:tabs>
        <w:ind w:left="720" w:hanging="360"/>
      </w:pPr>
      <w:rPr>
        <w:rFonts w:ascii="Symbol" w:hAnsi="Symbol" w:hint="default"/>
      </w:rPr>
    </w:lvl>
    <w:lvl w:ilvl="1" w:tplc="7EFAA90C">
      <w:start w:val="1"/>
      <w:numFmt w:val="bullet"/>
      <w:lvlText w:val="o"/>
      <w:lvlJc w:val="left"/>
      <w:pPr>
        <w:tabs>
          <w:tab w:val="num" w:pos="1800"/>
        </w:tabs>
        <w:ind w:left="1800" w:hanging="360"/>
      </w:pPr>
      <w:rPr>
        <w:rFonts w:ascii="Courier New" w:hAnsi="Courier New" w:cs="Courier New" w:hint="default"/>
      </w:rPr>
    </w:lvl>
    <w:lvl w:ilvl="2" w:tplc="E578B5C0">
      <w:numFmt w:val="bullet"/>
      <w:lvlText w:val="-"/>
      <w:lvlJc w:val="left"/>
      <w:pPr>
        <w:ind w:left="2520" w:hanging="360"/>
      </w:pPr>
      <w:rPr>
        <w:rFonts w:ascii="Calibri" w:eastAsiaTheme="minorEastAsia" w:hAnsi="Calibri" w:cs="Calibri" w:hint="default"/>
      </w:rPr>
    </w:lvl>
    <w:lvl w:ilvl="3" w:tplc="F98654C4" w:tentative="1">
      <w:start w:val="1"/>
      <w:numFmt w:val="bullet"/>
      <w:lvlText w:val=""/>
      <w:lvlJc w:val="left"/>
      <w:pPr>
        <w:tabs>
          <w:tab w:val="num" w:pos="3240"/>
        </w:tabs>
        <w:ind w:left="3240" w:hanging="360"/>
      </w:pPr>
      <w:rPr>
        <w:rFonts w:ascii="Symbol" w:hAnsi="Symbol" w:hint="default"/>
      </w:rPr>
    </w:lvl>
    <w:lvl w:ilvl="4" w:tplc="3A6CC4FA" w:tentative="1">
      <w:start w:val="1"/>
      <w:numFmt w:val="bullet"/>
      <w:lvlText w:val="o"/>
      <w:lvlJc w:val="left"/>
      <w:pPr>
        <w:tabs>
          <w:tab w:val="num" w:pos="3960"/>
        </w:tabs>
        <w:ind w:left="3960" w:hanging="360"/>
      </w:pPr>
      <w:rPr>
        <w:rFonts w:ascii="Courier New" w:hAnsi="Courier New" w:cs="Courier New" w:hint="default"/>
      </w:rPr>
    </w:lvl>
    <w:lvl w:ilvl="5" w:tplc="4A2E440C" w:tentative="1">
      <w:start w:val="1"/>
      <w:numFmt w:val="bullet"/>
      <w:lvlText w:val=""/>
      <w:lvlJc w:val="left"/>
      <w:pPr>
        <w:tabs>
          <w:tab w:val="num" w:pos="4680"/>
        </w:tabs>
        <w:ind w:left="4680" w:hanging="360"/>
      </w:pPr>
      <w:rPr>
        <w:rFonts w:ascii="Wingdings" w:hAnsi="Wingdings" w:hint="default"/>
      </w:rPr>
    </w:lvl>
    <w:lvl w:ilvl="6" w:tplc="D71866BE" w:tentative="1">
      <w:start w:val="1"/>
      <w:numFmt w:val="bullet"/>
      <w:lvlText w:val=""/>
      <w:lvlJc w:val="left"/>
      <w:pPr>
        <w:tabs>
          <w:tab w:val="num" w:pos="5400"/>
        </w:tabs>
        <w:ind w:left="5400" w:hanging="360"/>
      </w:pPr>
      <w:rPr>
        <w:rFonts w:ascii="Symbol" w:hAnsi="Symbol" w:hint="default"/>
      </w:rPr>
    </w:lvl>
    <w:lvl w:ilvl="7" w:tplc="FC0AC0EC" w:tentative="1">
      <w:start w:val="1"/>
      <w:numFmt w:val="bullet"/>
      <w:lvlText w:val="o"/>
      <w:lvlJc w:val="left"/>
      <w:pPr>
        <w:tabs>
          <w:tab w:val="num" w:pos="6120"/>
        </w:tabs>
        <w:ind w:left="6120" w:hanging="360"/>
      </w:pPr>
      <w:rPr>
        <w:rFonts w:ascii="Courier New" w:hAnsi="Courier New" w:cs="Courier New" w:hint="default"/>
      </w:rPr>
    </w:lvl>
    <w:lvl w:ilvl="8" w:tplc="B87011FC"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7B85359"/>
    <w:multiLevelType w:val="hybridMultilevel"/>
    <w:tmpl w:val="F0B4D9BC"/>
    <w:lvl w:ilvl="0" w:tplc="CA70A1C2">
      <w:start w:val="1"/>
      <w:numFmt w:val="bullet"/>
      <w:pStyle w:val="Boulettes"/>
      <w:lvlText w:val=""/>
      <w:lvlJc w:val="left"/>
      <w:pPr>
        <w:ind w:left="720" w:hanging="360"/>
      </w:pPr>
      <w:rPr>
        <w:rFonts w:ascii="Symbol" w:hAnsi="Symbol" w:hint="default"/>
      </w:rPr>
    </w:lvl>
    <w:lvl w:ilvl="1" w:tplc="2D5A342C">
      <w:start w:val="1"/>
      <w:numFmt w:val="bullet"/>
      <w:lvlText w:val="o"/>
      <w:lvlJc w:val="left"/>
      <w:pPr>
        <w:ind w:left="1440" w:hanging="360"/>
      </w:pPr>
      <w:rPr>
        <w:rFonts w:ascii="Courier New" w:hAnsi="Courier New" w:cs="Courier New" w:hint="default"/>
      </w:rPr>
    </w:lvl>
    <w:lvl w:ilvl="2" w:tplc="03505ACC">
      <w:start w:val="1"/>
      <w:numFmt w:val="bullet"/>
      <w:lvlText w:val=""/>
      <w:lvlJc w:val="left"/>
      <w:pPr>
        <w:ind w:left="2160" w:hanging="360"/>
      </w:pPr>
      <w:rPr>
        <w:rFonts w:ascii="Wingdings" w:hAnsi="Wingdings" w:hint="default"/>
      </w:rPr>
    </w:lvl>
    <w:lvl w:ilvl="3" w:tplc="A594AAA6">
      <w:start w:val="1"/>
      <w:numFmt w:val="bullet"/>
      <w:lvlText w:val=""/>
      <w:lvlJc w:val="left"/>
      <w:pPr>
        <w:ind w:left="2880" w:hanging="360"/>
      </w:pPr>
      <w:rPr>
        <w:rFonts w:ascii="Symbol" w:hAnsi="Symbol" w:hint="default"/>
      </w:rPr>
    </w:lvl>
    <w:lvl w:ilvl="4" w:tplc="2370EA3C">
      <w:start w:val="1"/>
      <w:numFmt w:val="bullet"/>
      <w:lvlText w:val="o"/>
      <w:lvlJc w:val="left"/>
      <w:pPr>
        <w:ind w:left="3600" w:hanging="360"/>
      </w:pPr>
      <w:rPr>
        <w:rFonts w:ascii="Courier New" w:hAnsi="Courier New" w:cs="Courier New" w:hint="default"/>
      </w:rPr>
    </w:lvl>
    <w:lvl w:ilvl="5" w:tplc="B09006E4">
      <w:start w:val="1"/>
      <w:numFmt w:val="bullet"/>
      <w:lvlText w:val=""/>
      <w:lvlJc w:val="left"/>
      <w:pPr>
        <w:ind w:left="4320" w:hanging="360"/>
      </w:pPr>
      <w:rPr>
        <w:rFonts w:ascii="Wingdings" w:hAnsi="Wingdings" w:hint="default"/>
      </w:rPr>
    </w:lvl>
    <w:lvl w:ilvl="6" w:tplc="AEC2FB84">
      <w:start w:val="1"/>
      <w:numFmt w:val="bullet"/>
      <w:lvlText w:val=""/>
      <w:lvlJc w:val="left"/>
      <w:pPr>
        <w:ind w:left="5040" w:hanging="360"/>
      </w:pPr>
      <w:rPr>
        <w:rFonts w:ascii="Symbol" w:hAnsi="Symbol" w:hint="default"/>
      </w:rPr>
    </w:lvl>
    <w:lvl w:ilvl="7" w:tplc="8AD44DEC">
      <w:start w:val="1"/>
      <w:numFmt w:val="bullet"/>
      <w:lvlText w:val="o"/>
      <w:lvlJc w:val="left"/>
      <w:pPr>
        <w:ind w:left="5760" w:hanging="360"/>
      </w:pPr>
      <w:rPr>
        <w:rFonts w:ascii="Courier New" w:hAnsi="Courier New" w:cs="Courier New" w:hint="default"/>
      </w:rPr>
    </w:lvl>
    <w:lvl w:ilvl="8" w:tplc="EE1E81D0">
      <w:start w:val="1"/>
      <w:numFmt w:val="bullet"/>
      <w:lvlText w:val=""/>
      <w:lvlJc w:val="left"/>
      <w:pPr>
        <w:ind w:left="6480" w:hanging="360"/>
      </w:pPr>
      <w:rPr>
        <w:rFonts w:ascii="Wingdings" w:hAnsi="Wingdings" w:hint="default"/>
      </w:rPr>
    </w:lvl>
  </w:abstractNum>
  <w:abstractNum w:abstractNumId="26" w15:restartNumberingAfterBreak="0">
    <w:nsid w:val="68530BAB"/>
    <w:multiLevelType w:val="hybridMultilevel"/>
    <w:tmpl w:val="BD5CE8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8891899"/>
    <w:multiLevelType w:val="hybridMultilevel"/>
    <w:tmpl w:val="83084E4C"/>
    <w:lvl w:ilvl="0" w:tplc="6922ACDC">
      <w:start w:val="1"/>
      <w:numFmt w:val="bullet"/>
      <w:lvlText w:val=""/>
      <w:lvlJc w:val="left"/>
      <w:pPr>
        <w:ind w:left="720" w:hanging="360"/>
      </w:pPr>
      <w:rPr>
        <w:rFonts w:ascii="Symbol" w:hAnsi="Symbol" w:hint="default"/>
      </w:rPr>
    </w:lvl>
    <w:lvl w:ilvl="1" w:tplc="E66EA122">
      <w:start w:val="1"/>
      <w:numFmt w:val="bullet"/>
      <w:lvlText w:val="o"/>
      <w:lvlJc w:val="left"/>
      <w:pPr>
        <w:ind w:left="1440" w:hanging="360"/>
      </w:pPr>
      <w:rPr>
        <w:rFonts w:ascii="Courier New" w:hAnsi="Courier New" w:cs="Courier New" w:hint="default"/>
      </w:rPr>
    </w:lvl>
    <w:lvl w:ilvl="2" w:tplc="078E13BC">
      <w:start w:val="1"/>
      <w:numFmt w:val="bullet"/>
      <w:lvlText w:val=""/>
      <w:lvlJc w:val="left"/>
      <w:pPr>
        <w:ind w:left="2160" w:hanging="360"/>
      </w:pPr>
      <w:rPr>
        <w:rFonts w:ascii="Wingdings" w:hAnsi="Wingdings" w:hint="default"/>
      </w:rPr>
    </w:lvl>
    <w:lvl w:ilvl="3" w:tplc="856AA94E" w:tentative="1">
      <w:start w:val="1"/>
      <w:numFmt w:val="bullet"/>
      <w:lvlText w:val=""/>
      <w:lvlJc w:val="left"/>
      <w:pPr>
        <w:ind w:left="2880" w:hanging="360"/>
      </w:pPr>
      <w:rPr>
        <w:rFonts w:ascii="Symbol" w:hAnsi="Symbol" w:hint="default"/>
      </w:rPr>
    </w:lvl>
    <w:lvl w:ilvl="4" w:tplc="B1C43A3A" w:tentative="1">
      <w:start w:val="1"/>
      <w:numFmt w:val="bullet"/>
      <w:lvlText w:val="o"/>
      <w:lvlJc w:val="left"/>
      <w:pPr>
        <w:ind w:left="3600" w:hanging="360"/>
      </w:pPr>
      <w:rPr>
        <w:rFonts w:ascii="Courier New" w:hAnsi="Courier New" w:cs="Courier New" w:hint="default"/>
      </w:rPr>
    </w:lvl>
    <w:lvl w:ilvl="5" w:tplc="233C3308" w:tentative="1">
      <w:start w:val="1"/>
      <w:numFmt w:val="bullet"/>
      <w:lvlText w:val=""/>
      <w:lvlJc w:val="left"/>
      <w:pPr>
        <w:ind w:left="4320" w:hanging="360"/>
      </w:pPr>
      <w:rPr>
        <w:rFonts w:ascii="Wingdings" w:hAnsi="Wingdings" w:hint="default"/>
      </w:rPr>
    </w:lvl>
    <w:lvl w:ilvl="6" w:tplc="3B4A167A" w:tentative="1">
      <w:start w:val="1"/>
      <w:numFmt w:val="bullet"/>
      <w:lvlText w:val=""/>
      <w:lvlJc w:val="left"/>
      <w:pPr>
        <w:ind w:left="5040" w:hanging="360"/>
      </w:pPr>
      <w:rPr>
        <w:rFonts w:ascii="Symbol" w:hAnsi="Symbol" w:hint="default"/>
      </w:rPr>
    </w:lvl>
    <w:lvl w:ilvl="7" w:tplc="9A0E83BC" w:tentative="1">
      <w:start w:val="1"/>
      <w:numFmt w:val="bullet"/>
      <w:lvlText w:val="o"/>
      <w:lvlJc w:val="left"/>
      <w:pPr>
        <w:ind w:left="5760" w:hanging="360"/>
      </w:pPr>
      <w:rPr>
        <w:rFonts w:ascii="Courier New" w:hAnsi="Courier New" w:cs="Courier New" w:hint="default"/>
      </w:rPr>
    </w:lvl>
    <w:lvl w:ilvl="8" w:tplc="2C76F8D2" w:tentative="1">
      <w:start w:val="1"/>
      <w:numFmt w:val="bullet"/>
      <w:lvlText w:val=""/>
      <w:lvlJc w:val="left"/>
      <w:pPr>
        <w:ind w:left="6480" w:hanging="360"/>
      </w:pPr>
      <w:rPr>
        <w:rFonts w:ascii="Wingdings" w:hAnsi="Wingdings" w:hint="default"/>
      </w:rPr>
    </w:lvl>
  </w:abstractNum>
  <w:abstractNum w:abstractNumId="28" w15:restartNumberingAfterBreak="0">
    <w:nsid w:val="6EA62DD1"/>
    <w:multiLevelType w:val="hybridMultilevel"/>
    <w:tmpl w:val="90B26F02"/>
    <w:lvl w:ilvl="0" w:tplc="A7D07434">
      <w:start w:val="1"/>
      <w:numFmt w:val="bullet"/>
      <w:lvlText w:val=""/>
      <w:lvlJc w:val="left"/>
      <w:pPr>
        <w:ind w:left="720" w:hanging="360"/>
      </w:pPr>
      <w:rPr>
        <w:rFonts w:ascii="Symbol" w:hAnsi="Symbol" w:hint="default"/>
      </w:rPr>
    </w:lvl>
    <w:lvl w:ilvl="1" w:tplc="64E87946">
      <w:start w:val="3"/>
      <w:numFmt w:val="bullet"/>
      <w:lvlText w:val="•"/>
      <w:lvlJc w:val="left"/>
      <w:pPr>
        <w:ind w:left="1440" w:hanging="360"/>
      </w:pPr>
      <w:rPr>
        <w:rFonts w:ascii="Calibri" w:eastAsia="Yu Mincho" w:hAnsi="Calibri" w:cs="Calibri" w:hint="default"/>
      </w:rPr>
    </w:lvl>
    <w:lvl w:ilvl="2" w:tplc="EDFA1942" w:tentative="1">
      <w:start w:val="1"/>
      <w:numFmt w:val="bullet"/>
      <w:lvlText w:val=""/>
      <w:lvlJc w:val="left"/>
      <w:pPr>
        <w:ind w:left="2160" w:hanging="360"/>
      </w:pPr>
      <w:rPr>
        <w:rFonts w:ascii="Wingdings" w:hAnsi="Wingdings" w:hint="default"/>
      </w:rPr>
    </w:lvl>
    <w:lvl w:ilvl="3" w:tplc="67E896B0" w:tentative="1">
      <w:start w:val="1"/>
      <w:numFmt w:val="bullet"/>
      <w:lvlText w:val=""/>
      <w:lvlJc w:val="left"/>
      <w:pPr>
        <w:ind w:left="2880" w:hanging="360"/>
      </w:pPr>
      <w:rPr>
        <w:rFonts w:ascii="Symbol" w:hAnsi="Symbol" w:hint="default"/>
      </w:rPr>
    </w:lvl>
    <w:lvl w:ilvl="4" w:tplc="4320791C" w:tentative="1">
      <w:start w:val="1"/>
      <w:numFmt w:val="bullet"/>
      <w:lvlText w:val="o"/>
      <w:lvlJc w:val="left"/>
      <w:pPr>
        <w:ind w:left="3600" w:hanging="360"/>
      </w:pPr>
      <w:rPr>
        <w:rFonts w:ascii="Courier New" w:hAnsi="Courier New" w:cs="Courier New" w:hint="default"/>
      </w:rPr>
    </w:lvl>
    <w:lvl w:ilvl="5" w:tplc="AEA2F888" w:tentative="1">
      <w:start w:val="1"/>
      <w:numFmt w:val="bullet"/>
      <w:lvlText w:val=""/>
      <w:lvlJc w:val="left"/>
      <w:pPr>
        <w:ind w:left="4320" w:hanging="360"/>
      </w:pPr>
      <w:rPr>
        <w:rFonts w:ascii="Wingdings" w:hAnsi="Wingdings" w:hint="default"/>
      </w:rPr>
    </w:lvl>
    <w:lvl w:ilvl="6" w:tplc="FEB4D4C4" w:tentative="1">
      <w:start w:val="1"/>
      <w:numFmt w:val="bullet"/>
      <w:lvlText w:val=""/>
      <w:lvlJc w:val="left"/>
      <w:pPr>
        <w:ind w:left="5040" w:hanging="360"/>
      </w:pPr>
      <w:rPr>
        <w:rFonts w:ascii="Symbol" w:hAnsi="Symbol" w:hint="default"/>
      </w:rPr>
    </w:lvl>
    <w:lvl w:ilvl="7" w:tplc="FD70625A" w:tentative="1">
      <w:start w:val="1"/>
      <w:numFmt w:val="bullet"/>
      <w:lvlText w:val="o"/>
      <w:lvlJc w:val="left"/>
      <w:pPr>
        <w:ind w:left="5760" w:hanging="360"/>
      </w:pPr>
      <w:rPr>
        <w:rFonts w:ascii="Courier New" w:hAnsi="Courier New" w:cs="Courier New" w:hint="default"/>
      </w:rPr>
    </w:lvl>
    <w:lvl w:ilvl="8" w:tplc="9B547FDC" w:tentative="1">
      <w:start w:val="1"/>
      <w:numFmt w:val="bullet"/>
      <w:lvlText w:val=""/>
      <w:lvlJc w:val="left"/>
      <w:pPr>
        <w:ind w:left="6480" w:hanging="360"/>
      </w:pPr>
      <w:rPr>
        <w:rFonts w:ascii="Wingdings" w:hAnsi="Wingdings" w:hint="default"/>
      </w:rPr>
    </w:lvl>
  </w:abstractNum>
  <w:abstractNum w:abstractNumId="29" w15:restartNumberingAfterBreak="0">
    <w:nsid w:val="70373B9C"/>
    <w:multiLevelType w:val="multilevel"/>
    <w:tmpl w:val="826865E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680"/>
        </w:tabs>
        <w:ind w:left="680" w:hanging="680"/>
      </w:pPr>
      <w:rPr>
        <w:rFonts w:hint="default"/>
        <w:b w:val="0"/>
        <w:bCs/>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0" w15:restartNumberingAfterBreak="0">
    <w:nsid w:val="72E870BD"/>
    <w:multiLevelType w:val="multilevel"/>
    <w:tmpl w:val="6F523728"/>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D87C29"/>
    <w:multiLevelType w:val="hybridMultilevel"/>
    <w:tmpl w:val="22E28CEA"/>
    <w:lvl w:ilvl="0" w:tplc="59E8855C">
      <w:start w:val="1"/>
      <w:numFmt w:val="decimal"/>
      <w:lvlText w:val="%1."/>
      <w:lvlJc w:val="left"/>
      <w:pPr>
        <w:ind w:left="1616" w:hanging="454"/>
      </w:pPr>
      <w:rPr>
        <w:rFonts w:ascii="Calibri" w:eastAsia="Yu Mincho" w:hAnsi="Calibri" w:cs="Calibri" w:hint="default"/>
        <w:b w:val="0"/>
        <w:strike w:val="0"/>
      </w:rPr>
    </w:lvl>
    <w:lvl w:ilvl="1" w:tplc="0C0C0003">
      <w:start w:val="1"/>
      <w:numFmt w:val="bullet"/>
      <w:lvlText w:val="o"/>
      <w:lvlJc w:val="left"/>
      <w:pPr>
        <w:ind w:left="2242" w:hanging="360"/>
      </w:pPr>
      <w:rPr>
        <w:rFonts w:ascii="Courier New" w:hAnsi="Courier New" w:cs="Courier New" w:hint="default"/>
      </w:rPr>
    </w:lvl>
    <w:lvl w:ilvl="2" w:tplc="0C0C0005" w:tentative="1">
      <w:start w:val="1"/>
      <w:numFmt w:val="bullet"/>
      <w:lvlText w:val=""/>
      <w:lvlJc w:val="left"/>
      <w:pPr>
        <w:ind w:left="2962" w:hanging="360"/>
      </w:pPr>
      <w:rPr>
        <w:rFonts w:ascii="Wingdings" w:hAnsi="Wingdings" w:hint="default"/>
      </w:rPr>
    </w:lvl>
    <w:lvl w:ilvl="3" w:tplc="0C0C0001" w:tentative="1">
      <w:start w:val="1"/>
      <w:numFmt w:val="bullet"/>
      <w:lvlText w:val=""/>
      <w:lvlJc w:val="left"/>
      <w:pPr>
        <w:ind w:left="3682" w:hanging="360"/>
      </w:pPr>
      <w:rPr>
        <w:rFonts w:ascii="Symbol" w:hAnsi="Symbol" w:hint="default"/>
      </w:rPr>
    </w:lvl>
    <w:lvl w:ilvl="4" w:tplc="0C0C0003" w:tentative="1">
      <w:start w:val="1"/>
      <w:numFmt w:val="bullet"/>
      <w:lvlText w:val="o"/>
      <w:lvlJc w:val="left"/>
      <w:pPr>
        <w:ind w:left="4402" w:hanging="360"/>
      </w:pPr>
      <w:rPr>
        <w:rFonts w:ascii="Courier New" w:hAnsi="Courier New" w:cs="Courier New" w:hint="default"/>
      </w:rPr>
    </w:lvl>
    <w:lvl w:ilvl="5" w:tplc="0C0C0005" w:tentative="1">
      <w:start w:val="1"/>
      <w:numFmt w:val="bullet"/>
      <w:lvlText w:val=""/>
      <w:lvlJc w:val="left"/>
      <w:pPr>
        <w:ind w:left="5122" w:hanging="360"/>
      </w:pPr>
      <w:rPr>
        <w:rFonts w:ascii="Wingdings" w:hAnsi="Wingdings" w:hint="default"/>
      </w:rPr>
    </w:lvl>
    <w:lvl w:ilvl="6" w:tplc="0C0C0001" w:tentative="1">
      <w:start w:val="1"/>
      <w:numFmt w:val="bullet"/>
      <w:lvlText w:val=""/>
      <w:lvlJc w:val="left"/>
      <w:pPr>
        <w:ind w:left="5842" w:hanging="360"/>
      </w:pPr>
      <w:rPr>
        <w:rFonts w:ascii="Symbol" w:hAnsi="Symbol" w:hint="default"/>
      </w:rPr>
    </w:lvl>
    <w:lvl w:ilvl="7" w:tplc="0C0C0003" w:tentative="1">
      <w:start w:val="1"/>
      <w:numFmt w:val="bullet"/>
      <w:lvlText w:val="o"/>
      <w:lvlJc w:val="left"/>
      <w:pPr>
        <w:ind w:left="6562" w:hanging="360"/>
      </w:pPr>
      <w:rPr>
        <w:rFonts w:ascii="Courier New" w:hAnsi="Courier New" w:cs="Courier New" w:hint="default"/>
      </w:rPr>
    </w:lvl>
    <w:lvl w:ilvl="8" w:tplc="0C0C0005" w:tentative="1">
      <w:start w:val="1"/>
      <w:numFmt w:val="bullet"/>
      <w:lvlText w:val=""/>
      <w:lvlJc w:val="left"/>
      <w:pPr>
        <w:ind w:left="7282" w:hanging="360"/>
      </w:pPr>
      <w:rPr>
        <w:rFonts w:ascii="Wingdings" w:hAnsi="Wingdings" w:hint="default"/>
      </w:rPr>
    </w:lvl>
  </w:abstractNum>
  <w:abstractNum w:abstractNumId="32" w15:restartNumberingAfterBreak="0">
    <w:nsid w:val="78D25336"/>
    <w:multiLevelType w:val="hybridMultilevel"/>
    <w:tmpl w:val="93D49AC4"/>
    <w:lvl w:ilvl="0" w:tplc="12106C1A">
      <w:start w:val="1"/>
      <w:numFmt w:val="decimal"/>
      <w:lvlText w:val="%1."/>
      <w:lvlJc w:val="left"/>
      <w:pPr>
        <w:tabs>
          <w:tab w:val="num" w:pos="360"/>
        </w:tabs>
        <w:ind w:left="360" w:hanging="360"/>
      </w:pPr>
    </w:lvl>
    <w:lvl w:ilvl="1" w:tplc="949A6612">
      <w:numFmt w:val="none"/>
      <w:lvlText w:val=""/>
      <w:lvlJc w:val="left"/>
      <w:pPr>
        <w:tabs>
          <w:tab w:val="num" w:pos="360"/>
        </w:tabs>
      </w:pPr>
    </w:lvl>
    <w:lvl w:ilvl="2" w:tplc="382E8D9A">
      <w:numFmt w:val="none"/>
      <w:lvlText w:val=""/>
      <w:lvlJc w:val="left"/>
      <w:pPr>
        <w:tabs>
          <w:tab w:val="num" w:pos="360"/>
        </w:tabs>
      </w:pPr>
    </w:lvl>
    <w:lvl w:ilvl="3" w:tplc="E3BC5FA2">
      <w:numFmt w:val="none"/>
      <w:lvlText w:val=""/>
      <w:lvlJc w:val="left"/>
      <w:pPr>
        <w:tabs>
          <w:tab w:val="num" w:pos="360"/>
        </w:tabs>
      </w:pPr>
    </w:lvl>
    <w:lvl w:ilvl="4" w:tplc="5082212E">
      <w:numFmt w:val="none"/>
      <w:lvlText w:val=""/>
      <w:lvlJc w:val="left"/>
      <w:pPr>
        <w:tabs>
          <w:tab w:val="num" w:pos="360"/>
        </w:tabs>
      </w:pPr>
    </w:lvl>
    <w:lvl w:ilvl="5" w:tplc="4EF6A3D2">
      <w:numFmt w:val="none"/>
      <w:lvlText w:val=""/>
      <w:lvlJc w:val="left"/>
      <w:pPr>
        <w:tabs>
          <w:tab w:val="num" w:pos="360"/>
        </w:tabs>
      </w:pPr>
    </w:lvl>
    <w:lvl w:ilvl="6" w:tplc="453A14C8">
      <w:numFmt w:val="none"/>
      <w:lvlText w:val=""/>
      <w:lvlJc w:val="left"/>
      <w:pPr>
        <w:tabs>
          <w:tab w:val="num" w:pos="360"/>
        </w:tabs>
      </w:pPr>
    </w:lvl>
    <w:lvl w:ilvl="7" w:tplc="A748F502">
      <w:numFmt w:val="none"/>
      <w:lvlText w:val=""/>
      <w:lvlJc w:val="left"/>
      <w:pPr>
        <w:tabs>
          <w:tab w:val="num" w:pos="360"/>
        </w:tabs>
      </w:pPr>
    </w:lvl>
    <w:lvl w:ilvl="8" w:tplc="EA6856C6">
      <w:numFmt w:val="none"/>
      <w:lvlText w:val=""/>
      <w:lvlJc w:val="left"/>
      <w:pPr>
        <w:tabs>
          <w:tab w:val="num" w:pos="360"/>
        </w:tabs>
      </w:pPr>
    </w:lvl>
  </w:abstractNum>
  <w:abstractNum w:abstractNumId="33" w15:restartNumberingAfterBreak="0">
    <w:nsid w:val="78E94254"/>
    <w:multiLevelType w:val="hybridMultilevel"/>
    <w:tmpl w:val="BE30CAB0"/>
    <w:lvl w:ilvl="0" w:tplc="48B22804">
      <w:start w:val="1"/>
      <w:numFmt w:val="lowerLetter"/>
      <w:lvlText w:val="%1)"/>
      <w:lvlJc w:val="left"/>
      <w:pPr>
        <w:ind w:left="720" w:hanging="360"/>
      </w:pPr>
      <w:rPr>
        <w:rFonts w:hint="default"/>
        <w:b/>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CF0640C"/>
    <w:multiLevelType w:val="hybridMultilevel"/>
    <w:tmpl w:val="2EA857C4"/>
    <w:lvl w:ilvl="0" w:tplc="DEFE4FB8">
      <w:start w:val="1"/>
      <w:numFmt w:val="decimal"/>
      <w:lvlText w:val="%1."/>
      <w:lvlJc w:val="left"/>
      <w:pPr>
        <w:ind w:left="765" w:hanging="360"/>
      </w:pPr>
    </w:lvl>
    <w:lvl w:ilvl="1" w:tplc="A78AEF2C">
      <w:start w:val="1"/>
      <w:numFmt w:val="lowerLetter"/>
      <w:lvlText w:val="%2."/>
      <w:lvlJc w:val="left"/>
      <w:pPr>
        <w:ind w:left="1485" w:hanging="360"/>
      </w:pPr>
    </w:lvl>
    <w:lvl w:ilvl="2" w:tplc="32E8366A">
      <w:start w:val="1"/>
      <w:numFmt w:val="lowerRoman"/>
      <w:lvlText w:val="%3."/>
      <w:lvlJc w:val="right"/>
      <w:pPr>
        <w:ind w:left="2205" w:hanging="180"/>
      </w:pPr>
    </w:lvl>
    <w:lvl w:ilvl="3" w:tplc="F0849E48">
      <w:start w:val="1"/>
      <w:numFmt w:val="decimal"/>
      <w:lvlText w:val="%4."/>
      <w:lvlJc w:val="left"/>
      <w:pPr>
        <w:ind w:left="2925" w:hanging="360"/>
      </w:pPr>
      <w:rPr>
        <w:rFonts w:ascii="Calibri" w:hAnsi="Calibri" w:cs="Calibri" w:hint="default"/>
        <w:i w:val="0"/>
        <w:color w:val="auto"/>
        <w:sz w:val="24"/>
        <w:szCs w:val="24"/>
      </w:rPr>
    </w:lvl>
    <w:lvl w:ilvl="4" w:tplc="D0923122" w:tentative="1">
      <w:start w:val="1"/>
      <w:numFmt w:val="lowerLetter"/>
      <w:lvlText w:val="%5."/>
      <w:lvlJc w:val="left"/>
      <w:pPr>
        <w:ind w:left="3645" w:hanging="360"/>
      </w:pPr>
    </w:lvl>
    <w:lvl w:ilvl="5" w:tplc="74C650B2" w:tentative="1">
      <w:start w:val="1"/>
      <w:numFmt w:val="lowerRoman"/>
      <w:lvlText w:val="%6."/>
      <w:lvlJc w:val="right"/>
      <w:pPr>
        <w:ind w:left="4365" w:hanging="180"/>
      </w:pPr>
    </w:lvl>
    <w:lvl w:ilvl="6" w:tplc="0FD26DDE" w:tentative="1">
      <w:start w:val="1"/>
      <w:numFmt w:val="decimal"/>
      <w:lvlText w:val="%7."/>
      <w:lvlJc w:val="left"/>
      <w:pPr>
        <w:ind w:left="5085" w:hanging="360"/>
      </w:pPr>
    </w:lvl>
    <w:lvl w:ilvl="7" w:tplc="805EF49E" w:tentative="1">
      <w:start w:val="1"/>
      <w:numFmt w:val="lowerLetter"/>
      <w:lvlText w:val="%8."/>
      <w:lvlJc w:val="left"/>
      <w:pPr>
        <w:ind w:left="5805" w:hanging="360"/>
      </w:pPr>
    </w:lvl>
    <w:lvl w:ilvl="8" w:tplc="F61A0240" w:tentative="1">
      <w:start w:val="1"/>
      <w:numFmt w:val="lowerRoman"/>
      <w:lvlText w:val="%9."/>
      <w:lvlJc w:val="right"/>
      <w:pPr>
        <w:ind w:left="6525" w:hanging="180"/>
      </w:pPr>
    </w:lvl>
  </w:abstractNum>
  <w:abstractNum w:abstractNumId="35" w15:restartNumberingAfterBreak="0">
    <w:nsid w:val="7EC1791B"/>
    <w:multiLevelType w:val="hybridMultilevel"/>
    <w:tmpl w:val="13F27160"/>
    <w:lvl w:ilvl="0" w:tplc="0A6AD0B0">
      <w:start w:val="2"/>
      <w:numFmt w:val="lowerRoman"/>
      <w:lvlText w:val="(%1)"/>
      <w:lvlJc w:val="left"/>
      <w:pPr>
        <w:ind w:left="1800" w:hanging="720"/>
      </w:pPr>
      <w:rPr>
        <w:rFonts w:hint="default"/>
      </w:rPr>
    </w:lvl>
    <w:lvl w:ilvl="1" w:tplc="83E8BE86" w:tentative="1">
      <w:start w:val="1"/>
      <w:numFmt w:val="lowerLetter"/>
      <w:lvlText w:val="%2."/>
      <w:lvlJc w:val="left"/>
      <w:pPr>
        <w:ind w:left="2160" w:hanging="360"/>
      </w:pPr>
    </w:lvl>
    <w:lvl w:ilvl="2" w:tplc="A8207110" w:tentative="1">
      <w:start w:val="1"/>
      <w:numFmt w:val="lowerRoman"/>
      <w:lvlText w:val="%3."/>
      <w:lvlJc w:val="right"/>
      <w:pPr>
        <w:ind w:left="2880" w:hanging="180"/>
      </w:pPr>
    </w:lvl>
    <w:lvl w:ilvl="3" w:tplc="E52C86A8" w:tentative="1">
      <w:start w:val="1"/>
      <w:numFmt w:val="decimal"/>
      <w:lvlText w:val="%4."/>
      <w:lvlJc w:val="left"/>
      <w:pPr>
        <w:ind w:left="3600" w:hanging="360"/>
      </w:pPr>
    </w:lvl>
    <w:lvl w:ilvl="4" w:tplc="5148B7EC" w:tentative="1">
      <w:start w:val="1"/>
      <w:numFmt w:val="lowerLetter"/>
      <w:lvlText w:val="%5."/>
      <w:lvlJc w:val="left"/>
      <w:pPr>
        <w:ind w:left="4320" w:hanging="360"/>
      </w:pPr>
    </w:lvl>
    <w:lvl w:ilvl="5" w:tplc="71764CA4" w:tentative="1">
      <w:start w:val="1"/>
      <w:numFmt w:val="lowerRoman"/>
      <w:lvlText w:val="%6."/>
      <w:lvlJc w:val="right"/>
      <w:pPr>
        <w:ind w:left="5040" w:hanging="180"/>
      </w:pPr>
    </w:lvl>
    <w:lvl w:ilvl="6" w:tplc="A784FDD4" w:tentative="1">
      <w:start w:val="1"/>
      <w:numFmt w:val="decimal"/>
      <w:lvlText w:val="%7."/>
      <w:lvlJc w:val="left"/>
      <w:pPr>
        <w:ind w:left="5760" w:hanging="360"/>
      </w:pPr>
    </w:lvl>
    <w:lvl w:ilvl="7" w:tplc="69DA2924" w:tentative="1">
      <w:start w:val="1"/>
      <w:numFmt w:val="lowerLetter"/>
      <w:lvlText w:val="%8."/>
      <w:lvlJc w:val="left"/>
      <w:pPr>
        <w:ind w:left="6480" w:hanging="360"/>
      </w:pPr>
    </w:lvl>
    <w:lvl w:ilvl="8" w:tplc="CC3CACF0" w:tentative="1">
      <w:start w:val="1"/>
      <w:numFmt w:val="lowerRoman"/>
      <w:lvlText w:val="%9."/>
      <w:lvlJc w:val="right"/>
      <w:pPr>
        <w:ind w:left="7200" w:hanging="180"/>
      </w:pPr>
    </w:lvl>
  </w:abstractNum>
  <w:abstractNum w:abstractNumId="36" w15:restartNumberingAfterBreak="0">
    <w:nsid w:val="7F234574"/>
    <w:multiLevelType w:val="multilevel"/>
    <w:tmpl w:val="E8186C00"/>
    <w:lvl w:ilvl="0">
      <w:start w:val="1"/>
      <w:numFmt w:val="decimal"/>
      <w:pStyle w:val="Titre1"/>
      <w:lvlText w:val="%1."/>
      <w:lvlJc w:val="left"/>
      <w:pPr>
        <w:tabs>
          <w:tab w:val="num" w:pos="567"/>
        </w:tabs>
        <w:ind w:left="567" w:hanging="567"/>
      </w:pPr>
      <w:rPr>
        <w:rFonts w:hint="default"/>
        <w:sz w:val="36"/>
        <w:szCs w:val="36"/>
      </w:rPr>
    </w:lvl>
    <w:lvl w:ilvl="1">
      <w:start w:val="1"/>
      <w:numFmt w:val="decimal"/>
      <w:pStyle w:val="Titre2"/>
      <w:lvlText w:val="%1.%2"/>
      <w:lvlJc w:val="left"/>
      <w:pPr>
        <w:tabs>
          <w:tab w:val="num" w:pos="709"/>
        </w:tabs>
        <w:ind w:left="709" w:hanging="709"/>
      </w:pPr>
      <w:rPr>
        <w:rFonts w:hint="default"/>
        <w:b/>
      </w:rPr>
    </w:lvl>
    <w:lvl w:ilvl="2">
      <w:start w:val="1"/>
      <w:numFmt w:val="decimal"/>
      <w:pStyle w:val="Titre3"/>
      <w:lvlText w:val="%1.%2.%3"/>
      <w:lvlJc w:val="left"/>
      <w:pPr>
        <w:tabs>
          <w:tab w:val="num" w:pos="992"/>
        </w:tabs>
        <w:ind w:left="992" w:hanging="992"/>
      </w:pPr>
      <w:rPr>
        <w:rFonts w:hint="default"/>
        <w:i w:val="0"/>
        <w:iCs w:val="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7" w15:restartNumberingAfterBreak="0">
    <w:nsid w:val="7F827F27"/>
    <w:multiLevelType w:val="hybridMultilevel"/>
    <w:tmpl w:val="498E58F6"/>
    <w:lvl w:ilvl="0" w:tplc="796EFECE">
      <w:start w:val="1"/>
      <w:numFmt w:val="bullet"/>
      <w:pStyle w:val="Pucespointrondnoir"/>
      <w:lvlText w:val=""/>
      <w:lvlJc w:val="left"/>
      <w:pPr>
        <w:ind w:left="1494" w:hanging="360"/>
      </w:pPr>
      <w:rPr>
        <w:rFonts w:ascii="Symbol" w:hAnsi="Symbol" w:hint="default"/>
      </w:rPr>
    </w:lvl>
    <w:lvl w:ilvl="1" w:tplc="D78C9B12" w:tentative="1">
      <w:start w:val="1"/>
      <w:numFmt w:val="bullet"/>
      <w:lvlText w:val="o"/>
      <w:lvlJc w:val="left"/>
      <w:pPr>
        <w:ind w:left="2214" w:hanging="360"/>
      </w:pPr>
      <w:rPr>
        <w:rFonts w:ascii="Courier New" w:hAnsi="Courier New" w:cs="Courier New" w:hint="default"/>
      </w:rPr>
    </w:lvl>
    <w:lvl w:ilvl="2" w:tplc="9454BE9A" w:tentative="1">
      <w:start w:val="1"/>
      <w:numFmt w:val="bullet"/>
      <w:lvlText w:val=""/>
      <w:lvlJc w:val="left"/>
      <w:pPr>
        <w:ind w:left="2934" w:hanging="360"/>
      </w:pPr>
      <w:rPr>
        <w:rFonts w:ascii="Wingdings" w:hAnsi="Wingdings" w:hint="default"/>
      </w:rPr>
    </w:lvl>
    <w:lvl w:ilvl="3" w:tplc="B9220338" w:tentative="1">
      <w:start w:val="1"/>
      <w:numFmt w:val="bullet"/>
      <w:lvlText w:val=""/>
      <w:lvlJc w:val="left"/>
      <w:pPr>
        <w:ind w:left="3654" w:hanging="360"/>
      </w:pPr>
      <w:rPr>
        <w:rFonts w:ascii="Symbol" w:hAnsi="Symbol" w:hint="default"/>
      </w:rPr>
    </w:lvl>
    <w:lvl w:ilvl="4" w:tplc="BB16B1CE" w:tentative="1">
      <w:start w:val="1"/>
      <w:numFmt w:val="bullet"/>
      <w:lvlText w:val="o"/>
      <w:lvlJc w:val="left"/>
      <w:pPr>
        <w:ind w:left="4374" w:hanging="360"/>
      </w:pPr>
      <w:rPr>
        <w:rFonts w:ascii="Courier New" w:hAnsi="Courier New" w:cs="Courier New" w:hint="default"/>
      </w:rPr>
    </w:lvl>
    <w:lvl w:ilvl="5" w:tplc="9DB0ED3A" w:tentative="1">
      <w:start w:val="1"/>
      <w:numFmt w:val="bullet"/>
      <w:lvlText w:val=""/>
      <w:lvlJc w:val="left"/>
      <w:pPr>
        <w:ind w:left="5094" w:hanging="360"/>
      </w:pPr>
      <w:rPr>
        <w:rFonts w:ascii="Wingdings" w:hAnsi="Wingdings" w:hint="default"/>
      </w:rPr>
    </w:lvl>
    <w:lvl w:ilvl="6" w:tplc="785C02C6" w:tentative="1">
      <w:start w:val="1"/>
      <w:numFmt w:val="bullet"/>
      <w:lvlText w:val=""/>
      <w:lvlJc w:val="left"/>
      <w:pPr>
        <w:ind w:left="5814" w:hanging="360"/>
      </w:pPr>
      <w:rPr>
        <w:rFonts w:ascii="Symbol" w:hAnsi="Symbol" w:hint="default"/>
      </w:rPr>
    </w:lvl>
    <w:lvl w:ilvl="7" w:tplc="B7E450B8" w:tentative="1">
      <w:start w:val="1"/>
      <w:numFmt w:val="bullet"/>
      <w:lvlText w:val="o"/>
      <w:lvlJc w:val="left"/>
      <w:pPr>
        <w:ind w:left="6534" w:hanging="360"/>
      </w:pPr>
      <w:rPr>
        <w:rFonts w:ascii="Courier New" w:hAnsi="Courier New" w:cs="Courier New" w:hint="default"/>
      </w:rPr>
    </w:lvl>
    <w:lvl w:ilvl="8" w:tplc="0F84863A" w:tentative="1">
      <w:start w:val="1"/>
      <w:numFmt w:val="bullet"/>
      <w:lvlText w:val=""/>
      <w:lvlJc w:val="left"/>
      <w:pPr>
        <w:ind w:left="7254" w:hanging="360"/>
      </w:pPr>
      <w:rPr>
        <w:rFonts w:ascii="Wingdings" w:hAnsi="Wingdings" w:hint="default"/>
      </w:rPr>
    </w:lvl>
  </w:abstractNum>
  <w:num w:numId="1" w16cid:durableId="567225255">
    <w:abstractNumId w:val="14"/>
  </w:num>
  <w:num w:numId="2" w16cid:durableId="2100564212">
    <w:abstractNumId w:val="0"/>
  </w:num>
  <w:num w:numId="3" w16cid:durableId="539897783">
    <w:abstractNumId w:val="37"/>
  </w:num>
  <w:num w:numId="4" w16cid:durableId="1545676447">
    <w:abstractNumId w:val="30"/>
  </w:num>
  <w:num w:numId="5" w16cid:durableId="159778418">
    <w:abstractNumId w:val="24"/>
  </w:num>
  <w:num w:numId="6" w16cid:durableId="972370304">
    <w:abstractNumId w:val="23"/>
  </w:num>
  <w:num w:numId="7" w16cid:durableId="1141461704">
    <w:abstractNumId w:val="25"/>
  </w:num>
  <w:num w:numId="8" w16cid:durableId="468255521">
    <w:abstractNumId w:val="34"/>
  </w:num>
  <w:num w:numId="9" w16cid:durableId="2896687">
    <w:abstractNumId w:val="1"/>
  </w:num>
  <w:num w:numId="10" w16cid:durableId="1621451107">
    <w:abstractNumId w:val="10"/>
  </w:num>
  <w:num w:numId="11" w16cid:durableId="1701663113">
    <w:abstractNumId w:val="29"/>
  </w:num>
  <w:num w:numId="12" w16cid:durableId="409041610">
    <w:abstractNumId w:val="2"/>
  </w:num>
  <w:num w:numId="13" w16cid:durableId="1343043138">
    <w:abstractNumId w:val="35"/>
  </w:num>
  <w:num w:numId="14" w16cid:durableId="1706633404">
    <w:abstractNumId w:val="3"/>
  </w:num>
  <w:num w:numId="15" w16cid:durableId="1667781712">
    <w:abstractNumId w:val="7"/>
  </w:num>
  <w:num w:numId="16" w16cid:durableId="1068113199">
    <w:abstractNumId w:val="5"/>
  </w:num>
  <w:num w:numId="17" w16cid:durableId="1370301138">
    <w:abstractNumId w:val="17"/>
  </w:num>
  <w:num w:numId="18" w16cid:durableId="2015523533">
    <w:abstractNumId w:val="27"/>
  </w:num>
  <w:num w:numId="19" w16cid:durableId="1691905722">
    <w:abstractNumId w:val="19"/>
  </w:num>
  <w:num w:numId="20" w16cid:durableId="302470634">
    <w:abstractNumId w:val="9"/>
  </w:num>
  <w:num w:numId="21" w16cid:durableId="578557421">
    <w:abstractNumId w:val="21"/>
  </w:num>
  <w:num w:numId="22" w16cid:durableId="1017581896">
    <w:abstractNumId w:val="28"/>
  </w:num>
  <w:num w:numId="23" w16cid:durableId="1443921445">
    <w:abstractNumId w:val="14"/>
  </w:num>
  <w:num w:numId="24" w16cid:durableId="1390686517">
    <w:abstractNumId w:val="14"/>
  </w:num>
  <w:num w:numId="25" w16cid:durableId="1347754832">
    <w:abstractNumId w:val="14"/>
  </w:num>
  <w:num w:numId="26" w16cid:durableId="610551787">
    <w:abstractNumId w:val="8"/>
  </w:num>
  <w:num w:numId="27" w16cid:durableId="499348535">
    <w:abstractNumId w:val="6"/>
  </w:num>
  <w:num w:numId="28" w16cid:durableId="1833981640">
    <w:abstractNumId w:val="16"/>
  </w:num>
  <w:num w:numId="29" w16cid:durableId="752972655">
    <w:abstractNumId w:val="14"/>
  </w:num>
  <w:num w:numId="30" w16cid:durableId="18552499">
    <w:abstractNumId w:val="14"/>
  </w:num>
  <w:num w:numId="31" w16cid:durableId="506596514">
    <w:abstractNumId w:val="14"/>
  </w:num>
  <w:num w:numId="32" w16cid:durableId="504516787">
    <w:abstractNumId w:val="32"/>
  </w:num>
  <w:num w:numId="33" w16cid:durableId="2047484882">
    <w:abstractNumId w:val="4"/>
  </w:num>
  <w:num w:numId="34" w16cid:durableId="1116876140">
    <w:abstractNumId w:val="36"/>
  </w:num>
  <w:num w:numId="35" w16cid:durableId="1100226069">
    <w:abstractNumId w:val="14"/>
  </w:num>
  <w:num w:numId="36" w16cid:durableId="644168499">
    <w:abstractNumId w:val="14"/>
  </w:num>
  <w:num w:numId="37" w16cid:durableId="527523163">
    <w:abstractNumId w:val="15"/>
  </w:num>
  <w:num w:numId="38" w16cid:durableId="47461007">
    <w:abstractNumId w:val="18"/>
  </w:num>
  <w:num w:numId="39" w16cid:durableId="393047776">
    <w:abstractNumId w:val="26"/>
  </w:num>
  <w:num w:numId="40" w16cid:durableId="1728457302">
    <w:abstractNumId w:val="33"/>
  </w:num>
  <w:num w:numId="41" w16cid:durableId="2123305939">
    <w:abstractNumId w:val="12"/>
  </w:num>
  <w:num w:numId="42" w16cid:durableId="502814830">
    <w:abstractNumId w:val="14"/>
  </w:num>
  <w:num w:numId="43" w16cid:durableId="1784304739">
    <w:abstractNumId w:val="14"/>
  </w:num>
  <w:num w:numId="44" w16cid:durableId="1896889983">
    <w:abstractNumId w:val="14"/>
  </w:num>
  <w:num w:numId="45" w16cid:durableId="1983389892">
    <w:abstractNumId w:val="14"/>
  </w:num>
  <w:num w:numId="46" w16cid:durableId="1549024556">
    <w:abstractNumId w:val="14"/>
  </w:num>
  <w:num w:numId="47" w16cid:durableId="947587335">
    <w:abstractNumId w:val="14"/>
  </w:num>
  <w:num w:numId="48" w16cid:durableId="2093164964">
    <w:abstractNumId w:val="14"/>
  </w:num>
  <w:num w:numId="49" w16cid:durableId="1160193308">
    <w:abstractNumId w:val="14"/>
  </w:num>
  <w:num w:numId="50" w16cid:durableId="1318994">
    <w:abstractNumId w:val="14"/>
  </w:num>
  <w:num w:numId="51" w16cid:durableId="1585068290">
    <w:abstractNumId w:val="14"/>
  </w:num>
  <w:num w:numId="52" w16cid:durableId="722799630">
    <w:abstractNumId w:val="14"/>
  </w:num>
  <w:num w:numId="53" w16cid:durableId="255557132">
    <w:abstractNumId w:val="14"/>
  </w:num>
  <w:num w:numId="54" w16cid:durableId="423186751">
    <w:abstractNumId w:val="14"/>
  </w:num>
  <w:num w:numId="55" w16cid:durableId="1995453853">
    <w:abstractNumId w:val="14"/>
  </w:num>
  <w:num w:numId="56" w16cid:durableId="1411121702">
    <w:abstractNumId w:val="14"/>
  </w:num>
  <w:num w:numId="57" w16cid:durableId="333841960">
    <w:abstractNumId w:val="14"/>
  </w:num>
  <w:num w:numId="58" w16cid:durableId="327557720">
    <w:abstractNumId w:val="14"/>
  </w:num>
  <w:num w:numId="59" w16cid:durableId="1468007525">
    <w:abstractNumId w:val="14"/>
  </w:num>
  <w:num w:numId="60" w16cid:durableId="1067530383">
    <w:abstractNumId w:val="11"/>
  </w:num>
  <w:num w:numId="61" w16cid:durableId="985351856">
    <w:abstractNumId w:val="31"/>
  </w:num>
  <w:num w:numId="62" w16cid:durableId="1351758434">
    <w:abstractNumId w:val="36"/>
  </w:num>
  <w:num w:numId="63" w16cid:durableId="104602931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5246628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2523828">
    <w:abstractNumId w:val="20"/>
  </w:num>
  <w:num w:numId="66" w16cid:durableId="302580874">
    <w:abstractNumId w:val="13"/>
  </w:num>
  <w:num w:numId="67" w16cid:durableId="1926112810">
    <w:abstractNumId w:val="36"/>
  </w:num>
  <w:num w:numId="68" w16cid:durableId="579750681">
    <w:abstractNumId w:val="36"/>
  </w:num>
  <w:num w:numId="69" w16cid:durableId="1921668562">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41"/>
    <w:rsid w:val="000003D9"/>
    <w:rsid w:val="000008DB"/>
    <w:rsid w:val="00001465"/>
    <w:rsid w:val="000017E4"/>
    <w:rsid w:val="00001B4A"/>
    <w:rsid w:val="00004822"/>
    <w:rsid w:val="000053AD"/>
    <w:rsid w:val="0000555A"/>
    <w:rsid w:val="0000594C"/>
    <w:rsid w:val="00005AC9"/>
    <w:rsid w:val="00005C07"/>
    <w:rsid w:val="000062E0"/>
    <w:rsid w:val="00006657"/>
    <w:rsid w:val="00006725"/>
    <w:rsid w:val="00010355"/>
    <w:rsid w:val="00010CB6"/>
    <w:rsid w:val="00011876"/>
    <w:rsid w:val="000125CD"/>
    <w:rsid w:val="000131AE"/>
    <w:rsid w:val="00013E8A"/>
    <w:rsid w:val="0001583E"/>
    <w:rsid w:val="0001587D"/>
    <w:rsid w:val="000162A9"/>
    <w:rsid w:val="00016ABD"/>
    <w:rsid w:val="00016FD7"/>
    <w:rsid w:val="0001702F"/>
    <w:rsid w:val="000201FB"/>
    <w:rsid w:val="00021318"/>
    <w:rsid w:val="00021532"/>
    <w:rsid w:val="0002159F"/>
    <w:rsid w:val="00021646"/>
    <w:rsid w:val="00021F53"/>
    <w:rsid w:val="00022423"/>
    <w:rsid w:val="000227D8"/>
    <w:rsid w:val="00022F02"/>
    <w:rsid w:val="00023376"/>
    <w:rsid w:val="000234A9"/>
    <w:rsid w:val="00023944"/>
    <w:rsid w:val="00023BFC"/>
    <w:rsid w:val="000250D0"/>
    <w:rsid w:val="000254D8"/>
    <w:rsid w:val="000262BD"/>
    <w:rsid w:val="00026B31"/>
    <w:rsid w:val="00026D0A"/>
    <w:rsid w:val="00026EB3"/>
    <w:rsid w:val="000271CA"/>
    <w:rsid w:val="000301BA"/>
    <w:rsid w:val="000302DD"/>
    <w:rsid w:val="00030636"/>
    <w:rsid w:val="00031D32"/>
    <w:rsid w:val="00032C21"/>
    <w:rsid w:val="00033C67"/>
    <w:rsid w:val="00033D3D"/>
    <w:rsid w:val="00033E7C"/>
    <w:rsid w:val="00034BB1"/>
    <w:rsid w:val="00035546"/>
    <w:rsid w:val="000363A9"/>
    <w:rsid w:val="0003732D"/>
    <w:rsid w:val="00037402"/>
    <w:rsid w:val="00037412"/>
    <w:rsid w:val="00037B30"/>
    <w:rsid w:val="00040C50"/>
    <w:rsid w:val="000411E3"/>
    <w:rsid w:val="000414AA"/>
    <w:rsid w:val="00041629"/>
    <w:rsid w:val="00041BC9"/>
    <w:rsid w:val="00041E1C"/>
    <w:rsid w:val="000429CC"/>
    <w:rsid w:val="00042AD8"/>
    <w:rsid w:val="000439C1"/>
    <w:rsid w:val="00044551"/>
    <w:rsid w:val="00044913"/>
    <w:rsid w:val="00044C82"/>
    <w:rsid w:val="0004544C"/>
    <w:rsid w:val="00045749"/>
    <w:rsid w:val="0004577D"/>
    <w:rsid w:val="00045AE9"/>
    <w:rsid w:val="00046678"/>
    <w:rsid w:val="0004689A"/>
    <w:rsid w:val="00046BE5"/>
    <w:rsid w:val="0004754F"/>
    <w:rsid w:val="00050571"/>
    <w:rsid w:val="00050F3A"/>
    <w:rsid w:val="000513FE"/>
    <w:rsid w:val="00052293"/>
    <w:rsid w:val="00052837"/>
    <w:rsid w:val="00052A4D"/>
    <w:rsid w:val="00052AAD"/>
    <w:rsid w:val="00052F9B"/>
    <w:rsid w:val="0005368C"/>
    <w:rsid w:val="00053CC2"/>
    <w:rsid w:val="00054A2D"/>
    <w:rsid w:val="00055C66"/>
    <w:rsid w:val="0005616C"/>
    <w:rsid w:val="0005762F"/>
    <w:rsid w:val="000579F8"/>
    <w:rsid w:val="000600E2"/>
    <w:rsid w:val="00060FE0"/>
    <w:rsid w:val="0006106D"/>
    <w:rsid w:val="000611AB"/>
    <w:rsid w:val="000615EB"/>
    <w:rsid w:val="00061B44"/>
    <w:rsid w:val="000627A6"/>
    <w:rsid w:val="00062872"/>
    <w:rsid w:val="00062B7D"/>
    <w:rsid w:val="00063D5C"/>
    <w:rsid w:val="0006444C"/>
    <w:rsid w:val="000645DD"/>
    <w:rsid w:val="00064FB3"/>
    <w:rsid w:val="00064FF0"/>
    <w:rsid w:val="0006540E"/>
    <w:rsid w:val="0006557D"/>
    <w:rsid w:val="0006558F"/>
    <w:rsid w:val="00065A2C"/>
    <w:rsid w:val="000665FD"/>
    <w:rsid w:val="00066AD3"/>
    <w:rsid w:val="00067136"/>
    <w:rsid w:val="000677A2"/>
    <w:rsid w:val="000677F6"/>
    <w:rsid w:val="00067BF5"/>
    <w:rsid w:val="0007012B"/>
    <w:rsid w:val="0007216D"/>
    <w:rsid w:val="00073451"/>
    <w:rsid w:val="00074206"/>
    <w:rsid w:val="00075012"/>
    <w:rsid w:val="0007504E"/>
    <w:rsid w:val="0007596E"/>
    <w:rsid w:val="00075C3C"/>
    <w:rsid w:val="00076132"/>
    <w:rsid w:val="000764B3"/>
    <w:rsid w:val="0007656F"/>
    <w:rsid w:val="00076DFB"/>
    <w:rsid w:val="00077438"/>
    <w:rsid w:val="00077FDC"/>
    <w:rsid w:val="0008061F"/>
    <w:rsid w:val="0008068D"/>
    <w:rsid w:val="00080CF6"/>
    <w:rsid w:val="000816E8"/>
    <w:rsid w:val="00081C70"/>
    <w:rsid w:val="00082D64"/>
    <w:rsid w:val="0008311C"/>
    <w:rsid w:val="000852BF"/>
    <w:rsid w:val="00085B42"/>
    <w:rsid w:val="00085BA8"/>
    <w:rsid w:val="00085D00"/>
    <w:rsid w:val="000863A0"/>
    <w:rsid w:val="00087766"/>
    <w:rsid w:val="00087A6F"/>
    <w:rsid w:val="00087FCC"/>
    <w:rsid w:val="00090DE3"/>
    <w:rsid w:val="000913B0"/>
    <w:rsid w:val="000917E7"/>
    <w:rsid w:val="00091BEE"/>
    <w:rsid w:val="0009313F"/>
    <w:rsid w:val="000936C4"/>
    <w:rsid w:val="00093D11"/>
    <w:rsid w:val="0009601D"/>
    <w:rsid w:val="00096948"/>
    <w:rsid w:val="00096E12"/>
    <w:rsid w:val="00097156"/>
    <w:rsid w:val="000973A9"/>
    <w:rsid w:val="00097A30"/>
    <w:rsid w:val="00097ED6"/>
    <w:rsid w:val="00097F78"/>
    <w:rsid w:val="000A08AB"/>
    <w:rsid w:val="000A09C5"/>
    <w:rsid w:val="000A19FC"/>
    <w:rsid w:val="000A1E37"/>
    <w:rsid w:val="000A2028"/>
    <w:rsid w:val="000A2223"/>
    <w:rsid w:val="000A2C01"/>
    <w:rsid w:val="000A31E7"/>
    <w:rsid w:val="000A59EB"/>
    <w:rsid w:val="000A704B"/>
    <w:rsid w:val="000A7194"/>
    <w:rsid w:val="000A73F1"/>
    <w:rsid w:val="000A7A20"/>
    <w:rsid w:val="000A7AF7"/>
    <w:rsid w:val="000A7B86"/>
    <w:rsid w:val="000B0960"/>
    <w:rsid w:val="000B0BD9"/>
    <w:rsid w:val="000B0C00"/>
    <w:rsid w:val="000B151C"/>
    <w:rsid w:val="000B16F7"/>
    <w:rsid w:val="000B2AD5"/>
    <w:rsid w:val="000B3019"/>
    <w:rsid w:val="000B3082"/>
    <w:rsid w:val="000B36D0"/>
    <w:rsid w:val="000B436C"/>
    <w:rsid w:val="000B4BE3"/>
    <w:rsid w:val="000B61B4"/>
    <w:rsid w:val="000B736F"/>
    <w:rsid w:val="000B7CC6"/>
    <w:rsid w:val="000B7D67"/>
    <w:rsid w:val="000B7D70"/>
    <w:rsid w:val="000C01A2"/>
    <w:rsid w:val="000C0379"/>
    <w:rsid w:val="000C09AE"/>
    <w:rsid w:val="000C2145"/>
    <w:rsid w:val="000C2597"/>
    <w:rsid w:val="000C4241"/>
    <w:rsid w:val="000C5861"/>
    <w:rsid w:val="000C5C06"/>
    <w:rsid w:val="000C5E15"/>
    <w:rsid w:val="000C784D"/>
    <w:rsid w:val="000C7BFE"/>
    <w:rsid w:val="000D0052"/>
    <w:rsid w:val="000D064E"/>
    <w:rsid w:val="000D0C14"/>
    <w:rsid w:val="000D24A5"/>
    <w:rsid w:val="000D2EBF"/>
    <w:rsid w:val="000D318E"/>
    <w:rsid w:val="000D32BA"/>
    <w:rsid w:val="000D39AF"/>
    <w:rsid w:val="000D3A8A"/>
    <w:rsid w:val="000D431E"/>
    <w:rsid w:val="000D4E1E"/>
    <w:rsid w:val="000D5100"/>
    <w:rsid w:val="000D52D9"/>
    <w:rsid w:val="000D5C7E"/>
    <w:rsid w:val="000D5DEF"/>
    <w:rsid w:val="000D5FD6"/>
    <w:rsid w:val="000D6112"/>
    <w:rsid w:val="000D65EA"/>
    <w:rsid w:val="000D73A6"/>
    <w:rsid w:val="000D754C"/>
    <w:rsid w:val="000D75BB"/>
    <w:rsid w:val="000D796B"/>
    <w:rsid w:val="000D7B29"/>
    <w:rsid w:val="000E02B4"/>
    <w:rsid w:val="000E098C"/>
    <w:rsid w:val="000E0D28"/>
    <w:rsid w:val="000E0F92"/>
    <w:rsid w:val="000E10DE"/>
    <w:rsid w:val="000E1B90"/>
    <w:rsid w:val="000E221F"/>
    <w:rsid w:val="000E27ED"/>
    <w:rsid w:val="000E2F1A"/>
    <w:rsid w:val="000E3132"/>
    <w:rsid w:val="000E380F"/>
    <w:rsid w:val="000E3DCD"/>
    <w:rsid w:val="000E4505"/>
    <w:rsid w:val="000E4B0B"/>
    <w:rsid w:val="000E4BA6"/>
    <w:rsid w:val="000E5917"/>
    <w:rsid w:val="000E6D0A"/>
    <w:rsid w:val="000E6E61"/>
    <w:rsid w:val="000E702F"/>
    <w:rsid w:val="000E724D"/>
    <w:rsid w:val="000E75A4"/>
    <w:rsid w:val="000F144D"/>
    <w:rsid w:val="000F1715"/>
    <w:rsid w:val="000F1824"/>
    <w:rsid w:val="000F2DD6"/>
    <w:rsid w:val="000F311E"/>
    <w:rsid w:val="000F3F96"/>
    <w:rsid w:val="000F49EC"/>
    <w:rsid w:val="000F4C1F"/>
    <w:rsid w:val="000F5016"/>
    <w:rsid w:val="000F50C9"/>
    <w:rsid w:val="000F57BC"/>
    <w:rsid w:val="000F672E"/>
    <w:rsid w:val="000F6ED7"/>
    <w:rsid w:val="000F723A"/>
    <w:rsid w:val="00100915"/>
    <w:rsid w:val="00100A35"/>
    <w:rsid w:val="00101234"/>
    <w:rsid w:val="00102423"/>
    <w:rsid w:val="001042B9"/>
    <w:rsid w:val="001045B8"/>
    <w:rsid w:val="00104835"/>
    <w:rsid w:val="0010498E"/>
    <w:rsid w:val="00105080"/>
    <w:rsid w:val="001059C6"/>
    <w:rsid w:val="00105AE0"/>
    <w:rsid w:val="0010640C"/>
    <w:rsid w:val="001067E6"/>
    <w:rsid w:val="001076AC"/>
    <w:rsid w:val="00107D13"/>
    <w:rsid w:val="00107D4D"/>
    <w:rsid w:val="00110171"/>
    <w:rsid w:val="00110F8E"/>
    <w:rsid w:val="0011185F"/>
    <w:rsid w:val="00111DC3"/>
    <w:rsid w:val="00111EB6"/>
    <w:rsid w:val="00112714"/>
    <w:rsid w:val="00112EB7"/>
    <w:rsid w:val="00113991"/>
    <w:rsid w:val="001140D1"/>
    <w:rsid w:val="001150CA"/>
    <w:rsid w:val="00115196"/>
    <w:rsid w:val="00116FFC"/>
    <w:rsid w:val="00117586"/>
    <w:rsid w:val="00120EA8"/>
    <w:rsid w:val="0012116C"/>
    <w:rsid w:val="0012142A"/>
    <w:rsid w:val="00121A9E"/>
    <w:rsid w:val="0012282C"/>
    <w:rsid w:val="00125690"/>
    <w:rsid w:val="001259DD"/>
    <w:rsid w:val="00125E59"/>
    <w:rsid w:val="00125ED8"/>
    <w:rsid w:val="001261D5"/>
    <w:rsid w:val="0012729F"/>
    <w:rsid w:val="001272A8"/>
    <w:rsid w:val="00127AF1"/>
    <w:rsid w:val="0013043B"/>
    <w:rsid w:val="00130D0F"/>
    <w:rsid w:val="00130DD3"/>
    <w:rsid w:val="001310AB"/>
    <w:rsid w:val="001332FC"/>
    <w:rsid w:val="00133677"/>
    <w:rsid w:val="001349F2"/>
    <w:rsid w:val="001367D5"/>
    <w:rsid w:val="00136DAF"/>
    <w:rsid w:val="001373CB"/>
    <w:rsid w:val="00137EB4"/>
    <w:rsid w:val="001405AE"/>
    <w:rsid w:val="00140C0E"/>
    <w:rsid w:val="00141582"/>
    <w:rsid w:val="00141C38"/>
    <w:rsid w:val="00141F45"/>
    <w:rsid w:val="0014294D"/>
    <w:rsid w:val="00142D4B"/>
    <w:rsid w:val="00144269"/>
    <w:rsid w:val="00144D10"/>
    <w:rsid w:val="00145CF3"/>
    <w:rsid w:val="00145E04"/>
    <w:rsid w:val="00145FBE"/>
    <w:rsid w:val="00146290"/>
    <w:rsid w:val="00146673"/>
    <w:rsid w:val="0014686C"/>
    <w:rsid w:val="00147CE9"/>
    <w:rsid w:val="001501C4"/>
    <w:rsid w:val="00150F8F"/>
    <w:rsid w:val="00150FB1"/>
    <w:rsid w:val="00151337"/>
    <w:rsid w:val="00153248"/>
    <w:rsid w:val="00153461"/>
    <w:rsid w:val="00153C61"/>
    <w:rsid w:val="001542C2"/>
    <w:rsid w:val="0015473C"/>
    <w:rsid w:val="0015520A"/>
    <w:rsid w:val="00155376"/>
    <w:rsid w:val="0015690B"/>
    <w:rsid w:val="00156E9E"/>
    <w:rsid w:val="00156F21"/>
    <w:rsid w:val="0015780F"/>
    <w:rsid w:val="00157CA8"/>
    <w:rsid w:val="0016002D"/>
    <w:rsid w:val="00162492"/>
    <w:rsid w:val="00162699"/>
    <w:rsid w:val="00162AF4"/>
    <w:rsid w:val="00163C3F"/>
    <w:rsid w:val="00163FE0"/>
    <w:rsid w:val="00165245"/>
    <w:rsid w:val="00165408"/>
    <w:rsid w:val="00165791"/>
    <w:rsid w:val="00165D7F"/>
    <w:rsid w:val="00166806"/>
    <w:rsid w:val="001725D1"/>
    <w:rsid w:val="00173576"/>
    <w:rsid w:val="001740FB"/>
    <w:rsid w:val="00174DDC"/>
    <w:rsid w:val="001752AD"/>
    <w:rsid w:val="00176CD0"/>
    <w:rsid w:val="001803B3"/>
    <w:rsid w:val="00180D82"/>
    <w:rsid w:val="0018143B"/>
    <w:rsid w:val="0018287F"/>
    <w:rsid w:val="001838FD"/>
    <w:rsid w:val="001839E1"/>
    <w:rsid w:val="00184D80"/>
    <w:rsid w:val="00185728"/>
    <w:rsid w:val="001857B6"/>
    <w:rsid w:val="00185EE2"/>
    <w:rsid w:val="00186338"/>
    <w:rsid w:val="00186AB5"/>
    <w:rsid w:val="0018790B"/>
    <w:rsid w:val="00187F33"/>
    <w:rsid w:val="00190235"/>
    <w:rsid w:val="00191778"/>
    <w:rsid w:val="0019177A"/>
    <w:rsid w:val="00191C8D"/>
    <w:rsid w:val="00192583"/>
    <w:rsid w:val="001931AE"/>
    <w:rsid w:val="00193503"/>
    <w:rsid w:val="0019359F"/>
    <w:rsid w:val="00193AB9"/>
    <w:rsid w:val="00193CB9"/>
    <w:rsid w:val="0019430E"/>
    <w:rsid w:val="00194475"/>
    <w:rsid w:val="00194FB4"/>
    <w:rsid w:val="001951A5"/>
    <w:rsid w:val="00195DEC"/>
    <w:rsid w:val="00196267"/>
    <w:rsid w:val="001A00BC"/>
    <w:rsid w:val="001A0A85"/>
    <w:rsid w:val="001A11E4"/>
    <w:rsid w:val="001A13B9"/>
    <w:rsid w:val="001A1A3A"/>
    <w:rsid w:val="001A1EA7"/>
    <w:rsid w:val="001A20CC"/>
    <w:rsid w:val="001A33FB"/>
    <w:rsid w:val="001A3C4C"/>
    <w:rsid w:val="001A49AE"/>
    <w:rsid w:val="001A4BEE"/>
    <w:rsid w:val="001A4F3E"/>
    <w:rsid w:val="001A4F73"/>
    <w:rsid w:val="001A50AB"/>
    <w:rsid w:val="001A6118"/>
    <w:rsid w:val="001A7F71"/>
    <w:rsid w:val="001B0EAE"/>
    <w:rsid w:val="001B1148"/>
    <w:rsid w:val="001B1342"/>
    <w:rsid w:val="001B309C"/>
    <w:rsid w:val="001B4CDE"/>
    <w:rsid w:val="001B50B3"/>
    <w:rsid w:val="001B6D89"/>
    <w:rsid w:val="001B6E05"/>
    <w:rsid w:val="001B7E0D"/>
    <w:rsid w:val="001C03E4"/>
    <w:rsid w:val="001C0ABB"/>
    <w:rsid w:val="001C0FAF"/>
    <w:rsid w:val="001C1BA0"/>
    <w:rsid w:val="001C22BD"/>
    <w:rsid w:val="001C2849"/>
    <w:rsid w:val="001C2D09"/>
    <w:rsid w:val="001C2DDB"/>
    <w:rsid w:val="001C4205"/>
    <w:rsid w:val="001C489F"/>
    <w:rsid w:val="001C4C28"/>
    <w:rsid w:val="001C5E9B"/>
    <w:rsid w:val="001C5FBB"/>
    <w:rsid w:val="001C6013"/>
    <w:rsid w:val="001C63EB"/>
    <w:rsid w:val="001C6AAC"/>
    <w:rsid w:val="001C7425"/>
    <w:rsid w:val="001C74D4"/>
    <w:rsid w:val="001D0069"/>
    <w:rsid w:val="001D0429"/>
    <w:rsid w:val="001D0D35"/>
    <w:rsid w:val="001D0E24"/>
    <w:rsid w:val="001D100C"/>
    <w:rsid w:val="001D1537"/>
    <w:rsid w:val="001D3CF7"/>
    <w:rsid w:val="001D4591"/>
    <w:rsid w:val="001D5802"/>
    <w:rsid w:val="001D58B8"/>
    <w:rsid w:val="001D5950"/>
    <w:rsid w:val="001D60B0"/>
    <w:rsid w:val="001D6E4F"/>
    <w:rsid w:val="001D6EA8"/>
    <w:rsid w:val="001D7131"/>
    <w:rsid w:val="001D741D"/>
    <w:rsid w:val="001D74E1"/>
    <w:rsid w:val="001E1674"/>
    <w:rsid w:val="001E1792"/>
    <w:rsid w:val="001E1E33"/>
    <w:rsid w:val="001E2210"/>
    <w:rsid w:val="001E227C"/>
    <w:rsid w:val="001E2D82"/>
    <w:rsid w:val="001E3042"/>
    <w:rsid w:val="001E3180"/>
    <w:rsid w:val="001E3192"/>
    <w:rsid w:val="001E35E6"/>
    <w:rsid w:val="001E3692"/>
    <w:rsid w:val="001E4447"/>
    <w:rsid w:val="001E46AD"/>
    <w:rsid w:val="001E4FC3"/>
    <w:rsid w:val="001E5299"/>
    <w:rsid w:val="001E5854"/>
    <w:rsid w:val="001E75B0"/>
    <w:rsid w:val="001E79C5"/>
    <w:rsid w:val="001E7A72"/>
    <w:rsid w:val="001E7B1C"/>
    <w:rsid w:val="001F003E"/>
    <w:rsid w:val="001F09FC"/>
    <w:rsid w:val="001F0B61"/>
    <w:rsid w:val="001F20D2"/>
    <w:rsid w:val="001F2448"/>
    <w:rsid w:val="001F469D"/>
    <w:rsid w:val="001F4960"/>
    <w:rsid w:val="001F5155"/>
    <w:rsid w:val="001F5DE7"/>
    <w:rsid w:val="001F6345"/>
    <w:rsid w:val="001F6355"/>
    <w:rsid w:val="0020061F"/>
    <w:rsid w:val="00200EDC"/>
    <w:rsid w:val="002011CD"/>
    <w:rsid w:val="00201527"/>
    <w:rsid w:val="00202436"/>
    <w:rsid w:val="00202658"/>
    <w:rsid w:val="0020377C"/>
    <w:rsid w:val="00204110"/>
    <w:rsid w:val="00205655"/>
    <w:rsid w:val="00205D04"/>
    <w:rsid w:val="00206513"/>
    <w:rsid w:val="002071B7"/>
    <w:rsid w:val="0020752E"/>
    <w:rsid w:val="00207846"/>
    <w:rsid w:val="00207E67"/>
    <w:rsid w:val="00210793"/>
    <w:rsid w:val="00210BD4"/>
    <w:rsid w:val="002113B7"/>
    <w:rsid w:val="002123E4"/>
    <w:rsid w:val="00212905"/>
    <w:rsid w:val="00212EE0"/>
    <w:rsid w:val="002131AD"/>
    <w:rsid w:val="002132E7"/>
    <w:rsid w:val="0021331E"/>
    <w:rsid w:val="002138F4"/>
    <w:rsid w:val="002139AF"/>
    <w:rsid w:val="00213AD9"/>
    <w:rsid w:val="00214B74"/>
    <w:rsid w:val="0021501A"/>
    <w:rsid w:val="0021566F"/>
    <w:rsid w:val="00215AB9"/>
    <w:rsid w:val="00216AD3"/>
    <w:rsid w:val="00217168"/>
    <w:rsid w:val="00217BD8"/>
    <w:rsid w:val="00217E77"/>
    <w:rsid w:val="00217F15"/>
    <w:rsid w:val="002204F1"/>
    <w:rsid w:val="0022058B"/>
    <w:rsid w:val="0022146D"/>
    <w:rsid w:val="002214F7"/>
    <w:rsid w:val="002228F7"/>
    <w:rsid w:val="002239CA"/>
    <w:rsid w:val="002239CF"/>
    <w:rsid w:val="00224476"/>
    <w:rsid w:val="00224A43"/>
    <w:rsid w:val="002258E0"/>
    <w:rsid w:val="00225DF4"/>
    <w:rsid w:val="002261BD"/>
    <w:rsid w:val="002264EF"/>
    <w:rsid w:val="002267DB"/>
    <w:rsid w:val="002269C2"/>
    <w:rsid w:val="00227AAC"/>
    <w:rsid w:val="002300E6"/>
    <w:rsid w:val="0023027C"/>
    <w:rsid w:val="0023079D"/>
    <w:rsid w:val="00230B86"/>
    <w:rsid w:val="00231032"/>
    <w:rsid w:val="00231C14"/>
    <w:rsid w:val="00232739"/>
    <w:rsid w:val="00233BCA"/>
    <w:rsid w:val="00233EA3"/>
    <w:rsid w:val="002342E5"/>
    <w:rsid w:val="00234F21"/>
    <w:rsid w:val="00235FD0"/>
    <w:rsid w:val="00236631"/>
    <w:rsid w:val="00236D56"/>
    <w:rsid w:val="00237711"/>
    <w:rsid w:val="00237E31"/>
    <w:rsid w:val="00237F53"/>
    <w:rsid w:val="00241367"/>
    <w:rsid w:val="002423F0"/>
    <w:rsid w:val="00242E82"/>
    <w:rsid w:val="00243A21"/>
    <w:rsid w:val="00243FC0"/>
    <w:rsid w:val="00244ECB"/>
    <w:rsid w:val="0024568D"/>
    <w:rsid w:val="0024700C"/>
    <w:rsid w:val="00250505"/>
    <w:rsid w:val="00251379"/>
    <w:rsid w:val="002518CA"/>
    <w:rsid w:val="00251FE0"/>
    <w:rsid w:val="002532CD"/>
    <w:rsid w:val="00253D9F"/>
    <w:rsid w:val="00253ED2"/>
    <w:rsid w:val="0025434B"/>
    <w:rsid w:val="00254357"/>
    <w:rsid w:val="00254368"/>
    <w:rsid w:val="002546D6"/>
    <w:rsid w:val="002548A3"/>
    <w:rsid w:val="00254D7E"/>
    <w:rsid w:val="00255176"/>
    <w:rsid w:val="002551F4"/>
    <w:rsid w:val="00255FC6"/>
    <w:rsid w:val="00256B2F"/>
    <w:rsid w:val="00256C51"/>
    <w:rsid w:val="00257237"/>
    <w:rsid w:val="002575D6"/>
    <w:rsid w:val="002579DD"/>
    <w:rsid w:val="00257C87"/>
    <w:rsid w:val="00257F1C"/>
    <w:rsid w:val="002638C4"/>
    <w:rsid w:val="00263BDB"/>
    <w:rsid w:val="00265064"/>
    <w:rsid w:val="00265B21"/>
    <w:rsid w:val="00265E56"/>
    <w:rsid w:val="0026615E"/>
    <w:rsid w:val="002661C3"/>
    <w:rsid w:val="002679A9"/>
    <w:rsid w:val="0027017C"/>
    <w:rsid w:val="00272769"/>
    <w:rsid w:val="002740C4"/>
    <w:rsid w:val="00274337"/>
    <w:rsid w:val="00275A81"/>
    <w:rsid w:val="00275B65"/>
    <w:rsid w:val="00275DF0"/>
    <w:rsid w:val="00277413"/>
    <w:rsid w:val="00277688"/>
    <w:rsid w:val="002777AF"/>
    <w:rsid w:val="00282A7C"/>
    <w:rsid w:val="00282EC7"/>
    <w:rsid w:val="00283627"/>
    <w:rsid w:val="002839F3"/>
    <w:rsid w:val="00283C65"/>
    <w:rsid w:val="00284446"/>
    <w:rsid w:val="00284DD0"/>
    <w:rsid w:val="002856B3"/>
    <w:rsid w:val="0028581D"/>
    <w:rsid w:val="0028637E"/>
    <w:rsid w:val="002871B4"/>
    <w:rsid w:val="00287EDA"/>
    <w:rsid w:val="00290094"/>
    <w:rsid w:val="0029043F"/>
    <w:rsid w:val="00291639"/>
    <w:rsid w:val="00292341"/>
    <w:rsid w:val="0029445A"/>
    <w:rsid w:val="00294A7E"/>
    <w:rsid w:val="002951D1"/>
    <w:rsid w:val="00295651"/>
    <w:rsid w:val="002966DF"/>
    <w:rsid w:val="0029676A"/>
    <w:rsid w:val="00296C65"/>
    <w:rsid w:val="00296EF7"/>
    <w:rsid w:val="002976DD"/>
    <w:rsid w:val="00297D6A"/>
    <w:rsid w:val="002A040A"/>
    <w:rsid w:val="002A0A5D"/>
    <w:rsid w:val="002A0A91"/>
    <w:rsid w:val="002A0EBC"/>
    <w:rsid w:val="002A1D49"/>
    <w:rsid w:val="002A1DB1"/>
    <w:rsid w:val="002A2B3A"/>
    <w:rsid w:val="002A34E6"/>
    <w:rsid w:val="002A35E2"/>
    <w:rsid w:val="002A4C38"/>
    <w:rsid w:val="002A5478"/>
    <w:rsid w:val="002A5B49"/>
    <w:rsid w:val="002A6651"/>
    <w:rsid w:val="002A67CA"/>
    <w:rsid w:val="002A6F53"/>
    <w:rsid w:val="002B0204"/>
    <w:rsid w:val="002B0E1D"/>
    <w:rsid w:val="002B20F0"/>
    <w:rsid w:val="002B2203"/>
    <w:rsid w:val="002B35EE"/>
    <w:rsid w:val="002B37B5"/>
    <w:rsid w:val="002B37C7"/>
    <w:rsid w:val="002B476C"/>
    <w:rsid w:val="002B51BC"/>
    <w:rsid w:val="002B5AD7"/>
    <w:rsid w:val="002B612B"/>
    <w:rsid w:val="002B616F"/>
    <w:rsid w:val="002B670D"/>
    <w:rsid w:val="002B73A7"/>
    <w:rsid w:val="002B7A97"/>
    <w:rsid w:val="002B7CDB"/>
    <w:rsid w:val="002C05BC"/>
    <w:rsid w:val="002C0FA2"/>
    <w:rsid w:val="002C1598"/>
    <w:rsid w:val="002C18F6"/>
    <w:rsid w:val="002C1D3F"/>
    <w:rsid w:val="002C2357"/>
    <w:rsid w:val="002C39C0"/>
    <w:rsid w:val="002C3CD3"/>
    <w:rsid w:val="002C40B8"/>
    <w:rsid w:val="002C4126"/>
    <w:rsid w:val="002C62A4"/>
    <w:rsid w:val="002C6564"/>
    <w:rsid w:val="002C66EF"/>
    <w:rsid w:val="002C6907"/>
    <w:rsid w:val="002C6CAE"/>
    <w:rsid w:val="002C6D20"/>
    <w:rsid w:val="002C72CA"/>
    <w:rsid w:val="002C7971"/>
    <w:rsid w:val="002C7F62"/>
    <w:rsid w:val="002D0008"/>
    <w:rsid w:val="002D0553"/>
    <w:rsid w:val="002D0CDF"/>
    <w:rsid w:val="002D1987"/>
    <w:rsid w:val="002D1E64"/>
    <w:rsid w:val="002D2D3D"/>
    <w:rsid w:val="002D2FA4"/>
    <w:rsid w:val="002D3080"/>
    <w:rsid w:val="002D4535"/>
    <w:rsid w:val="002D4D2A"/>
    <w:rsid w:val="002D4ECF"/>
    <w:rsid w:val="002D60A1"/>
    <w:rsid w:val="002E08E7"/>
    <w:rsid w:val="002E099B"/>
    <w:rsid w:val="002E0E71"/>
    <w:rsid w:val="002E0EFC"/>
    <w:rsid w:val="002E13EA"/>
    <w:rsid w:val="002E1660"/>
    <w:rsid w:val="002E21E1"/>
    <w:rsid w:val="002E2D64"/>
    <w:rsid w:val="002E2DC2"/>
    <w:rsid w:val="002E3805"/>
    <w:rsid w:val="002E3C16"/>
    <w:rsid w:val="002E42B4"/>
    <w:rsid w:val="002E4600"/>
    <w:rsid w:val="002E47DA"/>
    <w:rsid w:val="002E7CB6"/>
    <w:rsid w:val="002F12D6"/>
    <w:rsid w:val="002F1646"/>
    <w:rsid w:val="002F198A"/>
    <w:rsid w:val="002F2872"/>
    <w:rsid w:val="002F44CA"/>
    <w:rsid w:val="002F50D1"/>
    <w:rsid w:val="002F5F1D"/>
    <w:rsid w:val="002F6CA3"/>
    <w:rsid w:val="002F774E"/>
    <w:rsid w:val="00300D5C"/>
    <w:rsid w:val="00302B89"/>
    <w:rsid w:val="00302BC8"/>
    <w:rsid w:val="003035D8"/>
    <w:rsid w:val="00303C09"/>
    <w:rsid w:val="00304740"/>
    <w:rsid w:val="0030554A"/>
    <w:rsid w:val="00305A43"/>
    <w:rsid w:val="003060DB"/>
    <w:rsid w:val="003061E5"/>
    <w:rsid w:val="00307134"/>
    <w:rsid w:val="0030784A"/>
    <w:rsid w:val="0030790B"/>
    <w:rsid w:val="00311080"/>
    <w:rsid w:val="003114CE"/>
    <w:rsid w:val="003118E9"/>
    <w:rsid w:val="0031305D"/>
    <w:rsid w:val="00313341"/>
    <w:rsid w:val="00313895"/>
    <w:rsid w:val="00313A66"/>
    <w:rsid w:val="00314000"/>
    <w:rsid w:val="00314D01"/>
    <w:rsid w:val="00314DE7"/>
    <w:rsid w:val="0031505A"/>
    <w:rsid w:val="00315950"/>
    <w:rsid w:val="00315A4A"/>
    <w:rsid w:val="00315A82"/>
    <w:rsid w:val="00315C3C"/>
    <w:rsid w:val="00315FEC"/>
    <w:rsid w:val="00316306"/>
    <w:rsid w:val="00316551"/>
    <w:rsid w:val="00317E9E"/>
    <w:rsid w:val="003210C7"/>
    <w:rsid w:val="0032138E"/>
    <w:rsid w:val="0032160E"/>
    <w:rsid w:val="0032398E"/>
    <w:rsid w:val="00324B03"/>
    <w:rsid w:val="00325184"/>
    <w:rsid w:val="00325D53"/>
    <w:rsid w:val="00326114"/>
    <w:rsid w:val="00326683"/>
    <w:rsid w:val="00326789"/>
    <w:rsid w:val="003267FA"/>
    <w:rsid w:val="00330F39"/>
    <w:rsid w:val="00330F72"/>
    <w:rsid w:val="003313C5"/>
    <w:rsid w:val="0033148D"/>
    <w:rsid w:val="003316F7"/>
    <w:rsid w:val="003335B0"/>
    <w:rsid w:val="00334BD8"/>
    <w:rsid w:val="00334FA2"/>
    <w:rsid w:val="00335232"/>
    <w:rsid w:val="00335C10"/>
    <w:rsid w:val="00335D2D"/>
    <w:rsid w:val="003360E9"/>
    <w:rsid w:val="003360F6"/>
    <w:rsid w:val="00336B9D"/>
    <w:rsid w:val="00336C02"/>
    <w:rsid w:val="00337E08"/>
    <w:rsid w:val="003401AF"/>
    <w:rsid w:val="00340848"/>
    <w:rsid w:val="00340EAB"/>
    <w:rsid w:val="00341127"/>
    <w:rsid w:val="0034210F"/>
    <w:rsid w:val="003429B9"/>
    <w:rsid w:val="00342D85"/>
    <w:rsid w:val="00342E99"/>
    <w:rsid w:val="00343F5F"/>
    <w:rsid w:val="00344424"/>
    <w:rsid w:val="00344B31"/>
    <w:rsid w:val="00345A98"/>
    <w:rsid w:val="0034608F"/>
    <w:rsid w:val="003461CC"/>
    <w:rsid w:val="003461E3"/>
    <w:rsid w:val="00347670"/>
    <w:rsid w:val="00350456"/>
    <w:rsid w:val="00350F74"/>
    <w:rsid w:val="00350FBA"/>
    <w:rsid w:val="003516B9"/>
    <w:rsid w:val="00352218"/>
    <w:rsid w:val="00352351"/>
    <w:rsid w:val="00352510"/>
    <w:rsid w:val="00352626"/>
    <w:rsid w:val="00352A80"/>
    <w:rsid w:val="003534C6"/>
    <w:rsid w:val="00353B81"/>
    <w:rsid w:val="00353EEC"/>
    <w:rsid w:val="00355688"/>
    <w:rsid w:val="00355F5F"/>
    <w:rsid w:val="00356082"/>
    <w:rsid w:val="00356487"/>
    <w:rsid w:val="003576F1"/>
    <w:rsid w:val="00360118"/>
    <w:rsid w:val="00360493"/>
    <w:rsid w:val="00360C2B"/>
    <w:rsid w:val="00361477"/>
    <w:rsid w:val="00362E57"/>
    <w:rsid w:val="00363FB6"/>
    <w:rsid w:val="003642D6"/>
    <w:rsid w:val="00364627"/>
    <w:rsid w:val="00365326"/>
    <w:rsid w:val="0036612D"/>
    <w:rsid w:val="00366512"/>
    <w:rsid w:val="00367217"/>
    <w:rsid w:val="0036755D"/>
    <w:rsid w:val="00370B16"/>
    <w:rsid w:val="003713EA"/>
    <w:rsid w:val="00372500"/>
    <w:rsid w:val="00373078"/>
    <w:rsid w:val="00373D25"/>
    <w:rsid w:val="00374DD0"/>
    <w:rsid w:val="00374ED3"/>
    <w:rsid w:val="003755B7"/>
    <w:rsid w:val="003758D6"/>
    <w:rsid w:val="00375EE4"/>
    <w:rsid w:val="00377E2E"/>
    <w:rsid w:val="00377FFA"/>
    <w:rsid w:val="003800E2"/>
    <w:rsid w:val="00380B4A"/>
    <w:rsid w:val="00381693"/>
    <w:rsid w:val="0038196C"/>
    <w:rsid w:val="00381E9C"/>
    <w:rsid w:val="00381FDC"/>
    <w:rsid w:val="003822AB"/>
    <w:rsid w:val="00382C39"/>
    <w:rsid w:val="00382DD9"/>
    <w:rsid w:val="00383018"/>
    <w:rsid w:val="0038308A"/>
    <w:rsid w:val="003830D1"/>
    <w:rsid w:val="00383228"/>
    <w:rsid w:val="00383A92"/>
    <w:rsid w:val="00383B41"/>
    <w:rsid w:val="00384236"/>
    <w:rsid w:val="0038424D"/>
    <w:rsid w:val="003854D8"/>
    <w:rsid w:val="00385E79"/>
    <w:rsid w:val="00386D01"/>
    <w:rsid w:val="003873BD"/>
    <w:rsid w:val="00387B44"/>
    <w:rsid w:val="0039132C"/>
    <w:rsid w:val="00393177"/>
    <w:rsid w:val="0039320D"/>
    <w:rsid w:val="00394322"/>
    <w:rsid w:val="003945A5"/>
    <w:rsid w:val="00397442"/>
    <w:rsid w:val="00397B7A"/>
    <w:rsid w:val="003A0526"/>
    <w:rsid w:val="003A0904"/>
    <w:rsid w:val="003A16B7"/>
    <w:rsid w:val="003A1815"/>
    <w:rsid w:val="003A3453"/>
    <w:rsid w:val="003A35AB"/>
    <w:rsid w:val="003A3775"/>
    <w:rsid w:val="003A3BE5"/>
    <w:rsid w:val="003A3F7C"/>
    <w:rsid w:val="003A4DBE"/>
    <w:rsid w:val="003A50CD"/>
    <w:rsid w:val="003A56D5"/>
    <w:rsid w:val="003A7109"/>
    <w:rsid w:val="003A7203"/>
    <w:rsid w:val="003A7384"/>
    <w:rsid w:val="003A765B"/>
    <w:rsid w:val="003A7819"/>
    <w:rsid w:val="003A7976"/>
    <w:rsid w:val="003A7F97"/>
    <w:rsid w:val="003B0BE8"/>
    <w:rsid w:val="003B18B9"/>
    <w:rsid w:val="003B23FA"/>
    <w:rsid w:val="003B2420"/>
    <w:rsid w:val="003B34C4"/>
    <w:rsid w:val="003B390D"/>
    <w:rsid w:val="003B3E7C"/>
    <w:rsid w:val="003B42EB"/>
    <w:rsid w:val="003B47AB"/>
    <w:rsid w:val="003B4EB2"/>
    <w:rsid w:val="003B509B"/>
    <w:rsid w:val="003B5237"/>
    <w:rsid w:val="003B5386"/>
    <w:rsid w:val="003B55BC"/>
    <w:rsid w:val="003B58F8"/>
    <w:rsid w:val="003B5C32"/>
    <w:rsid w:val="003B6067"/>
    <w:rsid w:val="003B6210"/>
    <w:rsid w:val="003B66A8"/>
    <w:rsid w:val="003B6C84"/>
    <w:rsid w:val="003B6DFA"/>
    <w:rsid w:val="003B7331"/>
    <w:rsid w:val="003B74D6"/>
    <w:rsid w:val="003B75BF"/>
    <w:rsid w:val="003C02A0"/>
    <w:rsid w:val="003C02D0"/>
    <w:rsid w:val="003C0DA6"/>
    <w:rsid w:val="003C1035"/>
    <w:rsid w:val="003C157B"/>
    <w:rsid w:val="003C277B"/>
    <w:rsid w:val="003C332A"/>
    <w:rsid w:val="003C3BE5"/>
    <w:rsid w:val="003C3EF1"/>
    <w:rsid w:val="003C4621"/>
    <w:rsid w:val="003C5A8B"/>
    <w:rsid w:val="003C5C4A"/>
    <w:rsid w:val="003C6830"/>
    <w:rsid w:val="003C7311"/>
    <w:rsid w:val="003C76C3"/>
    <w:rsid w:val="003C7D36"/>
    <w:rsid w:val="003D022C"/>
    <w:rsid w:val="003D0782"/>
    <w:rsid w:val="003D0895"/>
    <w:rsid w:val="003D1EDA"/>
    <w:rsid w:val="003D247F"/>
    <w:rsid w:val="003D2DB8"/>
    <w:rsid w:val="003D395A"/>
    <w:rsid w:val="003D3A27"/>
    <w:rsid w:val="003D3F09"/>
    <w:rsid w:val="003D42ED"/>
    <w:rsid w:val="003D487E"/>
    <w:rsid w:val="003D4E1B"/>
    <w:rsid w:val="003D5B5F"/>
    <w:rsid w:val="003D5D9F"/>
    <w:rsid w:val="003D62A2"/>
    <w:rsid w:val="003D6400"/>
    <w:rsid w:val="003D69B9"/>
    <w:rsid w:val="003D6FB2"/>
    <w:rsid w:val="003D75BB"/>
    <w:rsid w:val="003D7D19"/>
    <w:rsid w:val="003D7ED9"/>
    <w:rsid w:val="003E03E0"/>
    <w:rsid w:val="003E20CD"/>
    <w:rsid w:val="003E3503"/>
    <w:rsid w:val="003E3625"/>
    <w:rsid w:val="003E37DF"/>
    <w:rsid w:val="003E387B"/>
    <w:rsid w:val="003E4231"/>
    <w:rsid w:val="003E476A"/>
    <w:rsid w:val="003E47CA"/>
    <w:rsid w:val="003E57DE"/>
    <w:rsid w:val="003E5A7E"/>
    <w:rsid w:val="003E5B45"/>
    <w:rsid w:val="003E6415"/>
    <w:rsid w:val="003E69A2"/>
    <w:rsid w:val="003E70A1"/>
    <w:rsid w:val="003E7714"/>
    <w:rsid w:val="003E7A9F"/>
    <w:rsid w:val="003F18EB"/>
    <w:rsid w:val="003F21DD"/>
    <w:rsid w:val="003F2DCF"/>
    <w:rsid w:val="003F31EA"/>
    <w:rsid w:val="003F3AB6"/>
    <w:rsid w:val="003F5AC9"/>
    <w:rsid w:val="003F5E0C"/>
    <w:rsid w:val="003F73AF"/>
    <w:rsid w:val="003F7CD7"/>
    <w:rsid w:val="004010CD"/>
    <w:rsid w:val="004013F4"/>
    <w:rsid w:val="0040161B"/>
    <w:rsid w:val="00401AD3"/>
    <w:rsid w:val="00402F87"/>
    <w:rsid w:val="00403251"/>
    <w:rsid w:val="004034B2"/>
    <w:rsid w:val="0040366A"/>
    <w:rsid w:val="00403AEF"/>
    <w:rsid w:val="00404969"/>
    <w:rsid w:val="00404E51"/>
    <w:rsid w:val="0040604F"/>
    <w:rsid w:val="00406579"/>
    <w:rsid w:val="004066FA"/>
    <w:rsid w:val="00406B07"/>
    <w:rsid w:val="00407701"/>
    <w:rsid w:val="0041007A"/>
    <w:rsid w:val="004104A3"/>
    <w:rsid w:val="00411140"/>
    <w:rsid w:val="00412013"/>
    <w:rsid w:val="00412607"/>
    <w:rsid w:val="004130B0"/>
    <w:rsid w:val="00413C1F"/>
    <w:rsid w:val="00413E5B"/>
    <w:rsid w:val="00414004"/>
    <w:rsid w:val="00414A5A"/>
    <w:rsid w:val="00414B4A"/>
    <w:rsid w:val="0041507D"/>
    <w:rsid w:val="0041551C"/>
    <w:rsid w:val="00415A59"/>
    <w:rsid w:val="004170A1"/>
    <w:rsid w:val="00417EDD"/>
    <w:rsid w:val="00420646"/>
    <w:rsid w:val="00420F6A"/>
    <w:rsid w:val="0042122B"/>
    <w:rsid w:val="004218F1"/>
    <w:rsid w:val="004227D9"/>
    <w:rsid w:val="0042341D"/>
    <w:rsid w:val="00423ACB"/>
    <w:rsid w:val="00425647"/>
    <w:rsid w:val="00427172"/>
    <w:rsid w:val="004271E7"/>
    <w:rsid w:val="004277D4"/>
    <w:rsid w:val="004300E5"/>
    <w:rsid w:val="0043052F"/>
    <w:rsid w:val="00430EEA"/>
    <w:rsid w:val="0043186E"/>
    <w:rsid w:val="004327F5"/>
    <w:rsid w:val="00432DC1"/>
    <w:rsid w:val="00433373"/>
    <w:rsid w:val="0043346D"/>
    <w:rsid w:val="00433CD8"/>
    <w:rsid w:val="004343AB"/>
    <w:rsid w:val="004348AE"/>
    <w:rsid w:val="0043540E"/>
    <w:rsid w:val="004354D1"/>
    <w:rsid w:val="004355D6"/>
    <w:rsid w:val="00435854"/>
    <w:rsid w:val="00435A48"/>
    <w:rsid w:val="00436021"/>
    <w:rsid w:val="0043679E"/>
    <w:rsid w:val="00436AC0"/>
    <w:rsid w:val="004370AC"/>
    <w:rsid w:val="00437271"/>
    <w:rsid w:val="00437E6B"/>
    <w:rsid w:val="0044093C"/>
    <w:rsid w:val="00441D87"/>
    <w:rsid w:val="004421DC"/>
    <w:rsid w:val="00443D74"/>
    <w:rsid w:val="004440B2"/>
    <w:rsid w:val="00444A9D"/>
    <w:rsid w:val="004456D2"/>
    <w:rsid w:val="00445854"/>
    <w:rsid w:val="00445DAB"/>
    <w:rsid w:val="00446529"/>
    <w:rsid w:val="00446867"/>
    <w:rsid w:val="00446CEC"/>
    <w:rsid w:val="00447150"/>
    <w:rsid w:val="00451F9A"/>
    <w:rsid w:val="0045208C"/>
    <w:rsid w:val="0045210B"/>
    <w:rsid w:val="004528C0"/>
    <w:rsid w:val="00453228"/>
    <w:rsid w:val="004534B5"/>
    <w:rsid w:val="00454CFE"/>
    <w:rsid w:val="00456B2D"/>
    <w:rsid w:val="00457E0F"/>
    <w:rsid w:val="00460290"/>
    <w:rsid w:val="004610DD"/>
    <w:rsid w:val="0046114C"/>
    <w:rsid w:val="004613F6"/>
    <w:rsid w:val="004635B6"/>
    <w:rsid w:val="00463924"/>
    <w:rsid w:val="00463CC9"/>
    <w:rsid w:val="00463FEE"/>
    <w:rsid w:val="004646FE"/>
    <w:rsid w:val="0046485C"/>
    <w:rsid w:val="00465601"/>
    <w:rsid w:val="00465645"/>
    <w:rsid w:val="004656CF"/>
    <w:rsid w:val="00465FBA"/>
    <w:rsid w:val="004677CF"/>
    <w:rsid w:val="004702CE"/>
    <w:rsid w:val="004707CD"/>
    <w:rsid w:val="00470CAF"/>
    <w:rsid w:val="0047130C"/>
    <w:rsid w:val="004721A8"/>
    <w:rsid w:val="00472FB9"/>
    <w:rsid w:val="00473C44"/>
    <w:rsid w:val="004744AF"/>
    <w:rsid w:val="00474564"/>
    <w:rsid w:val="0047467A"/>
    <w:rsid w:val="00474873"/>
    <w:rsid w:val="00474FB1"/>
    <w:rsid w:val="00474FC1"/>
    <w:rsid w:val="0047531D"/>
    <w:rsid w:val="004754DE"/>
    <w:rsid w:val="0047663E"/>
    <w:rsid w:val="00476A36"/>
    <w:rsid w:val="00477503"/>
    <w:rsid w:val="004778BC"/>
    <w:rsid w:val="00477AEF"/>
    <w:rsid w:val="004800CD"/>
    <w:rsid w:val="0048082C"/>
    <w:rsid w:val="00480CE1"/>
    <w:rsid w:val="00481573"/>
    <w:rsid w:val="0048198B"/>
    <w:rsid w:val="00481D86"/>
    <w:rsid w:val="00482287"/>
    <w:rsid w:val="00483131"/>
    <w:rsid w:val="004834B5"/>
    <w:rsid w:val="00484132"/>
    <w:rsid w:val="00484981"/>
    <w:rsid w:val="0048525E"/>
    <w:rsid w:val="00487147"/>
    <w:rsid w:val="004905E5"/>
    <w:rsid w:val="00490E4A"/>
    <w:rsid w:val="00491790"/>
    <w:rsid w:val="00491ABB"/>
    <w:rsid w:val="004921B4"/>
    <w:rsid w:val="0049257F"/>
    <w:rsid w:val="00492773"/>
    <w:rsid w:val="00493866"/>
    <w:rsid w:val="004938A3"/>
    <w:rsid w:val="004941CE"/>
    <w:rsid w:val="00494214"/>
    <w:rsid w:val="0049445F"/>
    <w:rsid w:val="004956CE"/>
    <w:rsid w:val="004959DB"/>
    <w:rsid w:val="00495EC1"/>
    <w:rsid w:val="0049611A"/>
    <w:rsid w:val="00496295"/>
    <w:rsid w:val="00496330"/>
    <w:rsid w:val="00497AA0"/>
    <w:rsid w:val="00497EA1"/>
    <w:rsid w:val="00497F34"/>
    <w:rsid w:val="004A0AB5"/>
    <w:rsid w:val="004A13D6"/>
    <w:rsid w:val="004A263B"/>
    <w:rsid w:val="004A2A18"/>
    <w:rsid w:val="004A2DC9"/>
    <w:rsid w:val="004A32EB"/>
    <w:rsid w:val="004A36CC"/>
    <w:rsid w:val="004A3E6F"/>
    <w:rsid w:val="004A603F"/>
    <w:rsid w:val="004A680C"/>
    <w:rsid w:val="004A6A6F"/>
    <w:rsid w:val="004A7032"/>
    <w:rsid w:val="004A753C"/>
    <w:rsid w:val="004B09E6"/>
    <w:rsid w:val="004B0BF5"/>
    <w:rsid w:val="004B1882"/>
    <w:rsid w:val="004B191C"/>
    <w:rsid w:val="004B21B7"/>
    <w:rsid w:val="004B25FD"/>
    <w:rsid w:val="004B3063"/>
    <w:rsid w:val="004B4CB6"/>
    <w:rsid w:val="004B51FB"/>
    <w:rsid w:val="004B593D"/>
    <w:rsid w:val="004B5D83"/>
    <w:rsid w:val="004B64D3"/>
    <w:rsid w:val="004C0D81"/>
    <w:rsid w:val="004C1A30"/>
    <w:rsid w:val="004C1A97"/>
    <w:rsid w:val="004C1AFC"/>
    <w:rsid w:val="004C3265"/>
    <w:rsid w:val="004C3A3F"/>
    <w:rsid w:val="004C4A4B"/>
    <w:rsid w:val="004C5075"/>
    <w:rsid w:val="004C5748"/>
    <w:rsid w:val="004C7F1F"/>
    <w:rsid w:val="004D2AEF"/>
    <w:rsid w:val="004D3939"/>
    <w:rsid w:val="004D3CF3"/>
    <w:rsid w:val="004D3D0D"/>
    <w:rsid w:val="004D4613"/>
    <w:rsid w:val="004D4CB0"/>
    <w:rsid w:val="004D5C58"/>
    <w:rsid w:val="004D5D7C"/>
    <w:rsid w:val="004D68D6"/>
    <w:rsid w:val="004D6E53"/>
    <w:rsid w:val="004E00E1"/>
    <w:rsid w:val="004E00FD"/>
    <w:rsid w:val="004E056E"/>
    <w:rsid w:val="004E06AA"/>
    <w:rsid w:val="004E1652"/>
    <w:rsid w:val="004E18E0"/>
    <w:rsid w:val="004E2B4C"/>
    <w:rsid w:val="004E2C7E"/>
    <w:rsid w:val="004E32D3"/>
    <w:rsid w:val="004E3C31"/>
    <w:rsid w:val="004E425F"/>
    <w:rsid w:val="004E4368"/>
    <w:rsid w:val="004E4776"/>
    <w:rsid w:val="004E49E4"/>
    <w:rsid w:val="004E5407"/>
    <w:rsid w:val="004E5DD1"/>
    <w:rsid w:val="004E6445"/>
    <w:rsid w:val="004E725D"/>
    <w:rsid w:val="004E7C19"/>
    <w:rsid w:val="004F07D3"/>
    <w:rsid w:val="004F0DBA"/>
    <w:rsid w:val="004F0E41"/>
    <w:rsid w:val="004F26B3"/>
    <w:rsid w:val="004F29A4"/>
    <w:rsid w:val="004F44FA"/>
    <w:rsid w:val="004F4D7D"/>
    <w:rsid w:val="004F50D1"/>
    <w:rsid w:val="004F655F"/>
    <w:rsid w:val="004F6B7B"/>
    <w:rsid w:val="004F7266"/>
    <w:rsid w:val="005003C2"/>
    <w:rsid w:val="0050076B"/>
    <w:rsid w:val="005017F7"/>
    <w:rsid w:val="005023CE"/>
    <w:rsid w:val="00502B3D"/>
    <w:rsid w:val="00502E40"/>
    <w:rsid w:val="005030EF"/>
    <w:rsid w:val="00503C51"/>
    <w:rsid w:val="00503D64"/>
    <w:rsid w:val="0050526C"/>
    <w:rsid w:val="0050544B"/>
    <w:rsid w:val="0050703F"/>
    <w:rsid w:val="00507644"/>
    <w:rsid w:val="00507F6B"/>
    <w:rsid w:val="00511040"/>
    <w:rsid w:val="005117FB"/>
    <w:rsid w:val="00511E7B"/>
    <w:rsid w:val="00511EC1"/>
    <w:rsid w:val="00512326"/>
    <w:rsid w:val="005128BE"/>
    <w:rsid w:val="00512C5E"/>
    <w:rsid w:val="00512CD5"/>
    <w:rsid w:val="0051302B"/>
    <w:rsid w:val="00514927"/>
    <w:rsid w:val="00515690"/>
    <w:rsid w:val="00517600"/>
    <w:rsid w:val="00517764"/>
    <w:rsid w:val="00517943"/>
    <w:rsid w:val="005208EA"/>
    <w:rsid w:val="005210CB"/>
    <w:rsid w:val="0052122D"/>
    <w:rsid w:val="00521BCB"/>
    <w:rsid w:val="00522871"/>
    <w:rsid w:val="00524B93"/>
    <w:rsid w:val="005250C8"/>
    <w:rsid w:val="005255EC"/>
    <w:rsid w:val="00526E24"/>
    <w:rsid w:val="00526E2E"/>
    <w:rsid w:val="00527463"/>
    <w:rsid w:val="0052796B"/>
    <w:rsid w:val="00530225"/>
    <w:rsid w:val="005313ED"/>
    <w:rsid w:val="005317A5"/>
    <w:rsid w:val="00532766"/>
    <w:rsid w:val="0053487E"/>
    <w:rsid w:val="00535D66"/>
    <w:rsid w:val="00536161"/>
    <w:rsid w:val="00536628"/>
    <w:rsid w:val="00536E42"/>
    <w:rsid w:val="005375B4"/>
    <w:rsid w:val="005378F9"/>
    <w:rsid w:val="00537EA9"/>
    <w:rsid w:val="005409D6"/>
    <w:rsid w:val="00541A4F"/>
    <w:rsid w:val="005426C5"/>
    <w:rsid w:val="005426C9"/>
    <w:rsid w:val="00543314"/>
    <w:rsid w:val="005434D6"/>
    <w:rsid w:val="00543867"/>
    <w:rsid w:val="005438FE"/>
    <w:rsid w:val="0054447C"/>
    <w:rsid w:val="00544972"/>
    <w:rsid w:val="00544E97"/>
    <w:rsid w:val="0054585A"/>
    <w:rsid w:val="0054689F"/>
    <w:rsid w:val="00547333"/>
    <w:rsid w:val="00547DDF"/>
    <w:rsid w:val="00547E68"/>
    <w:rsid w:val="005504FF"/>
    <w:rsid w:val="0055055B"/>
    <w:rsid w:val="00550AFF"/>
    <w:rsid w:val="0055139B"/>
    <w:rsid w:val="0055187F"/>
    <w:rsid w:val="00551C40"/>
    <w:rsid w:val="00551DA7"/>
    <w:rsid w:val="0055299D"/>
    <w:rsid w:val="00552CFD"/>
    <w:rsid w:val="0055308C"/>
    <w:rsid w:val="0055325D"/>
    <w:rsid w:val="0055371E"/>
    <w:rsid w:val="00553B43"/>
    <w:rsid w:val="0055409E"/>
    <w:rsid w:val="0055484F"/>
    <w:rsid w:val="00554E3F"/>
    <w:rsid w:val="0055538F"/>
    <w:rsid w:val="00555458"/>
    <w:rsid w:val="00555F1E"/>
    <w:rsid w:val="00556647"/>
    <w:rsid w:val="005569D6"/>
    <w:rsid w:val="00556A37"/>
    <w:rsid w:val="005576CD"/>
    <w:rsid w:val="0056002A"/>
    <w:rsid w:val="005604C9"/>
    <w:rsid w:val="00560853"/>
    <w:rsid w:val="005610F5"/>
    <w:rsid w:val="0056162A"/>
    <w:rsid w:val="00561B0A"/>
    <w:rsid w:val="00563478"/>
    <w:rsid w:val="005653F8"/>
    <w:rsid w:val="005655E6"/>
    <w:rsid w:val="00565F54"/>
    <w:rsid w:val="00566744"/>
    <w:rsid w:val="00567E3F"/>
    <w:rsid w:val="00567F98"/>
    <w:rsid w:val="00567FB2"/>
    <w:rsid w:val="00570D13"/>
    <w:rsid w:val="00571137"/>
    <w:rsid w:val="005718F6"/>
    <w:rsid w:val="005726CD"/>
    <w:rsid w:val="005731BE"/>
    <w:rsid w:val="005735BB"/>
    <w:rsid w:val="00575F88"/>
    <w:rsid w:val="0057611D"/>
    <w:rsid w:val="00576511"/>
    <w:rsid w:val="005777F0"/>
    <w:rsid w:val="0058041F"/>
    <w:rsid w:val="00580D82"/>
    <w:rsid w:val="005813CC"/>
    <w:rsid w:val="00581994"/>
    <w:rsid w:val="00581DFB"/>
    <w:rsid w:val="00581FA9"/>
    <w:rsid w:val="00581FE0"/>
    <w:rsid w:val="0058225C"/>
    <w:rsid w:val="0058395E"/>
    <w:rsid w:val="00583CF3"/>
    <w:rsid w:val="00584089"/>
    <w:rsid w:val="00584456"/>
    <w:rsid w:val="00584780"/>
    <w:rsid w:val="00584C3A"/>
    <w:rsid w:val="00584C6A"/>
    <w:rsid w:val="00585551"/>
    <w:rsid w:val="00585BCB"/>
    <w:rsid w:val="005868B2"/>
    <w:rsid w:val="005869D7"/>
    <w:rsid w:val="005900DA"/>
    <w:rsid w:val="005905C5"/>
    <w:rsid w:val="00591D6C"/>
    <w:rsid w:val="00592E39"/>
    <w:rsid w:val="005931AC"/>
    <w:rsid w:val="005934FC"/>
    <w:rsid w:val="00593AD8"/>
    <w:rsid w:val="005946B8"/>
    <w:rsid w:val="00594D2D"/>
    <w:rsid w:val="0059521C"/>
    <w:rsid w:val="005962C3"/>
    <w:rsid w:val="00596A55"/>
    <w:rsid w:val="0059787C"/>
    <w:rsid w:val="005A1244"/>
    <w:rsid w:val="005A1858"/>
    <w:rsid w:val="005A1AA1"/>
    <w:rsid w:val="005A1B0C"/>
    <w:rsid w:val="005A28A3"/>
    <w:rsid w:val="005A2FE3"/>
    <w:rsid w:val="005A3805"/>
    <w:rsid w:val="005A3967"/>
    <w:rsid w:val="005A4261"/>
    <w:rsid w:val="005A4942"/>
    <w:rsid w:val="005A4BD3"/>
    <w:rsid w:val="005A4FFE"/>
    <w:rsid w:val="005A5007"/>
    <w:rsid w:val="005A5184"/>
    <w:rsid w:val="005A5A42"/>
    <w:rsid w:val="005A5B2A"/>
    <w:rsid w:val="005A7663"/>
    <w:rsid w:val="005B0106"/>
    <w:rsid w:val="005B1429"/>
    <w:rsid w:val="005B1B49"/>
    <w:rsid w:val="005B291A"/>
    <w:rsid w:val="005B3ED7"/>
    <w:rsid w:val="005B3F06"/>
    <w:rsid w:val="005B4C9B"/>
    <w:rsid w:val="005B552C"/>
    <w:rsid w:val="005B58F6"/>
    <w:rsid w:val="005B5CA4"/>
    <w:rsid w:val="005B6EA3"/>
    <w:rsid w:val="005B7718"/>
    <w:rsid w:val="005C0298"/>
    <w:rsid w:val="005C1408"/>
    <w:rsid w:val="005C351F"/>
    <w:rsid w:val="005C3B29"/>
    <w:rsid w:val="005C3E1C"/>
    <w:rsid w:val="005C423E"/>
    <w:rsid w:val="005C4931"/>
    <w:rsid w:val="005C4AA3"/>
    <w:rsid w:val="005C4C48"/>
    <w:rsid w:val="005C5453"/>
    <w:rsid w:val="005C56E3"/>
    <w:rsid w:val="005C59C7"/>
    <w:rsid w:val="005C6FC8"/>
    <w:rsid w:val="005D0F2E"/>
    <w:rsid w:val="005D153C"/>
    <w:rsid w:val="005D1CEA"/>
    <w:rsid w:val="005D1D98"/>
    <w:rsid w:val="005D2801"/>
    <w:rsid w:val="005D29A5"/>
    <w:rsid w:val="005D33A8"/>
    <w:rsid w:val="005D3AF0"/>
    <w:rsid w:val="005D438E"/>
    <w:rsid w:val="005D4967"/>
    <w:rsid w:val="005D65CD"/>
    <w:rsid w:val="005D7599"/>
    <w:rsid w:val="005D76DE"/>
    <w:rsid w:val="005D77FE"/>
    <w:rsid w:val="005D7E27"/>
    <w:rsid w:val="005E098D"/>
    <w:rsid w:val="005E179B"/>
    <w:rsid w:val="005E1F73"/>
    <w:rsid w:val="005E2BD4"/>
    <w:rsid w:val="005E2E0C"/>
    <w:rsid w:val="005E3B26"/>
    <w:rsid w:val="005E4347"/>
    <w:rsid w:val="005E4495"/>
    <w:rsid w:val="005E6353"/>
    <w:rsid w:val="005E645C"/>
    <w:rsid w:val="005E6CE1"/>
    <w:rsid w:val="005E7D94"/>
    <w:rsid w:val="005F0AC8"/>
    <w:rsid w:val="005F1692"/>
    <w:rsid w:val="005F3895"/>
    <w:rsid w:val="005F3A04"/>
    <w:rsid w:val="005F3E35"/>
    <w:rsid w:val="005F40B4"/>
    <w:rsid w:val="005F4448"/>
    <w:rsid w:val="005F4B62"/>
    <w:rsid w:val="005F515E"/>
    <w:rsid w:val="005F6590"/>
    <w:rsid w:val="005F7358"/>
    <w:rsid w:val="005F787B"/>
    <w:rsid w:val="005F7B1F"/>
    <w:rsid w:val="005F7FAB"/>
    <w:rsid w:val="00600A57"/>
    <w:rsid w:val="00600D0E"/>
    <w:rsid w:val="00600D4A"/>
    <w:rsid w:val="00601AC9"/>
    <w:rsid w:val="00603077"/>
    <w:rsid w:val="00603362"/>
    <w:rsid w:val="00603EBB"/>
    <w:rsid w:val="00604030"/>
    <w:rsid w:val="00604D1A"/>
    <w:rsid w:val="0060577C"/>
    <w:rsid w:val="00605A50"/>
    <w:rsid w:val="00605E0B"/>
    <w:rsid w:val="006071BF"/>
    <w:rsid w:val="006101EE"/>
    <w:rsid w:val="006104C2"/>
    <w:rsid w:val="006107D9"/>
    <w:rsid w:val="00611054"/>
    <w:rsid w:val="006112DE"/>
    <w:rsid w:val="00611D23"/>
    <w:rsid w:val="006134A4"/>
    <w:rsid w:val="00613F60"/>
    <w:rsid w:val="0061413F"/>
    <w:rsid w:val="0061419D"/>
    <w:rsid w:val="006150BE"/>
    <w:rsid w:val="00615CF2"/>
    <w:rsid w:val="006162F2"/>
    <w:rsid w:val="0061630A"/>
    <w:rsid w:val="00616D6E"/>
    <w:rsid w:val="006172C1"/>
    <w:rsid w:val="00617567"/>
    <w:rsid w:val="0061764A"/>
    <w:rsid w:val="006176D8"/>
    <w:rsid w:val="00617F31"/>
    <w:rsid w:val="006207A0"/>
    <w:rsid w:val="00620A37"/>
    <w:rsid w:val="00621A7E"/>
    <w:rsid w:val="00621B5A"/>
    <w:rsid w:val="00621E5F"/>
    <w:rsid w:val="0062285A"/>
    <w:rsid w:val="0062285F"/>
    <w:rsid w:val="00622905"/>
    <w:rsid w:val="00623ACE"/>
    <w:rsid w:val="006252D4"/>
    <w:rsid w:val="00625FD8"/>
    <w:rsid w:val="0062606C"/>
    <w:rsid w:val="00630ED1"/>
    <w:rsid w:val="006317CC"/>
    <w:rsid w:val="00631832"/>
    <w:rsid w:val="006318EE"/>
    <w:rsid w:val="00632461"/>
    <w:rsid w:val="0063299B"/>
    <w:rsid w:val="00632B5F"/>
    <w:rsid w:val="00633491"/>
    <w:rsid w:val="00634AA4"/>
    <w:rsid w:val="00634EFB"/>
    <w:rsid w:val="00635AA0"/>
    <w:rsid w:val="00635C53"/>
    <w:rsid w:val="0063610D"/>
    <w:rsid w:val="00637234"/>
    <w:rsid w:val="00637B34"/>
    <w:rsid w:val="00641199"/>
    <w:rsid w:val="00641FC9"/>
    <w:rsid w:val="00642142"/>
    <w:rsid w:val="00643535"/>
    <w:rsid w:val="00643C9B"/>
    <w:rsid w:val="006453F9"/>
    <w:rsid w:val="006466C4"/>
    <w:rsid w:val="00646ADF"/>
    <w:rsid w:val="00647C0E"/>
    <w:rsid w:val="006500A1"/>
    <w:rsid w:val="0065030D"/>
    <w:rsid w:val="00650362"/>
    <w:rsid w:val="006506F2"/>
    <w:rsid w:val="00650758"/>
    <w:rsid w:val="00651B09"/>
    <w:rsid w:val="00652158"/>
    <w:rsid w:val="00652462"/>
    <w:rsid w:val="00653981"/>
    <w:rsid w:val="00653A41"/>
    <w:rsid w:val="006542C8"/>
    <w:rsid w:val="0065477E"/>
    <w:rsid w:val="006547F4"/>
    <w:rsid w:val="00655058"/>
    <w:rsid w:val="00656158"/>
    <w:rsid w:val="006605EA"/>
    <w:rsid w:val="00660754"/>
    <w:rsid w:val="00660CC6"/>
    <w:rsid w:val="00660FB1"/>
    <w:rsid w:val="00661737"/>
    <w:rsid w:val="0066185D"/>
    <w:rsid w:val="0066227F"/>
    <w:rsid w:val="00662D39"/>
    <w:rsid w:val="00662D3F"/>
    <w:rsid w:val="00663588"/>
    <w:rsid w:val="006638BC"/>
    <w:rsid w:val="00663D97"/>
    <w:rsid w:val="006648D7"/>
    <w:rsid w:val="006648FC"/>
    <w:rsid w:val="00664B89"/>
    <w:rsid w:val="0066530B"/>
    <w:rsid w:val="00665F50"/>
    <w:rsid w:val="00667F9C"/>
    <w:rsid w:val="00670A57"/>
    <w:rsid w:val="00670C3B"/>
    <w:rsid w:val="00670DAE"/>
    <w:rsid w:val="00670E63"/>
    <w:rsid w:val="0067108F"/>
    <w:rsid w:val="006714AC"/>
    <w:rsid w:val="00671567"/>
    <w:rsid w:val="0067170C"/>
    <w:rsid w:val="00671864"/>
    <w:rsid w:val="00673359"/>
    <w:rsid w:val="00674203"/>
    <w:rsid w:val="00674473"/>
    <w:rsid w:val="00674753"/>
    <w:rsid w:val="00675082"/>
    <w:rsid w:val="00677119"/>
    <w:rsid w:val="0067775D"/>
    <w:rsid w:val="00677C05"/>
    <w:rsid w:val="00680100"/>
    <w:rsid w:val="0068039C"/>
    <w:rsid w:val="006805BC"/>
    <w:rsid w:val="006805EA"/>
    <w:rsid w:val="0068065B"/>
    <w:rsid w:val="006823B4"/>
    <w:rsid w:val="00682824"/>
    <w:rsid w:val="006839EF"/>
    <w:rsid w:val="00683D31"/>
    <w:rsid w:val="00683FA4"/>
    <w:rsid w:val="00684DF8"/>
    <w:rsid w:val="00684E36"/>
    <w:rsid w:val="0068562E"/>
    <w:rsid w:val="0068582B"/>
    <w:rsid w:val="00685F2C"/>
    <w:rsid w:val="006866A6"/>
    <w:rsid w:val="006873A4"/>
    <w:rsid w:val="0069002C"/>
    <w:rsid w:val="00690901"/>
    <w:rsid w:val="00690927"/>
    <w:rsid w:val="0069102E"/>
    <w:rsid w:val="0069131A"/>
    <w:rsid w:val="00692BD8"/>
    <w:rsid w:val="0069313D"/>
    <w:rsid w:val="0069445C"/>
    <w:rsid w:val="00695565"/>
    <w:rsid w:val="00696B09"/>
    <w:rsid w:val="006A0212"/>
    <w:rsid w:val="006A1B9D"/>
    <w:rsid w:val="006A26C0"/>
    <w:rsid w:val="006A2DE4"/>
    <w:rsid w:val="006A2E86"/>
    <w:rsid w:val="006A2F43"/>
    <w:rsid w:val="006A4E60"/>
    <w:rsid w:val="006A4F12"/>
    <w:rsid w:val="006A567D"/>
    <w:rsid w:val="006A5700"/>
    <w:rsid w:val="006A5A72"/>
    <w:rsid w:val="006A615B"/>
    <w:rsid w:val="006A7527"/>
    <w:rsid w:val="006A7773"/>
    <w:rsid w:val="006A7E82"/>
    <w:rsid w:val="006B0605"/>
    <w:rsid w:val="006B0851"/>
    <w:rsid w:val="006B0E71"/>
    <w:rsid w:val="006B1796"/>
    <w:rsid w:val="006B2531"/>
    <w:rsid w:val="006B289E"/>
    <w:rsid w:val="006B2A1F"/>
    <w:rsid w:val="006B5A27"/>
    <w:rsid w:val="006B6CFC"/>
    <w:rsid w:val="006B7450"/>
    <w:rsid w:val="006B7560"/>
    <w:rsid w:val="006B77AA"/>
    <w:rsid w:val="006C01EE"/>
    <w:rsid w:val="006C0C84"/>
    <w:rsid w:val="006C0EEE"/>
    <w:rsid w:val="006C1036"/>
    <w:rsid w:val="006C1863"/>
    <w:rsid w:val="006C19E0"/>
    <w:rsid w:val="006C1FF0"/>
    <w:rsid w:val="006C2CF3"/>
    <w:rsid w:val="006C326A"/>
    <w:rsid w:val="006C330C"/>
    <w:rsid w:val="006C4FB2"/>
    <w:rsid w:val="006C53CF"/>
    <w:rsid w:val="006C5435"/>
    <w:rsid w:val="006C55F3"/>
    <w:rsid w:val="006C5BB8"/>
    <w:rsid w:val="006C5C35"/>
    <w:rsid w:val="006C66ED"/>
    <w:rsid w:val="006C6744"/>
    <w:rsid w:val="006C6E25"/>
    <w:rsid w:val="006C77DA"/>
    <w:rsid w:val="006C78AA"/>
    <w:rsid w:val="006C7BDC"/>
    <w:rsid w:val="006D000E"/>
    <w:rsid w:val="006D1847"/>
    <w:rsid w:val="006D19F6"/>
    <w:rsid w:val="006D1FEB"/>
    <w:rsid w:val="006D3292"/>
    <w:rsid w:val="006D3C37"/>
    <w:rsid w:val="006D41A4"/>
    <w:rsid w:val="006D4426"/>
    <w:rsid w:val="006D4ABF"/>
    <w:rsid w:val="006D61BF"/>
    <w:rsid w:val="006D6630"/>
    <w:rsid w:val="006D6FD1"/>
    <w:rsid w:val="006D757C"/>
    <w:rsid w:val="006E2872"/>
    <w:rsid w:val="006E2C4A"/>
    <w:rsid w:val="006E2CA5"/>
    <w:rsid w:val="006E3418"/>
    <w:rsid w:val="006E40E0"/>
    <w:rsid w:val="006E4CD9"/>
    <w:rsid w:val="006E5744"/>
    <w:rsid w:val="006E5E48"/>
    <w:rsid w:val="006E64A5"/>
    <w:rsid w:val="006E67D9"/>
    <w:rsid w:val="006E6A35"/>
    <w:rsid w:val="006E6BB7"/>
    <w:rsid w:val="006F000D"/>
    <w:rsid w:val="006F15E5"/>
    <w:rsid w:val="006F16FC"/>
    <w:rsid w:val="006F19BE"/>
    <w:rsid w:val="006F1DE2"/>
    <w:rsid w:val="006F2733"/>
    <w:rsid w:val="006F336F"/>
    <w:rsid w:val="006F4483"/>
    <w:rsid w:val="006F463B"/>
    <w:rsid w:val="006F47EB"/>
    <w:rsid w:val="006F5337"/>
    <w:rsid w:val="006F6696"/>
    <w:rsid w:val="006F6B1F"/>
    <w:rsid w:val="006F6EDC"/>
    <w:rsid w:val="006F79E4"/>
    <w:rsid w:val="00700217"/>
    <w:rsid w:val="00700BD3"/>
    <w:rsid w:val="007011C8"/>
    <w:rsid w:val="00701347"/>
    <w:rsid w:val="00701735"/>
    <w:rsid w:val="00702091"/>
    <w:rsid w:val="00702E00"/>
    <w:rsid w:val="00703F0E"/>
    <w:rsid w:val="007049CA"/>
    <w:rsid w:val="00704EB7"/>
    <w:rsid w:val="007054B6"/>
    <w:rsid w:val="00705B1E"/>
    <w:rsid w:val="00706EF2"/>
    <w:rsid w:val="0070790E"/>
    <w:rsid w:val="0071095A"/>
    <w:rsid w:val="00710A2E"/>
    <w:rsid w:val="007112D9"/>
    <w:rsid w:val="007131C3"/>
    <w:rsid w:val="007153FB"/>
    <w:rsid w:val="007168ED"/>
    <w:rsid w:val="007169A0"/>
    <w:rsid w:val="00716B62"/>
    <w:rsid w:val="00721630"/>
    <w:rsid w:val="007216B5"/>
    <w:rsid w:val="007219AC"/>
    <w:rsid w:val="00721D20"/>
    <w:rsid w:val="007229CD"/>
    <w:rsid w:val="00722EDE"/>
    <w:rsid w:val="0072496C"/>
    <w:rsid w:val="00726E42"/>
    <w:rsid w:val="00727A63"/>
    <w:rsid w:val="0073038B"/>
    <w:rsid w:val="00730B05"/>
    <w:rsid w:val="0073145D"/>
    <w:rsid w:val="00732390"/>
    <w:rsid w:val="00732737"/>
    <w:rsid w:val="00732936"/>
    <w:rsid w:val="0073305B"/>
    <w:rsid w:val="00733940"/>
    <w:rsid w:val="0073475A"/>
    <w:rsid w:val="0073511B"/>
    <w:rsid w:val="00735313"/>
    <w:rsid w:val="00735537"/>
    <w:rsid w:val="007355DA"/>
    <w:rsid w:val="00736244"/>
    <w:rsid w:val="007362F0"/>
    <w:rsid w:val="007366F8"/>
    <w:rsid w:val="00736749"/>
    <w:rsid w:val="00736DCF"/>
    <w:rsid w:val="00737E75"/>
    <w:rsid w:val="00737E89"/>
    <w:rsid w:val="00741FAF"/>
    <w:rsid w:val="00743423"/>
    <w:rsid w:val="0074359F"/>
    <w:rsid w:val="0074403F"/>
    <w:rsid w:val="007440FF"/>
    <w:rsid w:val="0074413F"/>
    <w:rsid w:val="00744E13"/>
    <w:rsid w:val="00745C9E"/>
    <w:rsid w:val="00746170"/>
    <w:rsid w:val="00746177"/>
    <w:rsid w:val="00746535"/>
    <w:rsid w:val="007469F2"/>
    <w:rsid w:val="00747678"/>
    <w:rsid w:val="007477C1"/>
    <w:rsid w:val="007479D2"/>
    <w:rsid w:val="00747CA0"/>
    <w:rsid w:val="007502BF"/>
    <w:rsid w:val="007505B2"/>
    <w:rsid w:val="007506EE"/>
    <w:rsid w:val="00750A4C"/>
    <w:rsid w:val="00750C95"/>
    <w:rsid w:val="00752210"/>
    <w:rsid w:val="00754D21"/>
    <w:rsid w:val="007555C5"/>
    <w:rsid w:val="00755BC9"/>
    <w:rsid w:val="0075632D"/>
    <w:rsid w:val="0075746A"/>
    <w:rsid w:val="00760395"/>
    <w:rsid w:val="007605D3"/>
    <w:rsid w:val="00760D02"/>
    <w:rsid w:val="007613F9"/>
    <w:rsid w:val="00762B9D"/>
    <w:rsid w:val="00762DB5"/>
    <w:rsid w:val="0076362B"/>
    <w:rsid w:val="007638F3"/>
    <w:rsid w:val="00763F56"/>
    <w:rsid w:val="00765425"/>
    <w:rsid w:val="007654A0"/>
    <w:rsid w:val="007662FC"/>
    <w:rsid w:val="0076635E"/>
    <w:rsid w:val="007664A6"/>
    <w:rsid w:val="00766653"/>
    <w:rsid w:val="00767124"/>
    <w:rsid w:val="007677A2"/>
    <w:rsid w:val="00767827"/>
    <w:rsid w:val="007704D7"/>
    <w:rsid w:val="00770E72"/>
    <w:rsid w:val="00772504"/>
    <w:rsid w:val="007740D3"/>
    <w:rsid w:val="00775144"/>
    <w:rsid w:val="0077580E"/>
    <w:rsid w:val="00775A44"/>
    <w:rsid w:val="00776118"/>
    <w:rsid w:val="0077712D"/>
    <w:rsid w:val="00777499"/>
    <w:rsid w:val="0077749F"/>
    <w:rsid w:val="007803BC"/>
    <w:rsid w:val="007805A6"/>
    <w:rsid w:val="0078074E"/>
    <w:rsid w:val="007807EB"/>
    <w:rsid w:val="007812D4"/>
    <w:rsid w:val="00781BB1"/>
    <w:rsid w:val="00781ED4"/>
    <w:rsid w:val="00782BB2"/>
    <w:rsid w:val="00783149"/>
    <w:rsid w:val="007831A0"/>
    <w:rsid w:val="007831B3"/>
    <w:rsid w:val="00783B1C"/>
    <w:rsid w:val="00784350"/>
    <w:rsid w:val="0078479C"/>
    <w:rsid w:val="007865DB"/>
    <w:rsid w:val="00786A9D"/>
    <w:rsid w:val="00787540"/>
    <w:rsid w:val="007876EA"/>
    <w:rsid w:val="00787F4D"/>
    <w:rsid w:val="00790BDD"/>
    <w:rsid w:val="00790BE3"/>
    <w:rsid w:val="007915C4"/>
    <w:rsid w:val="00791702"/>
    <w:rsid w:val="007928D3"/>
    <w:rsid w:val="00792D95"/>
    <w:rsid w:val="00792F5B"/>
    <w:rsid w:val="0079360B"/>
    <w:rsid w:val="007947D7"/>
    <w:rsid w:val="00794ED1"/>
    <w:rsid w:val="00795602"/>
    <w:rsid w:val="00795881"/>
    <w:rsid w:val="007958FF"/>
    <w:rsid w:val="007965DD"/>
    <w:rsid w:val="007969AB"/>
    <w:rsid w:val="00796F4E"/>
    <w:rsid w:val="00797524"/>
    <w:rsid w:val="007975C8"/>
    <w:rsid w:val="007A1034"/>
    <w:rsid w:val="007A1106"/>
    <w:rsid w:val="007A14D7"/>
    <w:rsid w:val="007A2294"/>
    <w:rsid w:val="007A246D"/>
    <w:rsid w:val="007A2604"/>
    <w:rsid w:val="007A282F"/>
    <w:rsid w:val="007A2B47"/>
    <w:rsid w:val="007A2D76"/>
    <w:rsid w:val="007A2DCC"/>
    <w:rsid w:val="007A380D"/>
    <w:rsid w:val="007A3B7C"/>
    <w:rsid w:val="007A4D8D"/>
    <w:rsid w:val="007A5782"/>
    <w:rsid w:val="007A614C"/>
    <w:rsid w:val="007A61C3"/>
    <w:rsid w:val="007A6CDF"/>
    <w:rsid w:val="007A6F31"/>
    <w:rsid w:val="007A773A"/>
    <w:rsid w:val="007A7DC9"/>
    <w:rsid w:val="007B0175"/>
    <w:rsid w:val="007B12F3"/>
    <w:rsid w:val="007B188B"/>
    <w:rsid w:val="007B195E"/>
    <w:rsid w:val="007B1DA5"/>
    <w:rsid w:val="007B2242"/>
    <w:rsid w:val="007B22D1"/>
    <w:rsid w:val="007B2C53"/>
    <w:rsid w:val="007B2EF9"/>
    <w:rsid w:val="007B34C1"/>
    <w:rsid w:val="007B40D5"/>
    <w:rsid w:val="007B4632"/>
    <w:rsid w:val="007B527D"/>
    <w:rsid w:val="007B5350"/>
    <w:rsid w:val="007B5823"/>
    <w:rsid w:val="007B5CAA"/>
    <w:rsid w:val="007B5CD1"/>
    <w:rsid w:val="007B641E"/>
    <w:rsid w:val="007B6717"/>
    <w:rsid w:val="007B68A4"/>
    <w:rsid w:val="007B73DD"/>
    <w:rsid w:val="007B7995"/>
    <w:rsid w:val="007B7DD5"/>
    <w:rsid w:val="007C1FAD"/>
    <w:rsid w:val="007C2912"/>
    <w:rsid w:val="007C2C55"/>
    <w:rsid w:val="007C2DAC"/>
    <w:rsid w:val="007C37D9"/>
    <w:rsid w:val="007C3941"/>
    <w:rsid w:val="007C3DE8"/>
    <w:rsid w:val="007C4693"/>
    <w:rsid w:val="007C4972"/>
    <w:rsid w:val="007C49FE"/>
    <w:rsid w:val="007C4D0E"/>
    <w:rsid w:val="007C5371"/>
    <w:rsid w:val="007C5A1E"/>
    <w:rsid w:val="007C7077"/>
    <w:rsid w:val="007C7204"/>
    <w:rsid w:val="007C7594"/>
    <w:rsid w:val="007C78F0"/>
    <w:rsid w:val="007D0626"/>
    <w:rsid w:val="007D0A40"/>
    <w:rsid w:val="007D0C61"/>
    <w:rsid w:val="007D157A"/>
    <w:rsid w:val="007D1E73"/>
    <w:rsid w:val="007D2CBA"/>
    <w:rsid w:val="007D3A51"/>
    <w:rsid w:val="007D48D0"/>
    <w:rsid w:val="007D4A27"/>
    <w:rsid w:val="007D4A3E"/>
    <w:rsid w:val="007D4A83"/>
    <w:rsid w:val="007D52FA"/>
    <w:rsid w:val="007D6152"/>
    <w:rsid w:val="007D666F"/>
    <w:rsid w:val="007D69A0"/>
    <w:rsid w:val="007D6D0C"/>
    <w:rsid w:val="007D7F39"/>
    <w:rsid w:val="007E0248"/>
    <w:rsid w:val="007E0D29"/>
    <w:rsid w:val="007E15B9"/>
    <w:rsid w:val="007E2991"/>
    <w:rsid w:val="007E2E7B"/>
    <w:rsid w:val="007E3C5C"/>
    <w:rsid w:val="007E3F32"/>
    <w:rsid w:val="007E4098"/>
    <w:rsid w:val="007E6572"/>
    <w:rsid w:val="007E6924"/>
    <w:rsid w:val="007E6F35"/>
    <w:rsid w:val="007E7255"/>
    <w:rsid w:val="007F0E05"/>
    <w:rsid w:val="007F143E"/>
    <w:rsid w:val="007F19AF"/>
    <w:rsid w:val="007F2ADA"/>
    <w:rsid w:val="007F46AC"/>
    <w:rsid w:val="007F4CDD"/>
    <w:rsid w:val="007F6006"/>
    <w:rsid w:val="007F7071"/>
    <w:rsid w:val="007F7C45"/>
    <w:rsid w:val="008002E4"/>
    <w:rsid w:val="00801011"/>
    <w:rsid w:val="0080128A"/>
    <w:rsid w:val="0080215F"/>
    <w:rsid w:val="00802F50"/>
    <w:rsid w:val="008032F8"/>
    <w:rsid w:val="00803474"/>
    <w:rsid w:val="008038CF"/>
    <w:rsid w:val="008038DD"/>
    <w:rsid w:val="00803E9F"/>
    <w:rsid w:val="00804D9D"/>
    <w:rsid w:val="00805441"/>
    <w:rsid w:val="00805770"/>
    <w:rsid w:val="00806D53"/>
    <w:rsid w:val="008075B2"/>
    <w:rsid w:val="00807CF0"/>
    <w:rsid w:val="00811061"/>
    <w:rsid w:val="008110B6"/>
    <w:rsid w:val="00811C2B"/>
    <w:rsid w:val="00811C60"/>
    <w:rsid w:val="00811D52"/>
    <w:rsid w:val="00812191"/>
    <w:rsid w:val="008135E9"/>
    <w:rsid w:val="00813989"/>
    <w:rsid w:val="008149F6"/>
    <w:rsid w:val="00815028"/>
    <w:rsid w:val="00815038"/>
    <w:rsid w:val="008152CF"/>
    <w:rsid w:val="00815678"/>
    <w:rsid w:val="00816588"/>
    <w:rsid w:val="0081692D"/>
    <w:rsid w:val="00816BAB"/>
    <w:rsid w:val="00816BF6"/>
    <w:rsid w:val="00816C42"/>
    <w:rsid w:val="00817255"/>
    <w:rsid w:val="00817D48"/>
    <w:rsid w:val="00820FBE"/>
    <w:rsid w:val="00821BB2"/>
    <w:rsid w:val="00822E4B"/>
    <w:rsid w:val="008232EF"/>
    <w:rsid w:val="00823327"/>
    <w:rsid w:val="0082385F"/>
    <w:rsid w:val="008239A9"/>
    <w:rsid w:val="00825020"/>
    <w:rsid w:val="008250B0"/>
    <w:rsid w:val="008259D1"/>
    <w:rsid w:val="00826139"/>
    <w:rsid w:val="00827DB3"/>
    <w:rsid w:val="00827ED2"/>
    <w:rsid w:val="00830795"/>
    <w:rsid w:val="008307A9"/>
    <w:rsid w:val="00830E2B"/>
    <w:rsid w:val="008311A3"/>
    <w:rsid w:val="00831DD8"/>
    <w:rsid w:val="00832207"/>
    <w:rsid w:val="00832D2E"/>
    <w:rsid w:val="00832FCB"/>
    <w:rsid w:val="00833025"/>
    <w:rsid w:val="0083314D"/>
    <w:rsid w:val="0083357F"/>
    <w:rsid w:val="00833BDF"/>
    <w:rsid w:val="00834266"/>
    <w:rsid w:val="00836B35"/>
    <w:rsid w:val="00836CEC"/>
    <w:rsid w:val="00836F90"/>
    <w:rsid w:val="00837143"/>
    <w:rsid w:val="0083749A"/>
    <w:rsid w:val="008374CE"/>
    <w:rsid w:val="00842202"/>
    <w:rsid w:val="00842D81"/>
    <w:rsid w:val="008437E5"/>
    <w:rsid w:val="008442DC"/>
    <w:rsid w:val="0084476A"/>
    <w:rsid w:val="00844C09"/>
    <w:rsid w:val="00844D34"/>
    <w:rsid w:val="0084510E"/>
    <w:rsid w:val="00845323"/>
    <w:rsid w:val="00845901"/>
    <w:rsid w:val="008471D9"/>
    <w:rsid w:val="00850DE6"/>
    <w:rsid w:val="0085157F"/>
    <w:rsid w:val="008517AC"/>
    <w:rsid w:val="008520C3"/>
    <w:rsid w:val="00852DFE"/>
    <w:rsid w:val="00852FC1"/>
    <w:rsid w:val="00854B32"/>
    <w:rsid w:val="00855450"/>
    <w:rsid w:val="00855A49"/>
    <w:rsid w:val="0085637B"/>
    <w:rsid w:val="00856C38"/>
    <w:rsid w:val="008573C3"/>
    <w:rsid w:val="008573D8"/>
    <w:rsid w:val="00857F04"/>
    <w:rsid w:val="00860481"/>
    <w:rsid w:val="0086085B"/>
    <w:rsid w:val="008618A5"/>
    <w:rsid w:val="0086193C"/>
    <w:rsid w:val="00861EDC"/>
    <w:rsid w:val="00862111"/>
    <w:rsid w:val="008625E1"/>
    <w:rsid w:val="00862810"/>
    <w:rsid w:val="00863153"/>
    <w:rsid w:val="008638FC"/>
    <w:rsid w:val="0086464B"/>
    <w:rsid w:val="00866080"/>
    <w:rsid w:val="00866E20"/>
    <w:rsid w:val="00867108"/>
    <w:rsid w:val="0087061B"/>
    <w:rsid w:val="00870F77"/>
    <w:rsid w:val="0087132B"/>
    <w:rsid w:val="00871A2F"/>
    <w:rsid w:val="00871F3E"/>
    <w:rsid w:val="0087239D"/>
    <w:rsid w:val="0087298E"/>
    <w:rsid w:val="008739A4"/>
    <w:rsid w:val="008743D4"/>
    <w:rsid w:val="00874508"/>
    <w:rsid w:val="00874BCC"/>
    <w:rsid w:val="00875B4B"/>
    <w:rsid w:val="00875E55"/>
    <w:rsid w:val="00875EB2"/>
    <w:rsid w:val="00875FAB"/>
    <w:rsid w:val="00876798"/>
    <w:rsid w:val="00876CA4"/>
    <w:rsid w:val="0087740A"/>
    <w:rsid w:val="00877A46"/>
    <w:rsid w:val="00877A70"/>
    <w:rsid w:val="00877C5C"/>
    <w:rsid w:val="00877E2F"/>
    <w:rsid w:val="0088046B"/>
    <w:rsid w:val="008809CB"/>
    <w:rsid w:val="00880F10"/>
    <w:rsid w:val="00880FBF"/>
    <w:rsid w:val="008811B4"/>
    <w:rsid w:val="008827B3"/>
    <w:rsid w:val="00883537"/>
    <w:rsid w:val="00884D1F"/>
    <w:rsid w:val="008851E9"/>
    <w:rsid w:val="0088573E"/>
    <w:rsid w:val="00885CA9"/>
    <w:rsid w:val="00885DC7"/>
    <w:rsid w:val="008864E7"/>
    <w:rsid w:val="00886D87"/>
    <w:rsid w:val="00887A02"/>
    <w:rsid w:val="00887A85"/>
    <w:rsid w:val="00890CE0"/>
    <w:rsid w:val="00890FB9"/>
    <w:rsid w:val="0089126B"/>
    <w:rsid w:val="0089328A"/>
    <w:rsid w:val="0089400B"/>
    <w:rsid w:val="00894908"/>
    <w:rsid w:val="00894EA2"/>
    <w:rsid w:val="00897CD7"/>
    <w:rsid w:val="008A093A"/>
    <w:rsid w:val="008A0B1A"/>
    <w:rsid w:val="008A0DEF"/>
    <w:rsid w:val="008A1AEB"/>
    <w:rsid w:val="008A21EE"/>
    <w:rsid w:val="008A2282"/>
    <w:rsid w:val="008A2609"/>
    <w:rsid w:val="008A5054"/>
    <w:rsid w:val="008A552A"/>
    <w:rsid w:val="008A5594"/>
    <w:rsid w:val="008A61BA"/>
    <w:rsid w:val="008A716C"/>
    <w:rsid w:val="008B08CC"/>
    <w:rsid w:val="008B0F94"/>
    <w:rsid w:val="008B11C1"/>
    <w:rsid w:val="008B14B8"/>
    <w:rsid w:val="008B1967"/>
    <w:rsid w:val="008B2C47"/>
    <w:rsid w:val="008B311F"/>
    <w:rsid w:val="008B3B5F"/>
    <w:rsid w:val="008B49F9"/>
    <w:rsid w:val="008B4FF6"/>
    <w:rsid w:val="008B575E"/>
    <w:rsid w:val="008B5B5D"/>
    <w:rsid w:val="008B5C20"/>
    <w:rsid w:val="008B6467"/>
    <w:rsid w:val="008B7121"/>
    <w:rsid w:val="008B7A5D"/>
    <w:rsid w:val="008B7A76"/>
    <w:rsid w:val="008C0AA9"/>
    <w:rsid w:val="008C1201"/>
    <w:rsid w:val="008C13AD"/>
    <w:rsid w:val="008C1E90"/>
    <w:rsid w:val="008C21D7"/>
    <w:rsid w:val="008C22B4"/>
    <w:rsid w:val="008C302C"/>
    <w:rsid w:val="008C368F"/>
    <w:rsid w:val="008C5AF7"/>
    <w:rsid w:val="008C6083"/>
    <w:rsid w:val="008C651B"/>
    <w:rsid w:val="008C6EC7"/>
    <w:rsid w:val="008C7F0E"/>
    <w:rsid w:val="008D2070"/>
    <w:rsid w:val="008D2456"/>
    <w:rsid w:val="008D2B5B"/>
    <w:rsid w:val="008D32A8"/>
    <w:rsid w:val="008D3C9B"/>
    <w:rsid w:val="008D3DFC"/>
    <w:rsid w:val="008D43EF"/>
    <w:rsid w:val="008D6399"/>
    <w:rsid w:val="008D6927"/>
    <w:rsid w:val="008D776A"/>
    <w:rsid w:val="008E0275"/>
    <w:rsid w:val="008E0279"/>
    <w:rsid w:val="008E02BA"/>
    <w:rsid w:val="008E037C"/>
    <w:rsid w:val="008E075C"/>
    <w:rsid w:val="008E095F"/>
    <w:rsid w:val="008E0E41"/>
    <w:rsid w:val="008E2109"/>
    <w:rsid w:val="008E316B"/>
    <w:rsid w:val="008E36E6"/>
    <w:rsid w:val="008E3CB0"/>
    <w:rsid w:val="008E3F70"/>
    <w:rsid w:val="008E4523"/>
    <w:rsid w:val="008E4E30"/>
    <w:rsid w:val="008E6A3A"/>
    <w:rsid w:val="008E71DD"/>
    <w:rsid w:val="008E7327"/>
    <w:rsid w:val="008F06FD"/>
    <w:rsid w:val="008F1077"/>
    <w:rsid w:val="008F1D2B"/>
    <w:rsid w:val="008F1E48"/>
    <w:rsid w:val="008F2894"/>
    <w:rsid w:val="008F3299"/>
    <w:rsid w:val="008F3697"/>
    <w:rsid w:val="008F5196"/>
    <w:rsid w:val="008F57EE"/>
    <w:rsid w:val="008F5879"/>
    <w:rsid w:val="008F5CA9"/>
    <w:rsid w:val="008F6168"/>
    <w:rsid w:val="008F6313"/>
    <w:rsid w:val="008F78F9"/>
    <w:rsid w:val="00900854"/>
    <w:rsid w:val="00900F73"/>
    <w:rsid w:val="00901F3E"/>
    <w:rsid w:val="00901FAF"/>
    <w:rsid w:val="009020C8"/>
    <w:rsid w:val="009039B1"/>
    <w:rsid w:val="00903EA1"/>
    <w:rsid w:val="00903F9D"/>
    <w:rsid w:val="0090413F"/>
    <w:rsid w:val="009046CC"/>
    <w:rsid w:val="00904DA7"/>
    <w:rsid w:val="0090638A"/>
    <w:rsid w:val="0090725D"/>
    <w:rsid w:val="00907B6F"/>
    <w:rsid w:val="00910709"/>
    <w:rsid w:val="00911673"/>
    <w:rsid w:val="0091269F"/>
    <w:rsid w:val="00912DAB"/>
    <w:rsid w:val="0091395F"/>
    <w:rsid w:val="00914C12"/>
    <w:rsid w:val="00915059"/>
    <w:rsid w:val="00916240"/>
    <w:rsid w:val="0091653C"/>
    <w:rsid w:val="009169E3"/>
    <w:rsid w:val="00920DE7"/>
    <w:rsid w:val="009212A0"/>
    <w:rsid w:val="0092143D"/>
    <w:rsid w:val="0092297F"/>
    <w:rsid w:val="00922BDA"/>
    <w:rsid w:val="009240CF"/>
    <w:rsid w:val="00924BEB"/>
    <w:rsid w:val="00924C18"/>
    <w:rsid w:val="0092729E"/>
    <w:rsid w:val="009273CE"/>
    <w:rsid w:val="00930C37"/>
    <w:rsid w:val="009312FE"/>
    <w:rsid w:val="009322C9"/>
    <w:rsid w:val="009322F5"/>
    <w:rsid w:val="00932496"/>
    <w:rsid w:val="009329AD"/>
    <w:rsid w:val="0093440C"/>
    <w:rsid w:val="009345AB"/>
    <w:rsid w:val="0093484B"/>
    <w:rsid w:val="00935B88"/>
    <w:rsid w:val="00935CC7"/>
    <w:rsid w:val="00935E52"/>
    <w:rsid w:val="00935F0F"/>
    <w:rsid w:val="009361C5"/>
    <w:rsid w:val="00936B25"/>
    <w:rsid w:val="009370FA"/>
    <w:rsid w:val="0094046D"/>
    <w:rsid w:val="009409EE"/>
    <w:rsid w:val="00942075"/>
    <w:rsid w:val="0094286B"/>
    <w:rsid w:val="009443D5"/>
    <w:rsid w:val="009457C4"/>
    <w:rsid w:val="00945C3F"/>
    <w:rsid w:val="009462E4"/>
    <w:rsid w:val="0094671B"/>
    <w:rsid w:val="00946762"/>
    <w:rsid w:val="00947DDF"/>
    <w:rsid w:val="00947DFC"/>
    <w:rsid w:val="00950297"/>
    <w:rsid w:val="00950B84"/>
    <w:rsid w:val="009512E2"/>
    <w:rsid w:val="00951C85"/>
    <w:rsid w:val="0095275A"/>
    <w:rsid w:val="00952783"/>
    <w:rsid w:val="00953FE0"/>
    <w:rsid w:val="00954751"/>
    <w:rsid w:val="009548D5"/>
    <w:rsid w:val="00955B85"/>
    <w:rsid w:val="00956465"/>
    <w:rsid w:val="009567BC"/>
    <w:rsid w:val="009567C2"/>
    <w:rsid w:val="00956CDA"/>
    <w:rsid w:val="0095733C"/>
    <w:rsid w:val="0095769F"/>
    <w:rsid w:val="00957B84"/>
    <w:rsid w:val="009602F3"/>
    <w:rsid w:val="00961359"/>
    <w:rsid w:val="00961F4B"/>
    <w:rsid w:val="009620AC"/>
    <w:rsid w:val="00962326"/>
    <w:rsid w:val="009624A1"/>
    <w:rsid w:val="009627EF"/>
    <w:rsid w:val="00963CF8"/>
    <w:rsid w:val="00963E50"/>
    <w:rsid w:val="00965906"/>
    <w:rsid w:val="009660B3"/>
    <w:rsid w:val="00966951"/>
    <w:rsid w:val="00966CD0"/>
    <w:rsid w:val="00967145"/>
    <w:rsid w:val="00967680"/>
    <w:rsid w:val="00967C18"/>
    <w:rsid w:val="00970D20"/>
    <w:rsid w:val="00971925"/>
    <w:rsid w:val="00971E13"/>
    <w:rsid w:val="00971F85"/>
    <w:rsid w:val="0097261A"/>
    <w:rsid w:val="00973492"/>
    <w:rsid w:val="00973B6F"/>
    <w:rsid w:val="00973F87"/>
    <w:rsid w:val="0097482D"/>
    <w:rsid w:val="00974A59"/>
    <w:rsid w:val="00974D3D"/>
    <w:rsid w:val="00975254"/>
    <w:rsid w:val="00975CE2"/>
    <w:rsid w:val="00975DFD"/>
    <w:rsid w:val="00980CF9"/>
    <w:rsid w:val="00981E68"/>
    <w:rsid w:val="00981EAC"/>
    <w:rsid w:val="0098200B"/>
    <w:rsid w:val="00982073"/>
    <w:rsid w:val="009820D1"/>
    <w:rsid w:val="009821C5"/>
    <w:rsid w:val="0098370D"/>
    <w:rsid w:val="00983DC1"/>
    <w:rsid w:val="00983F50"/>
    <w:rsid w:val="0098443F"/>
    <w:rsid w:val="00984A36"/>
    <w:rsid w:val="009852B1"/>
    <w:rsid w:val="009858CE"/>
    <w:rsid w:val="0098618A"/>
    <w:rsid w:val="0098669F"/>
    <w:rsid w:val="00987405"/>
    <w:rsid w:val="00987B45"/>
    <w:rsid w:val="00990A1A"/>
    <w:rsid w:val="00990C66"/>
    <w:rsid w:val="0099142E"/>
    <w:rsid w:val="00991996"/>
    <w:rsid w:val="00991CE6"/>
    <w:rsid w:val="009923EE"/>
    <w:rsid w:val="00992B40"/>
    <w:rsid w:val="00993BA1"/>
    <w:rsid w:val="009947A8"/>
    <w:rsid w:val="00994E77"/>
    <w:rsid w:val="00995045"/>
    <w:rsid w:val="009951A7"/>
    <w:rsid w:val="00997E0E"/>
    <w:rsid w:val="009A0288"/>
    <w:rsid w:val="009A038E"/>
    <w:rsid w:val="009A0713"/>
    <w:rsid w:val="009A0F6A"/>
    <w:rsid w:val="009A127E"/>
    <w:rsid w:val="009A1307"/>
    <w:rsid w:val="009A1545"/>
    <w:rsid w:val="009A1859"/>
    <w:rsid w:val="009A1F1D"/>
    <w:rsid w:val="009A257C"/>
    <w:rsid w:val="009A2761"/>
    <w:rsid w:val="009A3338"/>
    <w:rsid w:val="009A3571"/>
    <w:rsid w:val="009A360E"/>
    <w:rsid w:val="009A3707"/>
    <w:rsid w:val="009A3B9B"/>
    <w:rsid w:val="009A3E95"/>
    <w:rsid w:val="009A3F9D"/>
    <w:rsid w:val="009A4339"/>
    <w:rsid w:val="009A5915"/>
    <w:rsid w:val="009A5BE3"/>
    <w:rsid w:val="009A7672"/>
    <w:rsid w:val="009A7768"/>
    <w:rsid w:val="009B0F76"/>
    <w:rsid w:val="009B2001"/>
    <w:rsid w:val="009B281A"/>
    <w:rsid w:val="009B2BD4"/>
    <w:rsid w:val="009B2DB0"/>
    <w:rsid w:val="009B3007"/>
    <w:rsid w:val="009B3A03"/>
    <w:rsid w:val="009B46B7"/>
    <w:rsid w:val="009B47F7"/>
    <w:rsid w:val="009B4820"/>
    <w:rsid w:val="009B4B0C"/>
    <w:rsid w:val="009B5080"/>
    <w:rsid w:val="009B51FE"/>
    <w:rsid w:val="009B6A29"/>
    <w:rsid w:val="009B6D9C"/>
    <w:rsid w:val="009B6FDC"/>
    <w:rsid w:val="009B7061"/>
    <w:rsid w:val="009B7146"/>
    <w:rsid w:val="009C0C55"/>
    <w:rsid w:val="009C0CD0"/>
    <w:rsid w:val="009C1920"/>
    <w:rsid w:val="009C2C41"/>
    <w:rsid w:val="009C383B"/>
    <w:rsid w:val="009C44D3"/>
    <w:rsid w:val="009C4784"/>
    <w:rsid w:val="009C4AB5"/>
    <w:rsid w:val="009C4B7B"/>
    <w:rsid w:val="009C5382"/>
    <w:rsid w:val="009C586D"/>
    <w:rsid w:val="009C67F9"/>
    <w:rsid w:val="009C69CA"/>
    <w:rsid w:val="009C7434"/>
    <w:rsid w:val="009C797D"/>
    <w:rsid w:val="009C7B99"/>
    <w:rsid w:val="009D0114"/>
    <w:rsid w:val="009D10A4"/>
    <w:rsid w:val="009D1478"/>
    <w:rsid w:val="009D168A"/>
    <w:rsid w:val="009D1E3E"/>
    <w:rsid w:val="009D1E63"/>
    <w:rsid w:val="009D329A"/>
    <w:rsid w:val="009D3E37"/>
    <w:rsid w:val="009D3FD2"/>
    <w:rsid w:val="009D50EF"/>
    <w:rsid w:val="009D6D30"/>
    <w:rsid w:val="009D6EF4"/>
    <w:rsid w:val="009D7BCE"/>
    <w:rsid w:val="009D7EB3"/>
    <w:rsid w:val="009E0778"/>
    <w:rsid w:val="009E077E"/>
    <w:rsid w:val="009E0A55"/>
    <w:rsid w:val="009E14DB"/>
    <w:rsid w:val="009E1C25"/>
    <w:rsid w:val="009E1C8D"/>
    <w:rsid w:val="009E2231"/>
    <w:rsid w:val="009E2952"/>
    <w:rsid w:val="009E2FDC"/>
    <w:rsid w:val="009E2FEE"/>
    <w:rsid w:val="009E3A10"/>
    <w:rsid w:val="009E45AE"/>
    <w:rsid w:val="009E53FA"/>
    <w:rsid w:val="009E5553"/>
    <w:rsid w:val="009E5E80"/>
    <w:rsid w:val="009F1173"/>
    <w:rsid w:val="009F1D7E"/>
    <w:rsid w:val="009F2B98"/>
    <w:rsid w:val="009F2D22"/>
    <w:rsid w:val="009F3439"/>
    <w:rsid w:val="009F468C"/>
    <w:rsid w:val="009F498E"/>
    <w:rsid w:val="009F6017"/>
    <w:rsid w:val="009F63DB"/>
    <w:rsid w:val="009F6DE1"/>
    <w:rsid w:val="009F7259"/>
    <w:rsid w:val="009F7976"/>
    <w:rsid w:val="00A0120E"/>
    <w:rsid w:val="00A018A8"/>
    <w:rsid w:val="00A0190E"/>
    <w:rsid w:val="00A02250"/>
    <w:rsid w:val="00A02F51"/>
    <w:rsid w:val="00A03CFE"/>
    <w:rsid w:val="00A03E12"/>
    <w:rsid w:val="00A0504E"/>
    <w:rsid w:val="00A050BF"/>
    <w:rsid w:val="00A050D9"/>
    <w:rsid w:val="00A050F2"/>
    <w:rsid w:val="00A05763"/>
    <w:rsid w:val="00A05E04"/>
    <w:rsid w:val="00A06776"/>
    <w:rsid w:val="00A07350"/>
    <w:rsid w:val="00A07CFE"/>
    <w:rsid w:val="00A10141"/>
    <w:rsid w:val="00A112EC"/>
    <w:rsid w:val="00A1272C"/>
    <w:rsid w:val="00A12781"/>
    <w:rsid w:val="00A127B6"/>
    <w:rsid w:val="00A1323D"/>
    <w:rsid w:val="00A1336B"/>
    <w:rsid w:val="00A1389C"/>
    <w:rsid w:val="00A139E4"/>
    <w:rsid w:val="00A13BE5"/>
    <w:rsid w:val="00A1549B"/>
    <w:rsid w:val="00A15705"/>
    <w:rsid w:val="00A158F8"/>
    <w:rsid w:val="00A15C6F"/>
    <w:rsid w:val="00A15FCC"/>
    <w:rsid w:val="00A16361"/>
    <w:rsid w:val="00A17811"/>
    <w:rsid w:val="00A201F5"/>
    <w:rsid w:val="00A204CA"/>
    <w:rsid w:val="00A21703"/>
    <w:rsid w:val="00A2221F"/>
    <w:rsid w:val="00A2272B"/>
    <w:rsid w:val="00A2346D"/>
    <w:rsid w:val="00A23549"/>
    <w:rsid w:val="00A23596"/>
    <w:rsid w:val="00A247C2"/>
    <w:rsid w:val="00A24C1C"/>
    <w:rsid w:val="00A2578E"/>
    <w:rsid w:val="00A25F9F"/>
    <w:rsid w:val="00A26615"/>
    <w:rsid w:val="00A267C9"/>
    <w:rsid w:val="00A2791A"/>
    <w:rsid w:val="00A27B50"/>
    <w:rsid w:val="00A27DA6"/>
    <w:rsid w:val="00A3005E"/>
    <w:rsid w:val="00A301B5"/>
    <w:rsid w:val="00A33107"/>
    <w:rsid w:val="00A33583"/>
    <w:rsid w:val="00A3460B"/>
    <w:rsid w:val="00A346ED"/>
    <w:rsid w:val="00A349FF"/>
    <w:rsid w:val="00A3551C"/>
    <w:rsid w:val="00A3566D"/>
    <w:rsid w:val="00A35985"/>
    <w:rsid w:val="00A3620C"/>
    <w:rsid w:val="00A3673C"/>
    <w:rsid w:val="00A37147"/>
    <w:rsid w:val="00A402A4"/>
    <w:rsid w:val="00A40F9B"/>
    <w:rsid w:val="00A41437"/>
    <w:rsid w:val="00A41F2B"/>
    <w:rsid w:val="00A42A7D"/>
    <w:rsid w:val="00A42CD4"/>
    <w:rsid w:val="00A43227"/>
    <w:rsid w:val="00A433CD"/>
    <w:rsid w:val="00A4447F"/>
    <w:rsid w:val="00A4458F"/>
    <w:rsid w:val="00A44729"/>
    <w:rsid w:val="00A45485"/>
    <w:rsid w:val="00A502DA"/>
    <w:rsid w:val="00A50E17"/>
    <w:rsid w:val="00A50F01"/>
    <w:rsid w:val="00A50FD0"/>
    <w:rsid w:val="00A51254"/>
    <w:rsid w:val="00A5185A"/>
    <w:rsid w:val="00A51F69"/>
    <w:rsid w:val="00A52A8F"/>
    <w:rsid w:val="00A53F07"/>
    <w:rsid w:val="00A54146"/>
    <w:rsid w:val="00A549B7"/>
    <w:rsid w:val="00A558B3"/>
    <w:rsid w:val="00A55ABC"/>
    <w:rsid w:val="00A56AA8"/>
    <w:rsid w:val="00A57790"/>
    <w:rsid w:val="00A57C98"/>
    <w:rsid w:val="00A61EC5"/>
    <w:rsid w:val="00A6341B"/>
    <w:rsid w:val="00A63A21"/>
    <w:rsid w:val="00A63BD6"/>
    <w:rsid w:val="00A63DD7"/>
    <w:rsid w:val="00A6508F"/>
    <w:rsid w:val="00A65388"/>
    <w:rsid w:val="00A658B0"/>
    <w:rsid w:val="00A65C62"/>
    <w:rsid w:val="00A670EB"/>
    <w:rsid w:val="00A674F0"/>
    <w:rsid w:val="00A67813"/>
    <w:rsid w:val="00A67AAA"/>
    <w:rsid w:val="00A67E16"/>
    <w:rsid w:val="00A716E7"/>
    <w:rsid w:val="00A729A3"/>
    <w:rsid w:val="00A735DE"/>
    <w:rsid w:val="00A74285"/>
    <w:rsid w:val="00A743D8"/>
    <w:rsid w:val="00A749E7"/>
    <w:rsid w:val="00A74DB6"/>
    <w:rsid w:val="00A74E20"/>
    <w:rsid w:val="00A758C8"/>
    <w:rsid w:val="00A75A9F"/>
    <w:rsid w:val="00A75B96"/>
    <w:rsid w:val="00A75C6C"/>
    <w:rsid w:val="00A80CEC"/>
    <w:rsid w:val="00A8227F"/>
    <w:rsid w:val="00A82B79"/>
    <w:rsid w:val="00A82BDF"/>
    <w:rsid w:val="00A82F17"/>
    <w:rsid w:val="00A831E7"/>
    <w:rsid w:val="00A83E94"/>
    <w:rsid w:val="00A83EF2"/>
    <w:rsid w:val="00A84039"/>
    <w:rsid w:val="00A846F9"/>
    <w:rsid w:val="00A8480B"/>
    <w:rsid w:val="00A85599"/>
    <w:rsid w:val="00A858CE"/>
    <w:rsid w:val="00A8639A"/>
    <w:rsid w:val="00A8640D"/>
    <w:rsid w:val="00A868B0"/>
    <w:rsid w:val="00A87783"/>
    <w:rsid w:val="00A90353"/>
    <w:rsid w:val="00A90BDE"/>
    <w:rsid w:val="00A9110E"/>
    <w:rsid w:val="00A9123D"/>
    <w:rsid w:val="00A91872"/>
    <w:rsid w:val="00A91E2B"/>
    <w:rsid w:val="00A92A5B"/>
    <w:rsid w:val="00A9314F"/>
    <w:rsid w:val="00A94C14"/>
    <w:rsid w:val="00A9543E"/>
    <w:rsid w:val="00A95E47"/>
    <w:rsid w:val="00A9777A"/>
    <w:rsid w:val="00A97E99"/>
    <w:rsid w:val="00A97EAA"/>
    <w:rsid w:val="00AA007A"/>
    <w:rsid w:val="00AA0215"/>
    <w:rsid w:val="00AA02AE"/>
    <w:rsid w:val="00AA0593"/>
    <w:rsid w:val="00AA0F48"/>
    <w:rsid w:val="00AA16ED"/>
    <w:rsid w:val="00AA18A6"/>
    <w:rsid w:val="00AA1F5D"/>
    <w:rsid w:val="00AA358F"/>
    <w:rsid w:val="00AA3ACD"/>
    <w:rsid w:val="00AA3F48"/>
    <w:rsid w:val="00AA42C3"/>
    <w:rsid w:val="00AA4303"/>
    <w:rsid w:val="00AA4981"/>
    <w:rsid w:val="00AA4A03"/>
    <w:rsid w:val="00AA4ECC"/>
    <w:rsid w:val="00AA550E"/>
    <w:rsid w:val="00AA5A34"/>
    <w:rsid w:val="00AA609F"/>
    <w:rsid w:val="00AA6B15"/>
    <w:rsid w:val="00AA78E4"/>
    <w:rsid w:val="00AB0476"/>
    <w:rsid w:val="00AB05D6"/>
    <w:rsid w:val="00AB0733"/>
    <w:rsid w:val="00AB07CC"/>
    <w:rsid w:val="00AB0E3E"/>
    <w:rsid w:val="00AB17A1"/>
    <w:rsid w:val="00AB186C"/>
    <w:rsid w:val="00AB18B8"/>
    <w:rsid w:val="00AB193E"/>
    <w:rsid w:val="00AB1FFC"/>
    <w:rsid w:val="00AB27DD"/>
    <w:rsid w:val="00AB2C53"/>
    <w:rsid w:val="00AB2EE1"/>
    <w:rsid w:val="00AB3A92"/>
    <w:rsid w:val="00AB564C"/>
    <w:rsid w:val="00AB66BA"/>
    <w:rsid w:val="00AB6800"/>
    <w:rsid w:val="00AC0708"/>
    <w:rsid w:val="00AC1383"/>
    <w:rsid w:val="00AC1D66"/>
    <w:rsid w:val="00AC2AA4"/>
    <w:rsid w:val="00AC3043"/>
    <w:rsid w:val="00AC33D6"/>
    <w:rsid w:val="00AC42F7"/>
    <w:rsid w:val="00AC47BD"/>
    <w:rsid w:val="00AC5624"/>
    <w:rsid w:val="00AC595C"/>
    <w:rsid w:val="00AC6032"/>
    <w:rsid w:val="00AC6D76"/>
    <w:rsid w:val="00AC7BD0"/>
    <w:rsid w:val="00AD0234"/>
    <w:rsid w:val="00AD05E9"/>
    <w:rsid w:val="00AD0723"/>
    <w:rsid w:val="00AD0C72"/>
    <w:rsid w:val="00AD0D75"/>
    <w:rsid w:val="00AD15FF"/>
    <w:rsid w:val="00AD267E"/>
    <w:rsid w:val="00AD27AE"/>
    <w:rsid w:val="00AD28A7"/>
    <w:rsid w:val="00AD2C96"/>
    <w:rsid w:val="00AD2CDD"/>
    <w:rsid w:val="00AD3372"/>
    <w:rsid w:val="00AD3AED"/>
    <w:rsid w:val="00AD50F2"/>
    <w:rsid w:val="00AD519D"/>
    <w:rsid w:val="00AD523A"/>
    <w:rsid w:val="00AD5967"/>
    <w:rsid w:val="00AD6B08"/>
    <w:rsid w:val="00AD6B0F"/>
    <w:rsid w:val="00AD7551"/>
    <w:rsid w:val="00AD7699"/>
    <w:rsid w:val="00AE0410"/>
    <w:rsid w:val="00AE05F5"/>
    <w:rsid w:val="00AE0A74"/>
    <w:rsid w:val="00AE157D"/>
    <w:rsid w:val="00AE1969"/>
    <w:rsid w:val="00AE26F5"/>
    <w:rsid w:val="00AE2EC4"/>
    <w:rsid w:val="00AE3254"/>
    <w:rsid w:val="00AE4CC4"/>
    <w:rsid w:val="00AE51FE"/>
    <w:rsid w:val="00AE5D5C"/>
    <w:rsid w:val="00AE6A84"/>
    <w:rsid w:val="00AE6EB9"/>
    <w:rsid w:val="00AF08C3"/>
    <w:rsid w:val="00AF0D3B"/>
    <w:rsid w:val="00AF0FAC"/>
    <w:rsid w:val="00AF39D7"/>
    <w:rsid w:val="00AF4149"/>
    <w:rsid w:val="00AF4634"/>
    <w:rsid w:val="00AF47FC"/>
    <w:rsid w:val="00AF4B96"/>
    <w:rsid w:val="00AF52D0"/>
    <w:rsid w:val="00AF66B6"/>
    <w:rsid w:val="00AF6CDF"/>
    <w:rsid w:val="00AF7E82"/>
    <w:rsid w:val="00B004FD"/>
    <w:rsid w:val="00B00623"/>
    <w:rsid w:val="00B01234"/>
    <w:rsid w:val="00B026AA"/>
    <w:rsid w:val="00B036A5"/>
    <w:rsid w:val="00B03AD1"/>
    <w:rsid w:val="00B07D3E"/>
    <w:rsid w:val="00B105ED"/>
    <w:rsid w:val="00B11654"/>
    <w:rsid w:val="00B11E03"/>
    <w:rsid w:val="00B120AF"/>
    <w:rsid w:val="00B12376"/>
    <w:rsid w:val="00B12558"/>
    <w:rsid w:val="00B12978"/>
    <w:rsid w:val="00B135AB"/>
    <w:rsid w:val="00B138AC"/>
    <w:rsid w:val="00B13D06"/>
    <w:rsid w:val="00B148F6"/>
    <w:rsid w:val="00B15A99"/>
    <w:rsid w:val="00B15DBF"/>
    <w:rsid w:val="00B16120"/>
    <w:rsid w:val="00B16637"/>
    <w:rsid w:val="00B167F6"/>
    <w:rsid w:val="00B16A22"/>
    <w:rsid w:val="00B16EA4"/>
    <w:rsid w:val="00B16EFC"/>
    <w:rsid w:val="00B17489"/>
    <w:rsid w:val="00B2005C"/>
    <w:rsid w:val="00B20AE9"/>
    <w:rsid w:val="00B20B07"/>
    <w:rsid w:val="00B20E54"/>
    <w:rsid w:val="00B22184"/>
    <w:rsid w:val="00B22605"/>
    <w:rsid w:val="00B2341F"/>
    <w:rsid w:val="00B236BE"/>
    <w:rsid w:val="00B24318"/>
    <w:rsid w:val="00B246F1"/>
    <w:rsid w:val="00B2576B"/>
    <w:rsid w:val="00B26136"/>
    <w:rsid w:val="00B26AC0"/>
    <w:rsid w:val="00B272F0"/>
    <w:rsid w:val="00B27B2D"/>
    <w:rsid w:val="00B30624"/>
    <w:rsid w:val="00B30A0C"/>
    <w:rsid w:val="00B30EF8"/>
    <w:rsid w:val="00B30FA5"/>
    <w:rsid w:val="00B31429"/>
    <w:rsid w:val="00B323B1"/>
    <w:rsid w:val="00B3244F"/>
    <w:rsid w:val="00B3247C"/>
    <w:rsid w:val="00B32770"/>
    <w:rsid w:val="00B33379"/>
    <w:rsid w:val="00B33C32"/>
    <w:rsid w:val="00B33CA6"/>
    <w:rsid w:val="00B34F2B"/>
    <w:rsid w:val="00B36868"/>
    <w:rsid w:val="00B37388"/>
    <w:rsid w:val="00B373A5"/>
    <w:rsid w:val="00B37CC9"/>
    <w:rsid w:val="00B412F1"/>
    <w:rsid w:val="00B41C18"/>
    <w:rsid w:val="00B42241"/>
    <w:rsid w:val="00B42736"/>
    <w:rsid w:val="00B42C5D"/>
    <w:rsid w:val="00B43E79"/>
    <w:rsid w:val="00B43E8A"/>
    <w:rsid w:val="00B43FAB"/>
    <w:rsid w:val="00B44114"/>
    <w:rsid w:val="00B4445F"/>
    <w:rsid w:val="00B44F19"/>
    <w:rsid w:val="00B44F4C"/>
    <w:rsid w:val="00B45E36"/>
    <w:rsid w:val="00B46B22"/>
    <w:rsid w:val="00B47381"/>
    <w:rsid w:val="00B475C6"/>
    <w:rsid w:val="00B50247"/>
    <w:rsid w:val="00B51418"/>
    <w:rsid w:val="00B515D0"/>
    <w:rsid w:val="00B51654"/>
    <w:rsid w:val="00B519C2"/>
    <w:rsid w:val="00B519E7"/>
    <w:rsid w:val="00B52356"/>
    <w:rsid w:val="00B53760"/>
    <w:rsid w:val="00B53DB4"/>
    <w:rsid w:val="00B547C7"/>
    <w:rsid w:val="00B550C8"/>
    <w:rsid w:val="00B5547A"/>
    <w:rsid w:val="00B5602A"/>
    <w:rsid w:val="00B560F7"/>
    <w:rsid w:val="00B56B6A"/>
    <w:rsid w:val="00B56D58"/>
    <w:rsid w:val="00B570A0"/>
    <w:rsid w:val="00B5721A"/>
    <w:rsid w:val="00B57291"/>
    <w:rsid w:val="00B575FB"/>
    <w:rsid w:val="00B609A4"/>
    <w:rsid w:val="00B61492"/>
    <w:rsid w:val="00B61C75"/>
    <w:rsid w:val="00B62206"/>
    <w:rsid w:val="00B63009"/>
    <w:rsid w:val="00B63278"/>
    <w:rsid w:val="00B63A82"/>
    <w:rsid w:val="00B6462D"/>
    <w:rsid w:val="00B64ADB"/>
    <w:rsid w:val="00B64CE8"/>
    <w:rsid w:val="00B65246"/>
    <w:rsid w:val="00B6527F"/>
    <w:rsid w:val="00B65D4E"/>
    <w:rsid w:val="00B66279"/>
    <w:rsid w:val="00B669B9"/>
    <w:rsid w:val="00B67353"/>
    <w:rsid w:val="00B67EAD"/>
    <w:rsid w:val="00B70475"/>
    <w:rsid w:val="00B70D0C"/>
    <w:rsid w:val="00B70EC5"/>
    <w:rsid w:val="00B710B1"/>
    <w:rsid w:val="00B71B1D"/>
    <w:rsid w:val="00B726A3"/>
    <w:rsid w:val="00B72D4D"/>
    <w:rsid w:val="00B73614"/>
    <w:rsid w:val="00B737E0"/>
    <w:rsid w:val="00B741B7"/>
    <w:rsid w:val="00B74964"/>
    <w:rsid w:val="00B74FAF"/>
    <w:rsid w:val="00B75370"/>
    <w:rsid w:val="00B753ED"/>
    <w:rsid w:val="00B755F3"/>
    <w:rsid w:val="00B75DCA"/>
    <w:rsid w:val="00B76F9A"/>
    <w:rsid w:val="00B801FC"/>
    <w:rsid w:val="00B81E1B"/>
    <w:rsid w:val="00B821EE"/>
    <w:rsid w:val="00B835D4"/>
    <w:rsid w:val="00B83844"/>
    <w:rsid w:val="00B83C22"/>
    <w:rsid w:val="00B83D1A"/>
    <w:rsid w:val="00B83E5A"/>
    <w:rsid w:val="00B843EB"/>
    <w:rsid w:val="00B84CA6"/>
    <w:rsid w:val="00B85163"/>
    <w:rsid w:val="00B853E8"/>
    <w:rsid w:val="00B85451"/>
    <w:rsid w:val="00B85733"/>
    <w:rsid w:val="00B85A5A"/>
    <w:rsid w:val="00B8640A"/>
    <w:rsid w:val="00B864E1"/>
    <w:rsid w:val="00B86526"/>
    <w:rsid w:val="00B86EA5"/>
    <w:rsid w:val="00B87D3C"/>
    <w:rsid w:val="00B90DF8"/>
    <w:rsid w:val="00B92070"/>
    <w:rsid w:val="00B92ACA"/>
    <w:rsid w:val="00B93765"/>
    <w:rsid w:val="00B942DE"/>
    <w:rsid w:val="00B94941"/>
    <w:rsid w:val="00B952A6"/>
    <w:rsid w:val="00B95F15"/>
    <w:rsid w:val="00BA0DE2"/>
    <w:rsid w:val="00BA0FD9"/>
    <w:rsid w:val="00BA1DB2"/>
    <w:rsid w:val="00BA221B"/>
    <w:rsid w:val="00BA2FE8"/>
    <w:rsid w:val="00BA348A"/>
    <w:rsid w:val="00BA3EE6"/>
    <w:rsid w:val="00BA4188"/>
    <w:rsid w:val="00BA41D5"/>
    <w:rsid w:val="00BA44DA"/>
    <w:rsid w:val="00BA4C22"/>
    <w:rsid w:val="00BA5CBD"/>
    <w:rsid w:val="00BA5D09"/>
    <w:rsid w:val="00BA5F60"/>
    <w:rsid w:val="00BA68CC"/>
    <w:rsid w:val="00BA7857"/>
    <w:rsid w:val="00BB051F"/>
    <w:rsid w:val="00BB0E52"/>
    <w:rsid w:val="00BB0F5B"/>
    <w:rsid w:val="00BB1043"/>
    <w:rsid w:val="00BB16CC"/>
    <w:rsid w:val="00BB22F5"/>
    <w:rsid w:val="00BB23D2"/>
    <w:rsid w:val="00BB252C"/>
    <w:rsid w:val="00BB2E17"/>
    <w:rsid w:val="00BB4694"/>
    <w:rsid w:val="00BB508C"/>
    <w:rsid w:val="00BB62C2"/>
    <w:rsid w:val="00BB6422"/>
    <w:rsid w:val="00BB789F"/>
    <w:rsid w:val="00BB7D61"/>
    <w:rsid w:val="00BC03FD"/>
    <w:rsid w:val="00BC0900"/>
    <w:rsid w:val="00BC13B7"/>
    <w:rsid w:val="00BC1697"/>
    <w:rsid w:val="00BC1F10"/>
    <w:rsid w:val="00BC24BC"/>
    <w:rsid w:val="00BC27BA"/>
    <w:rsid w:val="00BC2E24"/>
    <w:rsid w:val="00BC2F0C"/>
    <w:rsid w:val="00BC3B1A"/>
    <w:rsid w:val="00BC3B2B"/>
    <w:rsid w:val="00BC3E81"/>
    <w:rsid w:val="00BC459D"/>
    <w:rsid w:val="00BC5D7D"/>
    <w:rsid w:val="00BC790E"/>
    <w:rsid w:val="00BD000E"/>
    <w:rsid w:val="00BD1150"/>
    <w:rsid w:val="00BD1177"/>
    <w:rsid w:val="00BD1B05"/>
    <w:rsid w:val="00BD2541"/>
    <w:rsid w:val="00BD409F"/>
    <w:rsid w:val="00BD4A81"/>
    <w:rsid w:val="00BD503B"/>
    <w:rsid w:val="00BD64C0"/>
    <w:rsid w:val="00BD64FC"/>
    <w:rsid w:val="00BD68CF"/>
    <w:rsid w:val="00BD7618"/>
    <w:rsid w:val="00BE060F"/>
    <w:rsid w:val="00BE0689"/>
    <w:rsid w:val="00BE15EF"/>
    <w:rsid w:val="00BE20AE"/>
    <w:rsid w:val="00BE232E"/>
    <w:rsid w:val="00BE23FC"/>
    <w:rsid w:val="00BE27BB"/>
    <w:rsid w:val="00BE2D90"/>
    <w:rsid w:val="00BE499C"/>
    <w:rsid w:val="00BE4E4D"/>
    <w:rsid w:val="00BE4FCD"/>
    <w:rsid w:val="00BE50E0"/>
    <w:rsid w:val="00BE518A"/>
    <w:rsid w:val="00BE54C9"/>
    <w:rsid w:val="00BE5743"/>
    <w:rsid w:val="00BF0031"/>
    <w:rsid w:val="00BF1551"/>
    <w:rsid w:val="00BF189E"/>
    <w:rsid w:val="00BF29BC"/>
    <w:rsid w:val="00BF2DAF"/>
    <w:rsid w:val="00BF2E53"/>
    <w:rsid w:val="00BF3A1D"/>
    <w:rsid w:val="00BF3C37"/>
    <w:rsid w:val="00BF4D7A"/>
    <w:rsid w:val="00BF4E28"/>
    <w:rsid w:val="00BF4E69"/>
    <w:rsid w:val="00BF57C7"/>
    <w:rsid w:val="00BF5B4E"/>
    <w:rsid w:val="00BF6A4D"/>
    <w:rsid w:val="00BF6B2F"/>
    <w:rsid w:val="00BF77E2"/>
    <w:rsid w:val="00BF7846"/>
    <w:rsid w:val="00BF7DA6"/>
    <w:rsid w:val="00C00150"/>
    <w:rsid w:val="00C015D4"/>
    <w:rsid w:val="00C01890"/>
    <w:rsid w:val="00C01DBB"/>
    <w:rsid w:val="00C02A85"/>
    <w:rsid w:val="00C02AEB"/>
    <w:rsid w:val="00C02EF6"/>
    <w:rsid w:val="00C02FE0"/>
    <w:rsid w:val="00C03D14"/>
    <w:rsid w:val="00C04768"/>
    <w:rsid w:val="00C0505E"/>
    <w:rsid w:val="00C06CB8"/>
    <w:rsid w:val="00C0713B"/>
    <w:rsid w:val="00C07ED8"/>
    <w:rsid w:val="00C10A78"/>
    <w:rsid w:val="00C10B97"/>
    <w:rsid w:val="00C10D91"/>
    <w:rsid w:val="00C117BD"/>
    <w:rsid w:val="00C12676"/>
    <w:rsid w:val="00C12E68"/>
    <w:rsid w:val="00C12EB5"/>
    <w:rsid w:val="00C131FC"/>
    <w:rsid w:val="00C133D5"/>
    <w:rsid w:val="00C1363C"/>
    <w:rsid w:val="00C13A8B"/>
    <w:rsid w:val="00C13D40"/>
    <w:rsid w:val="00C13F91"/>
    <w:rsid w:val="00C14B7F"/>
    <w:rsid w:val="00C150EE"/>
    <w:rsid w:val="00C153D1"/>
    <w:rsid w:val="00C1571B"/>
    <w:rsid w:val="00C1617D"/>
    <w:rsid w:val="00C1634F"/>
    <w:rsid w:val="00C16753"/>
    <w:rsid w:val="00C1676F"/>
    <w:rsid w:val="00C170DE"/>
    <w:rsid w:val="00C2056F"/>
    <w:rsid w:val="00C20691"/>
    <w:rsid w:val="00C20DE0"/>
    <w:rsid w:val="00C21859"/>
    <w:rsid w:val="00C21C44"/>
    <w:rsid w:val="00C2282D"/>
    <w:rsid w:val="00C235FF"/>
    <w:rsid w:val="00C23B23"/>
    <w:rsid w:val="00C23D44"/>
    <w:rsid w:val="00C246BD"/>
    <w:rsid w:val="00C25477"/>
    <w:rsid w:val="00C26412"/>
    <w:rsid w:val="00C267AF"/>
    <w:rsid w:val="00C26BE8"/>
    <w:rsid w:val="00C26E71"/>
    <w:rsid w:val="00C301B3"/>
    <w:rsid w:val="00C30984"/>
    <w:rsid w:val="00C31934"/>
    <w:rsid w:val="00C33303"/>
    <w:rsid w:val="00C333CC"/>
    <w:rsid w:val="00C3372A"/>
    <w:rsid w:val="00C33754"/>
    <w:rsid w:val="00C34B32"/>
    <w:rsid w:val="00C34CC1"/>
    <w:rsid w:val="00C35033"/>
    <w:rsid w:val="00C360B5"/>
    <w:rsid w:val="00C36400"/>
    <w:rsid w:val="00C3731C"/>
    <w:rsid w:val="00C37D8F"/>
    <w:rsid w:val="00C37E72"/>
    <w:rsid w:val="00C407E5"/>
    <w:rsid w:val="00C40B84"/>
    <w:rsid w:val="00C4155F"/>
    <w:rsid w:val="00C427AF"/>
    <w:rsid w:val="00C42E2B"/>
    <w:rsid w:val="00C43A4E"/>
    <w:rsid w:val="00C43C43"/>
    <w:rsid w:val="00C4499D"/>
    <w:rsid w:val="00C44EAB"/>
    <w:rsid w:val="00C44F18"/>
    <w:rsid w:val="00C45382"/>
    <w:rsid w:val="00C4599B"/>
    <w:rsid w:val="00C45A16"/>
    <w:rsid w:val="00C45C79"/>
    <w:rsid w:val="00C463DB"/>
    <w:rsid w:val="00C50A3B"/>
    <w:rsid w:val="00C50B28"/>
    <w:rsid w:val="00C51344"/>
    <w:rsid w:val="00C514F2"/>
    <w:rsid w:val="00C53CFD"/>
    <w:rsid w:val="00C54A2A"/>
    <w:rsid w:val="00C558B0"/>
    <w:rsid w:val="00C56265"/>
    <w:rsid w:val="00C56522"/>
    <w:rsid w:val="00C56594"/>
    <w:rsid w:val="00C60366"/>
    <w:rsid w:val="00C6105B"/>
    <w:rsid w:val="00C62C14"/>
    <w:rsid w:val="00C64716"/>
    <w:rsid w:val="00C64B7C"/>
    <w:rsid w:val="00C64D0A"/>
    <w:rsid w:val="00C65BD0"/>
    <w:rsid w:val="00C65D52"/>
    <w:rsid w:val="00C66690"/>
    <w:rsid w:val="00C666BF"/>
    <w:rsid w:val="00C66D1F"/>
    <w:rsid w:val="00C67EF5"/>
    <w:rsid w:val="00C70C44"/>
    <w:rsid w:val="00C70E09"/>
    <w:rsid w:val="00C71B94"/>
    <w:rsid w:val="00C7213F"/>
    <w:rsid w:val="00C72237"/>
    <w:rsid w:val="00C72652"/>
    <w:rsid w:val="00C73339"/>
    <w:rsid w:val="00C7540B"/>
    <w:rsid w:val="00C75618"/>
    <w:rsid w:val="00C7571C"/>
    <w:rsid w:val="00C7666D"/>
    <w:rsid w:val="00C767E2"/>
    <w:rsid w:val="00C76FC3"/>
    <w:rsid w:val="00C8006C"/>
    <w:rsid w:val="00C80DB1"/>
    <w:rsid w:val="00C81ADB"/>
    <w:rsid w:val="00C82AFF"/>
    <w:rsid w:val="00C82F12"/>
    <w:rsid w:val="00C83E2C"/>
    <w:rsid w:val="00C84AE2"/>
    <w:rsid w:val="00C84C61"/>
    <w:rsid w:val="00C85E33"/>
    <w:rsid w:val="00C86A33"/>
    <w:rsid w:val="00C87708"/>
    <w:rsid w:val="00C90274"/>
    <w:rsid w:val="00C9092C"/>
    <w:rsid w:val="00C90AFF"/>
    <w:rsid w:val="00C917E0"/>
    <w:rsid w:val="00C9207E"/>
    <w:rsid w:val="00C92550"/>
    <w:rsid w:val="00C9256D"/>
    <w:rsid w:val="00C927CF"/>
    <w:rsid w:val="00C9382F"/>
    <w:rsid w:val="00C93E8B"/>
    <w:rsid w:val="00C94366"/>
    <w:rsid w:val="00C94A55"/>
    <w:rsid w:val="00C94B62"/>
    <w:rsid w:val="00C951BB"/>
    <w:rsid w:val="00C95AB1"/>
    <w:rsid w:val="00C96526"/>
    <w:rsid w:val="00C97401"/>
    <w:rsid w:val="00C978F8"/>
    <w:rsid w:val="00CA1011"/>
    <w:rsid w:val="00CA1088"/>
    <w:rsid w:val="00CA1A2F"/>
    <w:rsid w:val="00CA2260"/>
    <w:rsid w:val="00CA33FB"/>
    <w:rsid w:val="00CA3BE4"/>
    <w:rsid w:val="00CA4DEE"/>
    <w:rsid w:val="00CA591B"/>
    <w:rsid w:val="00CA5F8C"/>
    <w:rsid w:val="00CA6285"/>
    <w:rsid w:val="00CA6964"/>
    <w:rsid w:val="00CA699B"/>
    <w:rsid w:val="00CA701F"/>
    <w:rsid w:val="00CB1432"/>
    <w:rsid w:val="00CB1D56"/>
    <w:rsid w:val="00CB2915"/>
    <w:rsid w:val="00CB359C"/>
    <w:rsid w:val="00CB35EA"/>
    <w:rsid w:val="00CB3A1B"/>
    <w:rsid w:val="00CB3C02"/>
    <w:rsid w:val="00CB4A8B"/>
    <w:rsid w:val="00CB4FA8"/>
    <w:rsid w:val="00CB505B"/>
    <w:rsid w:val="00CB509A"/>
    <w:rsid w:val="00CB5553"/>
    <w:rsid w:val="00CB598C"/>
    <w:rsid w:val="00CB60B4"/>
    <w:rsid w:val="00CB65F4"/>
    <w:rsid w:val="00CB67B3"/>
    <w:rsid w:val="00CB7AB8"/>
    <w:rsid w:val="00CB7DB3"/>
    <w:rsid w:val="00CB7E37"/>
    <w:rsid w:val="00CC0175"/>
    <w:rsid w:val="00CC1367"/>
    <w:rsid w:val="00CC2961"/>
    <w:rsid w:val="00CC2972"/>
    <w:rsid w:val="00CC3DC2"/>
    <w:rsid w:val="00CC4E22"/>
    <w:rsid w:val="00CC7885"/>
    <w:rsid w:val="00CC7964"/>
    <w:rsid w:val="00CC7C41"/>
    <w:rsid w:val="00CC7D14"/>
    <w:rsid w:val="00CD0AC7"/>
    <w:rsid w:val="00CD1191"/>
    <w:rsid w:val="00CD1245"/>
    <w:rsid w:val="00CD12EC"/>
    <w:rsid w:val="00CD1670"/>
    <w:rsid w:val="00CD1A8A"/>
    <w:rsid w:val="00CD2285"/>
    <w:rsid w:val="00CD2C5D"/>
    <w:rsid w:val="00CD2D87"/>
    <w:rsid w:val="00CD3012"/>
    <w:rsid w:val="00CD45EE"/>
    <w:rsid w:val="00CD4A2C"/>
    <w:rsid w:val="00CD4F90"/>
    <w:rsid w:val="00CD5138"/>
    <w:rsid w:val="00CD547C"/>
    <w:rsid w:val="00CD5540"/>
    <w:rsid w:val="00CD627F"/>
    <w:rsid w:val="00CE02D3"/>
    <w:rsid w:val="00CE0819"/>
    <w:rsid w:val="00CE0980"/>
    <w:rsid w:val="00CE1162"/>
    <w:rsid w:val="00CE3152"/>
    <w:rsid w:val="00CE3156"/>
    <w:rsid w:val="00CE4E98"/>
    <w:rsid w:val="00CE504D"/>
    <w:rsid w:val="00CE553F"/>
    <w:rsid w:val="00CE6AC1"/>
    <w:rsid w:val="00CE6BBC"/>
    <w:rsid w:val="00CE6E60"/>
    <w:rsid w:val="00CE7CEC"/>
    <w:rsid w:val="00CE7F6C"/>
    <w:rsid w:val="00CF02E3"/>
    <w:rsid w:val="00CF038D"/>
    <w:rsid w:val="00CF0961"/>
    <w:rsid w:val="00CF2F31"/>
    <w:rsid w:val="00CF3C0F"/>
    <w:rsid w:val="00CF3EEB"/>
    <w:rsid w:val="00CF41DC"/>
    <w:rsid w:val="00CF42EF"/>
    <w:rsid w:val="00CF4E36"/>
    <w:rsid w:val="00CF5028"/>
    <w:rsid w:val="00CF5659"/>
    <w:rsid w:val="00CF62EF"/>
    <w:rsid w:val="00CF74BD"/>
    <w:rsid w:val="00CF7C28"/>
    <w:rsid w:val="00D004BF"/>
    <w:rsid w:val="00D008A5"/>
    <w:rsid w:val="00D00D9B"/>
    <w:rsid w:val="00D015D9"/>
    <w:rsid w:val="00D02F26"/>
    <w:rsid w:val="00D044F1"/>
    <w:rsid w:val="00D05E4B"/>
    <w:rsid w:val="00D07905"/>
    <w:rsid w:val="00D07B20"/>
    <w:rsid w:val="00D10E8F"/>
    <w:rsid w:val="00D10FDE"/>
    <w:rsid w:val="00D11706"/>
    <w:rsid w:val="00D11CAA"/>
    <w:rsid w:val="00D13021"/>
    <w:rsid w:val="00D13393"/>
    <w:rsid w:val="00D1383D"/>
    <w:rsid w:val="00D13D44"/>
    <w:rsid w:val="00D151DE"/>
    <w:rsid w:val="00D16235"/>
    <w:rsid w:val="00D162FB"/>
    <w:rsid w:val="00D16380"/>
    <w:rsid w:val="00D16763"/>
    <w:rsid w:val="00D1704D"/>
    <w:rsid w:val="00D17591"/>
    <w:rsid w:val="00D17E7C"/>
    <w:rsid w:val="00D206D1"/>
    <w:rsid w:val="00D20E4F"/>
    <w:rsid w:val="00D21A09"/>
    <w:rsid w:val="00D2249C"/>
    <w:rsid w:val="00D22E41"/>
    <w:rsid w:val="00D25234"/>
    <w:rsid w:val="00D259D5"/>
    <w:rsid w:val="00D25C87"/>
    <w:rsid w:val="00D25FE3"/>
    <w:rsid w:val="00D261D6"/>
    <w:rsid w:val="00D27708"/>
    <w:rsid w:val="00D27F2A"/>
    <w:rsid w:val="00D3005E"/>
    <w:rsid w:val="00D30F17"/>
    <w:rsid w:val="00D31401"/>
    <w:rsid w:val="00D319CE"/>
    <w:rsid w:val="00D31C78"/>
    <w:rsid w:val="00D31EC5"/>
    <w:rsid w:val="00D329AF"/>
    <w:rsid w:val="00D32A05"/>
    <w:rsid w:val="00D33180"/>
    <w:rsid w:val="00D334D9"/>
    <w:rsid w:val="00D339D4"/>
    <w:rsid w:val="00D33BA5"/>
    <w:rsid w:val="00D343D5"/>
    <w:rsid w:val="00D35549"/>
    <w:rsid w:val="00D35F35"/>
    <w:rsid w:val="00D36491"/>
    <w:rsid w:val="00D36B6E"/>
    <w:rsid w:val="00D36BDE"/>
    <w:rsid w:val="00D4015D"/>
    <w:rsid w:val="00D4089B"/>
    <w:rsid w:val="00D40ECA"/>
    <w:rsid w:val="00D41734"/>
    <w:rsid w:val="00D41987"/>
    <w:rsid w:val="00D4286B"/>
    <w:rsid w:val="00D42E0C"/>
    <w:rsid w:val="00D42E26"/>
    <w:rsid w:val="00D43224"/>
    <w:rsid w:val="00D43AE4"/>
    <w:rsid w:val="00D44016"/>
    <w:rsid w:val="00D44626"/>
    <w:rsid w:val="00D44A56"/>
    <w:rsid w:val="00D4506D"/>
    <w:rsid w:val="00D4530D"/>
    <w:rsid w:val="00D455AE"/>
    <w:rsid w:val="00D477AC"/>
    <w:rsid w:val="00D47847"/>
    <w:rsid w:val="00D47A2C"/>
    <w:rsid w:val="00D50544"/>
    <w:rsid w:val="00D50704"/>
    <w:rsid w:val="00D511B2"/>
    <w:rsid w:val="00D513F3"/>
    <w:rsid w:val="00D51A5A"/>
    <w:rsid w:val="00D5206E"/>
    <w:rsid w:val="00D520C4"/>
    <w:rsid w:val="00D5285C"/>
    <w:rsid w:val="00D5299D"/>
    <w:rsid w:val="00D53246"/>
    <w:rsid w:val="00D5420B"/>
    <w:rsid w:val="00D544CC"/>
    <w:rsid w:val="00D544FB"/>
    <w:rsid w:val="00D54B7D"/>
    <w:rsid w:val="00D54C04"/>
    <w:rsid w:val="00D56BDE"/>
    <w:rsid w:val="00D57497"/>
    <w:rsid w:val="00D5766C"/>
    <w:rsid w:val="00D57C25"/>
    <w:rsid w:val="00D604C5"/>
    <w:rsid w:val="00D60A5C"/>
    <w:rsid w:val="00D6115A"/>
    <w:rsid w:val="00D62150"/>
    <w:rsid w:val="00D621FD"/>
    <w:rsid w:val="00D62C2E"/>
    <w:rsid w:val="00D6493F"/>
    <w:rsid w:val="00D65345"/>
    <w:rsid w:val="00D65B60"/>
    <w:rsid w:val="00D65EEB"/>
    <w:rsid w:val="00D66014"/>
    <w:rsid w:val="00D675C6"/>
    <w:rsid w:val="00D67830"/>
    <w:rsid w:val="00D67D2E"/>
    <w:rsid w:val="00D70905"/>
    <w:rsid w:val="00D7152F"/>
    <w:rsid w:val="00D71641"/>
    <w:rsid w:val="00D72FCC"/>
    <w:rsid w:val="00D73B05"/>
    <w:rsid w:val="00D744B1"/>
    <w:rsid w:val="00D751BB"/>
    <w:rsid w:val="00D76105"/>
    <w:rsid w:val="00D774A2"/>
    <w:rsid w:val="00D77B8A"/>
    <w:rsid w:val="00D802EE"/>
    <w:rsid w:val="00D80F54"/>
    <w:rsid w:val="00D81C21"/>
    <w:rsid w:val="00D81CB9"/>
    <w:rsid w:val="00D82EF7"/>
    <w:rsid w:val="00D84B3E"/>
    <w:rsid w:val="00D855AD"/>
    <w:rsid w:val="00D8575A"/>
    <w:rsid w:val="00D8617D"/>
    <w:rsid w:val="00D87659"/>
    <w:rsid w:val="00D87834"/>
    <w:rsid w:val="00D87A7E"/>
    <w:rsid w:val="00D90032"/>
    <w:rsid w:val="00D90A77"/>
    <w:rsid w:val="00D91C51"/>
    <w:rsid w:val="00D91E87"/>
    <w:rsid w:val="00D91F9D"/>
    <w:rsid w:val="00D922BF"/>
    <w:rsid w:val="00D928C0"/>
    <w:rsid w:val="00D93057"/>
    <w:rsid w:val="00D93167"/>
    <w:rsid w:val="00D931ED"/>
    <w:rsid w:val="00D93411"/>
    <w:rsid w:val="00D93ACC"/>
    <w:rsid w:val="00D93FD4"/>
    <w:rsid w:val="00D94246"/>
    <w:rsid w:val="00D959FD"/>
    <w:rsid w:val="00D9673A"/>
    <w:rsid w:val="00D97621"/>
    <w:rsid w:val="00DA0622"/>
    <w:rsid w:val="00DA0FE8"/>
    <w:rsid w:val="00DA188B"/>
    <w:rsid w:val="00DA2481"/>
    <w:rsid w:val="00DA284C"/>
    <w:rsid w:val="00DA2FCD"/>
    <w:rsid w:val="00DA3B06"/>
    <w:rsid w:val="00DA4062"/>
    <w:rsid w:val="00DA4EA0"/>
    <w:rsid w:val="00DA4EF4"/>
    <w:rsid w:val="00DA520D"/>
    <w:rsid w:val="00DA5A22"/>
    <w:rsid w:val="00DA5B61"/>
    <w:rsid w:val="00DA5EBF"/>
    <w:rsid w:val="00DA6008"/>
    <w:rsid w:val="00DA611D"/>
    <w:rsid w:val="00DB1673"/>
    <w:rsid w:val="00DB1EE8"/>
    <w:rsid w:val="00DB22B4"/>
    <w:rsid w:val="00DB3DA9"/>
    <w:rsid w:val="00DB4DF6"/>
    <w:rsid w:val="00DB5301"/>
    <w:rsid w:val="00DB5387"/>
    <w:rsid w:val="00DB5501"/>
    <w:rsid w:val="00DB60B8"/>
    <w:rsid w:val="00DB65B4"/>
    <w:rsid w:val="00DB6802"/>
    <w:rsid w:val="00DB751B"/>
    <w:rsid w:val="00DB7F79"/>
    <w:rsid w:val="00DC0043"/>
    <w:rsid w:val="00DC030A"/>
    <w:rsid w:val="00DC0499"/>
    <w:rsid w:val="00DC04E3"/>
    <w:rsid w:val="00DC13E0"/>
    <w:rsid w:val="00DC1937"/>
    <w:rsid w:val="00DC2708"/>
    <w:rsid w:val="00DC2C53"/>
    <w:rsid w:val="00DC30E1"/>
    <w:rsid w:val="00DC33E9"/>
    <w:rsid w:val="00DC36F1"/>
    <w:rsid w:val="00DC4C07"/>
    <w:rsid w:val="00DC4FEC"/>
    <w:rsid w:val="00DC6071"/>
    <w:rsid w:val="00DC6464"/>
    <w:rsid w:val="00DC7065"/>
    <w:rsid w:val="00DC7363"/>
    <w:rsid w:val="00DC782D"/>
    <w:rsid w:val="00DD030F"/>
    <w:rsid w:val="00DD05FA"/>
    <w:rsid w:val="00DD09A4"/>
    <w:rsid w:val="00DD1E25"/>
    <w:rsid w:val="00DD2637"/>
    <w:rsid w:val="00DD26ED"/>
    <w:rsid w:val="00DD33C7"/>
    <w:rsid w:val="00DD3875"/>
    <w:rsid w:val="00DD441A"/>
    <w:rsid w:val="00DD4B36"/>
    <w:rsid w:val="00DD53DC"/>
    <w:rsid w:val="00DD5A8A"/>
    <w:rsid w:val="00DD5F25"/>
    <w:rsid w:val="00DD6079"/>
    <w:rsid w:val="00DD6C91"/>
    <w:rsid w:val="00DD71EB"/>
    <w:rsid w:val="00DD7279"/>
    <w:rsid w:val="00DD7D13"/>
    <w:rsid w:val="00DE071C"/>
    <w:rsid w:val="00DE0DB9"/>
    <w:rsid w:val="00DE129F"/>
    <w:rsid w:val="00DE1515"/>
    <w:rsid w:val="00DE1A21"/>
    <w:rsid w:val="00DE1EDF"/>
    <w:rsid w:val="00DE21B0"/>
    <w:rsid w:val="00DE23E5"/>
    <w:rsid w:val="00DE25E3"/>
    <w:rsid w:val="00DE3724"/>
    <w:rsid w:val="00DE4351"/>
    <w:rsid w:val="00DE4685"/>
    <w:rsid w:val="00DE4CC9"/>
    <w:rsid w:val="00DE4E3A"/>
    <w:rsid w:val="00DE6208"/>
    <w:rsid w:val="00DE6BB7"/>
    <w:rsid w:val="00DF0F86"/>
    <w:rsid w:val="00DF10A7"/>
    <w:rsid w:val="00DF169E"/>
    <w:rsid w:val="00DF1E5E"/>
    <w:rsid w:val="00DF240C"/>
    <w:rsid w:val="00DF56C2"/>
    <w:rsid w:val="00DF5D5E"/>
    <w:rsid w:val="00DF5DE8"/>
    <w:rsid w:val="00DF72F0"/>
    <w:rsid w:val="00E00889"/>
    <w:rsid w:val="00E0135E"/>
    <w:rsid w:val="00E01BA7"/>
    <w:rsid w:val="00E02816"/>
    <w:rsid w:val="00E02B50"/>
    <w:rsid w:val="00E0322B"/>
    <w:rsid w:val="00E0378E"/>
    <w:rsid w:val="00E04ACF"/>
    <w:rsid w:val="00E04F0A"/>
    <w:rsid w:val="00E05376"/>
    <w:rsid w:val="00E058A7"/>
    <w:rsid w:val="00E06710"/>
    <w:rsid w:val="00E06B3C"/>
    <w:rsid w:val="00E06D5E"/>
    <w:rsid w:val="00E07337"/>
    <w:rsid w:val="00E07398"/>
    <w:rsid w:val="00E10A4F"/>
    <w:rsid w:val="00E10F6C"/>
    <w:rsid w:val="00E112F6"/>
    <w:rsid w:val="00E115E2"/>
    <w:rsid w:val="00E13B75"/>
    <w:rsid w:val="00E13FF2"/>
    <w:rsid w:val="00E14539"/>
    <w:rsid w:val="00E14DBC"/>
    <w:rsid w:val="00E14E5F"/>
    <w:rsid w:val="00E151DC"/>
    <w:rsid w:val="00E158D5"/>
    <w:rsid w:val="00E1604A"/>
    <w:rsid w:val="00E202FB"/>
    <w:rsid w:val="00E225BA"/>
    <w:rsid w:val="00E23152"/>
    <w:rsid w:val="00E23D54"/>
    <w:rsid w:val="00E24725"/>
    <w:rsid w:val="00E24ADB"/>
    <w:rsid w:val="00E253C1"/>
    <w:rsid w:val="00E253D2"/>
    <w:rsid w:val="00E26624"/>
    <w:rsid w:val="00E26972"/>
    <w:rsid w:val="00E26C70"/>
    <w:rsid w:val="00E27F36"/>
    <w:rsid w:val="00E30ABF"/>
    <w:rsid w:val="00E30F94"/>
    <w:rsid w:val="00E31330"/>
    <w:rsid w:val="00E321BC"/>
    <w:rsid w:val="00E345B9"/>
    <w:rsid w:val="00E35408"/>
    <w:rsid w:val="00E35B6A"/>
    <w:rsid w:val="00E3626A"/>
    <w:rsid w:val="00E3685C"/>
    <w:rsid w:val="00E373F3"/>
    <w:rsid w:val="00E37EB9"/>
    <w:rsid w:val="00E40153"/>
    <w:rsid w:val="00E403F0"/>
    <w:rsid w:val="00E41518"/>
    <w:rsid w:val="00E41F5D"/>
    <w:rsid w:val="00E43398"/>
    <w:rsid w:val="00E4379A"/>
    <w:rsid w:val="00E43A05"/>
    <w:rsid w:val="00E44E9C"/>
    <w:rsid w:val="00E45960"/>
    <w:rsid w:val="00E45B1A"/>
    <w:rsid w:val="00E463DE"/>
    <w:rsid w:val="00E46FF2"/>
    <w:rsid w:val="00E47445"/>
    <w:rsid w:val="00E475FC"/>
    <w:rsid w:val="00E50725"/>
    <w:rsid w:val="00E50907"/>
    <w:rsid w:val="00E50FA7"/>
    <w:rsid w:val="00E51F02"/>
    <w:rsid w:val="00E53F27"/>
    <w:rsid w:val="00E54068"/>
    <w:rsid w:val="00E54627"/>
    <w:rsid w:val="00E55902"/>
    <w:rsid w:val="00E55D2A"/>
    <w:rsid w:val="00E57C6D"/>
    <w:rsid w:val="00E57C95"/>
    <w:rsid w:val="00E57EA5"/>
    <w:rsid w:val="00E605E9"/>
    <w:rsid w:val="00E60A5B"/>
    <w:rsid w:val="00E61662"/>
    <w:rsid w:val="00E616A5"/>
    <w:rsid w:val="00E6195F"/>
    <w:rsid w:val="00E6207A"/>
    <w:rsid w:val="00E62112"/>
    <w:rsid w:val="00E621D7"/>
    <w:rsid w:val="00E6309B"/>
    <w:rsid w:val="00E63CCC"/>
    <w:rsid w:val="00E64C28"/>
    <w:rsid w:val="00E65694"/>
    <w:rsid w:val="00E65789"/>
    <w:rsid w:val="00E65A32"/>
    <w:rsid w:val="00E65C67"/>
    <w:rsid w:val="00E66076"/>
    <w:rsid w:val="00E66FFD"/>
    <w:rsid w:val="00E67526"/>
    <w:rsid w:val="00E67651"/>
    <w:rsid w:val="00E678D4"/>
    <w:rsid w:val="00E710B8"/>
    <w:rsid w:val="00E71703"/>
    <w:rsid w:val="00E728AB"/>
    <w:rsid w:val="00E72EF5"/>
    <w:rsid w:val="00E732B5"/>
    <w:rsid w:val="00E73435"/>
    <w:rsid w:val="00E74EA3"/>
    <w:rsid w:val="00E758C8"/>
    <w:rsid w:val="00E75BCB"/>
    <w:rsid w:val="00E75DF7"/>
    <w:rsid w:val="00E75E8F"/>
    <w:rsid w:val="00E76AD1"/>
    <w:rsid w:val="00E77A33"/>
    <w:rsid w:val="00E77C3A"/>
    <w:rsid w:val="00E80BAE"/>
    <w:rsid w:val="00E81780"/>
    <w:rsid w:val="00E81D0D"/>
    <w:rsid w:val="00E83FB4"/>
    <w:rsid w:val="00E84819"/>
    <w:rsid w:val="00E8701C"/>
    <w:rsid w:val="00E87857"/>
    <w:rsid w:val="00E87B21"/>
    <w:rsid w:val="00E87F98"/>
    <w:rsid w:val="00E902FE"/>
    <w:rsid w:val="00E90345"/>
    <w:rsid w:val="00E9092D"/>
    <w:rsid w:val="00E91A91"/>
    <w:rsid w:val="00E92009"/>
    <w:rsid w:val="00E926FF"/>
    <w:rsid w:val="00E92D61"/>
    <w:rsid w:val="00E937CA"/>
    <w:rsid w:val="00E939EE"/>
    <w:rsid w:val="00E940FF"/>
    <w:rsid w:val="00E942A0"/>
    <w:rsid w:val="00E94302"/>
    <w:rsid w:val="00E94D70"/>
    <w:rsid w:val="00E95376"/>
    <w:rsid w:val="00E95D24"/>
    <w:rsid w:val="00E9724F"/>
    <w:rsid w:val="00E97633"/>
    <w:rsid w:val="00E979A9"/>
    <w:rsid w:val="00E97C2A"/>
    <w:rsid w:val="00EA06F4"/>
    <w:rsid w:val="00EA1851"/>
    <w:rsid w:val="00EA219D"/>
    <w:rsid w:val="00EA2762"/>
    <w:rsid w:val="00EA2A26"/>
    <w:rsid w:val="00EA2E5D"/>
    <w:rsid w:val="00EA43F9"/>
    <w:rsid w:val="00EA5643"/>
    <w:rsid w:val="00EA56B2"/>
    <w:rsid w:val="00EA699E"/>
    <w:rsid w:val="00EA6ACC"/>
    <w:rsid w:val="00EA714F"/>
    <w:rsid w:val="00EA7298"/>
    <w:rsid w:val="00EA7302"/>
    <w:rsid w:val="00EA7B20"/>
    <w:rsid w:val="00EA7BDD"/>
    <w:rsid w:val="00EB0BBB"/>
    <w:rsid w:val="00EB10AD"/>
    <w:rsid w:val="00EB19E9"/>
    <w:rsid w:val="00EB1FF9"/>
    <w:rsid w:val="00EB2BC0"/>
    <w:rsid w:val="00EB33CF"/>
    <w:rsid w:val="00EB37A4"/>
    <w:rsid w:val="00EB41F8"/>
    <w:rsid w:val="00EB4A3F"/>
    <w:rsid w:val="00EB51E5"/>
    <w:rsid w:val="00EB54C1"/>
    <w:rsid w:val="00EB55A6"/>
    <w:rsid w:val="00EB55AD"/>
    <w:rsid w:val="00EB6220"/>
    <w:rsid w:val="00EB6505"/>
    <w:rsid w:val="00EB6965"/>
    <w:rsid w:val="00EB6CE2"/>
    <w:rsid w:val="00EB723F"/>
    <w:rsid w:val="00EB7638"/>
    <w:rsid w:val="00EB7C32"/>
    <w:rsid w:val="00EB7D8E"/>
    <w:rsid w:val="00EC02F7"/>
    <w:rsid w:val="00EC0DA6"/>
    <w:rsid w:val="00EC14A3"/>
    <w:rsid w:val="00EC1EB1"/>
    <w:rsid w:val="00EC2360"/>
    <w:rsid w:val="00EC3792"/>
    <w:rsid w:val="00EC3E01"/>
    <w:rsid w:val="00EC4EF7"/>
    <w:rsid w:val="00EC52B2"/>
    <w:rsid w:val="00EC6BE1"/>
    <w:rsid w:val="00EC7E18"/>
    <w:rsid w:val="00ED060F"/>
    <w:rsid w:val="00ED285D"/>
    <w:rsid w:val="00ED3129"/>
    <w:rsid w:val="00ED351B"/>
    <w:rsid w:val="00ED4940"/>
    <w:rsid w:val="00ED68F8"/>
    <w:rsid w:val="00ED734A"/>
    <w:rsid w:val="00ED7ECA"/>
    <w:rsid w:val="00EE039E"/>
    <w:rsid w:val="00EE15E3"/>
    <w:rsid w:val="00EE1DB4"/>
    <w:rsid w:val="00EE279A"/>
    <w:rsid w:val="00EE329F"/>
    <w:rsid w:val="00EE4367"/>
    <w:rsid w:val="00EE4778"/>
    <w:rsid w:val="00EE493A"/>
    <w:rsid w:val="00EE497C"/>
    <w:rsid w:val="00EE4BB6"/>
    <w:rsid w:val="00EE4DBD"/>
    <w:rsid w:val="00EE572F"/>
    <w:rsid w:val="00EE6367"/>
    <w:rsid w:val="00EF020D"/>
    <w:rsid w:val="00EF1340"/>
    <w:rsid w:val="00EF1889"/>
    <w:rsid w:val="00EF1DBF"/>
    <w:rsid w:val="00EF1E7A"/>
    <w:rsid w:val="00EF2170"/>
    <w:rsid w:val="00EF2D1B"/>
    <w:rsid w:val="00EF32D1"/>
    <w:rsid w:val="00EF39B0"/>
    <w:rsid w:val="00EF4728"/>
    <w:rsid w:val="00EF4D94"/>
    <w:rsid w:val="00EF5384"/>
    <w:rsid w:val="00EF539E"/>
    <w:rsid w:val="00EF6284"/>
    <w:rsid w:val="00EF7072"/>
    <w:rsid w:val="00EF7442"/>
    <w:rsid w:val="00F01A57"/>
    <w:rsid w:val="00F0211E"/>
    <w:rsid w:val="00F0286F"/>
    <w:rsid w:val="00F03282"/>
    <w:rsid w:val="00F03955"/>
    <w:rsid w:val="00F03A8E"/>
    <w:rsid w:val="00F041F6"/>
    <w:rsid w:val="00F042ED"/>
    <w:rsid w:val="00F052B9"/>
    <w:rsid w:val="00F058A5"/>
    <w:rsid w:val="00F058DA"/>
    <w:rsid w:val="00F05D9E"/>
    <w:rsid w:val="00F05DA5"/>
    <w:rsid w:val="00F05F15"/>
    <w:rsid w:val="00F06A68"/>
    <w:rsid w:val="00F07835"/>
    <w:rsid w:val="00F1009B"/>
    <w:rsid w:val="00F1092A"/>
    <w:rsid w:val="00F11573"/>
    <w:rsid w:val="00F118A0"/>
    <w:rsid w:val="00F11EEC"/>
    <w:rsid w:val="00F12A5F"/>
    <w:rsid w:val="00F12ACC"/>
    <w:rsid w:val="00F12CBF"/>
    <w:rsid w:val="00F13A2F"/>
    <w:rsid w:val="00F13D0A"/>
    <w:rsid w:val="00F14779"/>
    <w:rsid w:val="00F14FAC"/>
    <w:rsid w:val="00F15421"/>
    <w:rsid w:val="00F156C1"/>
    <w:rsid w:val="00F15824"/>
    <w:rsid w:val="00F15C13"/>
    <w:rsid w:val="00F15E27"/>
    <w:rsid w:val="00F16A1F"/>
    <w:rsid w:val="00F17DC8"/>
    <w:rsid w:val="00F17E45"/>
    <w:rsid w:val="00F20C9D"/>
    <w:rsid w:val="00F21BF6"/>
    <w:rsid w:val="00F221E9"/>
    <w:rsid w:val="00F22E9E"/>
    <w:rsid w:val="00F23901"/>
    <w:rsid w:val="00F24217"/>
    <w:rsid w:val="00F243B6"/>
    <w:rsid w:val="00F2440E"/>
    <w:rsid w:val="00F24970"/>
    <w:rsid w:val="00F265CC"/>
    <w:rsid w:val="00F26FF7"/>
    <w:rsid w:val="00F27560"/>
    <w:rsid w:val="00F275DE"/>
    <w:rsid w:val="00F30D54"/>
    <w:rsid w:val="00F31491"/>
    <w:rsid w:val="00F315B2"/>
    <w:rsid w:val="00F31D39"/>
    <w:rsid w:val="00F3254E"/>
    <w:rsid w:val="00F32D80"/>
    <w:rsid w:val="00F32DD1"/>
    <w:rsid w:val="00F36041"/>
    <w:rsid w:val="00F3635A"/>
    <w:rsid w:val="00F37957"/>
    <w:rsid w:val="00F37C56"/>
    <w:rsid w:val="00F37CD9"/>
    <w:rsid w:val="00F4021E"/>
    <w:rsid w:val="00F40CE1"/>
    <w:rsid w:val="00F416A1"/>
    <w:rsid w:val="00F41D95"/>
    <w:rsid w:val="00F41E72"/>
    <w:rsid w:val="00F420D3"/>
    <w:rsid w:val="00F429C7"/>
    <w:rsid w:val="00F43A1D"/>
    <w:rsid w:val="00F43B03"/>
    <w:rsid w:val="00F44124"/>
    <w:rsid w:val="00F4450A"/>
    <w:rsid w:val="00F44657"/>
    <w:rsid w:val="00F45220"/>
    <w:rsid w:val="00F4555F"/>
    <w:rsid w:val="00F462BC"/>
    <w:rsid w:val="00F47359"/>
    <w:rsid w:val="00F4784F"/>
    <w:rsid w:val="00F500F0"/>
    <w:rsid w:val="00F50F52"/>
    <w:rsid w:val="00F511F9"/>
    <w:rsid w:val="00F51974"/>
    <w:rsid w:val="00F52455"/>
    <w:rsid w:val="00F52857"/>
    <w:rsid w:val="00F53257"/>
    <w:rsid w:val="00F53960"/>
    <w:rsid w:val="00F53A8F"/>
    <w:rsid w:val="00F54604"/>
    <w:rsid w:val="00F54BBA"/>
    <w:rsid w:val="00F55042"/>
    <w:rsid w:val="00F55242"/>
    <w:rsid w:val="00F555EA"/>
    <w:rsid w:val="00F57475"/>
    <w:rsid w:val="00F60319"/>
    <w:rsid w:val="00F6154B"/>
    <w:rsid w:val="00F61834"/>
    <w:rsid w:val="00F620C7"/>
    <w:rsid w:val="00F62CD1"/>
    <w:rsid w:val="00F63202"/>
    <w:rsid w:val="00F63838"/>
    <w:rsid w:val="00F64295"/>
    <w:rsid w:val="00F65629"/>
    <w:rsid w:val="00F66070"/>
    <w:rsid w:val="00F662CA"/>
    <w:rsid w:val="00F6738A"/>
    <w:rsid w:val="00F701FD"/>
    <w:rsid w:val="00F7117E"/>
    <w:rsid w:val="00F711DF"/>
    <w:rsid w:val="00F71214"/>
    <w:rsid w:val="00F71752"/>
    <w:rsid w:val="00F71EC3"/>
    <w:rsid w:val="00F73676"/>
    <w:rsid w:val="00F74001"/>
    <w:rsid w:val="00F755FB"/>
    <w:rsid w:val="00F75CFB"/>
    <w:rsid w:val="00F76924"/>
    <w:rsid w:val="00F77C47"/>
    <w:rsid w:val="00F80D91"/>
    <w:rsid w:val="00F80F91"/>
    <w:rsid w:val="00F81924"/>
    <w:rsid w:val="00F81F6E"/>
    <w:rsid w:val="00F8232D"/>
    <w:rsid w:val="00F83660"/>
    <w:rsid w:val="00F842CD"/>
    <w:rsid w:val="00F84352"/>
    <w:rsid w:val="00F8469B"/>
    <w:rsid w:val="00F8485B"/>
    <w:rsid w:val="00F862BC"/>
    <w:rsid w:val="00F862EB"/>
    <w:rsid w:val="00F90110"/>
    <w:rsid w:val="00F90649"/>
    <w:rsid w:val="00F9110A"/>
    <w:rsid w:val="00F92076"/>
    <w:rsid w:val="00F92852"/>
    <w:rsid w:val="00F935CB"/>
    <w:rsid w:val="00F938A1"/>
    <w:rsid w:val="00F9409C"/>
    <w:rsid w:val="00F948C6"/>
    <w:rsid w:val="00F9533B"/>
    <w:rsid w:val="00F953B2"/>
    <w:rsid w:val="00F9655F"/>
    <w:rsid w:val="00F96837"/>
    <w:rsid w:val="00FA01C4"/>
    <w:rsid w:val="00FA1108"/>
    <w:rsid w:val="00FA16DE"/>
    <w:rsid w:val="00FA17BE"/>
    <w:rsid w:val="00FA1A78"/>
    <w:rsid w:val="00FA2646"/>
    <w:rsid w:val="00FA2750"/>
    <w:rsid w:val="00FA2C72"/>
    <w:rsid w:val="00FA3415"/>
    <w:rsid w:val="00FA35EB"/>
    <w:rsid w:val="00FA3E3B"/>
    <w:rsid w:val="00FA3FC5"/>
    <w:rsid w:val="00FA4027"/>
    <w:rsid w:val="00FA4580"/>
    <w:rsid w:val="00FA476E"/>
    <w:rsid w:val="00FA5613"/>
    <w:rsid w:val="00FA59CE"/>
    <w:rsid w:val="00FA5BD3"/>
    <w:rsid w:val="00FA5CB8"/>
    <w:rsid w:val="00FA605F"/>
    <w:rsid w:val="00FA6A89"/>
    <w:rsid w:val="00FA7650"/>
    <w:rsid w:val="00FA792A"/>
    <w:rsid w:val="00FB003B"/>
    <w:rsid w:val="00FB0226"/>
    <w:rsid w:val="00FB081E"/>
    <w:rsid w:val="00FB148A"/>
    <w:rsid w:val="00FB18E7"/>
    <w:rsid w:val="00FB1EE9"/>
    <w:rsid w:val="00FB1F21"/>
    <w:rsid w:val="00FB2362"/>
    <w:rsid w:val="00FB3A81"/>
    <w:rsid w:val="00FB49D7"/>
    <w:rsid w:val="00FB6903"/>
    <w:rsid w:val="00FC0091"/>
    <w:rsid w:val="00FC046C"/>
    <w:rsid w:val="00FC1D83"/>
    <w:rsid w:val="00FC2335"/>
    <w:rsid w:val="00FC2D11"/>
    <w:rsid w:val="00FC34DE"/>
    <w:rsid w:val="00FC39CA"/>
    <w:rsid w:val="00FC3C59"/>
    <w:rsid w:val="00FC457B"/>
    <w:rsid w:val="00FC48BE"/>
    <w:rsid w:val="00FC49DE"/>
    <w:rsid w:val="00FC6407"/>
    <w:rsid w:val="00FC6485"/>
    <w:rsid w:val="00FC6D48"/>
    <w:rsid w:val="00FC6E0A"/>
    <w:rsid w:val="00FC7464"/>
    <w:rsid w:val="00FC7947"/>
    <w:rsid w:val="00FC7E10"/>
    <w:rsid w:val="00FD021E"/>
    <w:rsid w:val="00FD061C"/>
    <w:rsid w:val="00FD06BC"/>
    <w:rsid w:val="00FD115A"/>
    <w:rsid w:val="00FD1A5D"/>
    <w:rsid w:val="00FD1A8E"/>
    <w:rsid w:val="00FD1E02"/>
    <w:rsid w:val="00FD1ED5"/>
    <w:rsid w:val="00FD2126"/>
    <w:rsid w:val="00FD2673"/>
    <w:rsid w:val="00FD26BB"/>
    <w:rsid w:val="00FD271C"/>
    <w:rsid w:val="00FD2B1C"/>
    <w:rsid w:val="00FD2E3A"/>
    <w:rsid w:val="00FD2F8C"/>
    <w:rsid w:val="00FD439F"/>
    <w:rsid w:val="00FD4C29"/>
    <w:rsid w:val="00FD57FF"/>
    <w:rsid w:val="00FD682D"/>
    <w:rsid w:val="00FD6B8E"/>
    <w:rsid w:val="00FD6EEC"/>
    <w:rsid w:val="00FD74D9"/>
    <w:rsid w:val="00FD78B9"/>
    <w:rsid w:val="00FD7DBB"/>
    <w:rsid w:val="00FE02AB"/>
    <w:rsid w:val="00FE0406"/>
    <w:rsid w:val="00FE08BF"/>
    <w:rsid w:val="00FE0E70"/>
    <w:rsid w:val="00FE1414"/>
    <w:rsid w:val="00FE1E76"/>
    <w:rsid w:val="00FE248B"/>
    <w:rsid w:val="00FE2926"/>
    <w:rsid w:val="00FE2BA5"/>
    <w:rsid w:val="00FE355A"/>
    <w:rsid w:val="00FE36E1"/>
    <w:rsid w:val="00FE3F0D"/>
    <w:rsid w:val="00FE3F68"/>
    <w:rsid w:val="00FE4184"/>
    <w:rsid w:val="00FE54ED"/>
    <w:rsid w:val="00FE58D5"/>
    <w:rsid w:val="00FE63E3"/>
    <w:rsid w:val="00FF05E9"/>
    <w:rsid w:val="00FF07E3"/>
    <w:rsid w:val="00FF145C"/>
    <w:rsid w:val="00FF1C8A"/>
    <w:rsid w:val="00FF2349"/>
    <w:rsid w:val="00FF424D"/>
    <w:rsid w:val="00FF46DB"/>
    <w:rsid w:val="00FF47AF"/>
    <w:rsid w:val="00FF5192"/>
    <w:rsid w:val="00FF5918"/>
    <w:rsid w:val="00FF5B1D"/>
    <w:rsid w:val="00FF5DEE"/>
    <w:rsid w:val="00FF603F"/>
    <w:rsid w:val="00FF6DBB"/>
    <w:rsid w:val="00FF7B0C"/>
    <w:rsid w:val="06B5E8D8"/>
    <w:rsid w:val="0814E1A6"/>
    <w:rsid w:val="08EBF282"/>
    <w:rsid w:val="0AAE0D62"/>
    <w:rsid w:val="0B558DF0"/>
    <w:rsid w:val="0DFFBB20"/>
    <w:rsid w:val="119A8CA6"/>
    <w:rsid w:val="138C571C"/>
    <w:rsid w:val="18E1660B"/>
    <w:rsid w:val="19101565"/>
    <w:rsid w:val="1A523CBB"/>
    <w:rsid w:val="1D9EA20E"/>
    <w:rsid w:val="22D76D05"/>
    <w:rsid w:val="286517F4"/>
    <w:rsid w:val="2952D180"/>
    <w:rsid w:val="2BC1A26A"/>
    <w:rsid w:val="2E3A9914"/>
    <w:rsid w:val="2E5B3FAF"/>
    <w:rsid w:val="31B8BBB1"/>
    <w:rsid w:val="339E4A79"/>
    <w:rsid w:val="33B5A875"/>
    <w:rsid w:val="377FFC7A"/>
    <w:rsid w:val="3C344440"/>
    <w:rsid w:val="3CAB62B5"/>
    <w:rsid w:val="3EF90125"/>
    <w:rsid w:val="434279D2"/>
    <w:rsid w:val="47A166CE"/>
    <w:rsid w:val="4A0F7D7D"/>
    <w:rsid w:val="4AF06985"/>
    <w:rsid w:val="4BF46A35"/>
    <w:rsid w:val="4D9E2D71"/>
    <w:rsid w:val="4FFE218A"/>
    <w:rsid w:val="5132DD42"/>
    <w:rsid w:val="518BAA51"/>
    <w:rsid w:val="5238EF71"/>
    <w:rsid w:val="538DEB30"/>
    <w:rsid w:val="5464D3D3"/>
    <w:rsid w:val="54D6E2CF"/>
    <w:rsid w:val="55A938E6"/>
    <w:rsid w:val="5612A954"/>
    <w:rsid w:val="57096B3C"/>
    <w:rsid w:val="5A9498DE"/>
    <w:rsid w:val="5BCF47CB"/>
    <w:rsid w:val="5D3E8069"/>
    <w:rsid w:val="614D07B3"/>
    <w:rsid w:val="63C642DF"/>
    <w:rsid w:val="6443AAE3"/>
    <w:rsid w:val="65B7F9EF"/>
    <w:rsid w:val="663413A8"/>
    <w:rsid w:val="6AF08562"/>
    <w:rsid w:val="6C446C92"/>
    <w:rsid w:val="6EF5840D"/>
    <w:rsid w:val="6F8BA7E1"/>
    <w:rsid w:val="7035771D"/>
    <w:rsid w:val="70AE9580"/>
    <w:rsid w:val="7789E1C0"/>
    <w:rsid w:val="7BF7011E"/>
    <w:rsid w:val="7EA680D4"/>
    <w:rsid w:val="7ED3AD42"/>
    <w:rsid w:val="7FB2C39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CD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F6"/>
    <w:pPr>
      <w:spacing w:before="60" w:after="60" w:line="264" w:lineRule="auto"/>
      <w:jc w:val="both"/>
    </w:pPr>
    <w:rPr>
      <w:rFonts w:ascii="Calibri" w:hAnsi="Calibri"/>
      <w:sz w:val="24"/>
      <w:szCs w:val="26"/>
      <w:lang w:eastAsia="fr-FR"/>
    </w:rPr>
  </w:style>
  <w:style w:type="paragraph" w:styleId="Titre1">
    <w:name w:val="heading 1"/>
    <w:aliases w:val="Titre 1 Car"/>
    <w:basedOn w:val="Normal"/>
    <w:next w:val="Normal"/>
    <w:link w:val="Titre1Car1"/>
    <w:qFormat/>
    <w:rsid w:val="0086085B"/>
    <w:pPr>
      <w:numPr>
        <w:numId w:val="62"/>
      </w:numPr>
      <w:outlineLvl w:val="0"/>
    </w:pPr>
    <w:rPr>
      <w:b/>
      <w:bCs/>
      <w:kern w:val="32"/>
      <w:sz w:val="36"/>
      <w:szCs w:val="24"/>
      <w:u w:color="808080"/>
    </w:rPr>
  </w:style>
  <w:style w:type="paragraph" w:styleId="Titre2">
    <w:name w:val="heading 2"/>
    <w:basedOn w:val="Normal"/>
    <w:next w:val="Normal"/>
    <w:qFormat/>
    <w:rsid w:val="009C7434"/>
    <w:pPr>
      <w:numPr>
        <w:ilvl w:val="1"/>
        <w:numId w:val="62"/>
      </w:numPr>
      <w:outlineLvl w:val="1"/>
    </w:pPr>
    <w:rPr>
      <w:b/>
      <w:bCs/>
      <w:iCs/>
      <w:sz w:val="32"/>
    </w:rPr>
  </w:style>
  <w:style w:type="paragraph" w:styleId="Titre3">
    <w:name w:val="heading 3"/>
    <w:basedOn w:val="Normal"/>
    <w:next w:val="Normal"/>
    <w:qFormat/>
    <w:rsid w:val="00584456"/>
    <w:pPr>
      <w:keepNext/>
      <w:numPr>
        <w:ilvl w:val="2"/>
        <w:numId w:val="62"/>
      </w:numPr>
      <w:outlineLvl w:val="2"/>
    </w:pPr>
    <w:rPr>
      <w:rFonts w:cs="Arial"/>
      <w:b/>
      <w:bCs/>
      <w:sz w:val="28"/>
    </w:rPr>
  </w:style>
  <w:style w:type="paragraph" w:styleId="Titre4">
    <w:name w:val="heading 4"/>
    <w:basedOn w:val="Titre3"/>
    <w:next w:val="Normal"/>
    <w:link w:val="Titre4Car"/>
    <w:qFormat/>
    <w:rsid w:val="00D05E4B"/>
    <w:pPr>
      <w:numPr>
        <w:ilvl w:val="3"/>
      </w:numPr>
      <w:outlineLvl w:val="3"/>
    </w:pPr>
    <w:rPr>
      <w:sz w:val="26"/>
      <w:szCs w:val="28"/>
    </w:rPr>
  </w:style>
  <w:style w:type="paragraph" w:styleId="Titre5">
    <w:name w:val="heading 5"/>
    <w:basedOn w:val="Normal"/>
    <w:next w:val="Normal"/>
    <w:qFormat/>
    <w:rsid w:val="00D05E4B"/>
    <w:pPr>
      <w:numPr>
        <w:ilvl w:val="4"/>
        <w:numId w:val="62"/>
      </w:numPr>
      <w:outlineLvl w:val="4"/>
    </w:pPr>
    <w:rPr>
      <w:b/>
      <w:bCs/>
      <w:iCs/>
    </w:rPr>
  </w:style>
  <w:style w:type="paragraph" w:styleId="Titre6">
    <w:name w:val="heading 6"/>
    <w:basedOn w:val="Normal"/>
    <w:next w:val="Normal"/>
    <w:qFormat/>
    <w:rsid w:val="00D25FE3"/>
    <w:pPr>
      <w:numPr>
        <w:ilvl w:val="5"/>
        <w:numId w:val="62"/>
      </w:numPr>
      <w:spacing w:before="240"/>
      <w:outlineLvl w:val="5"/>
    </w:pPr>
    <w:rPr>
      <w:b/>
      <w:bCs/>
      <w:sz w:val="22"/>
      <w:szCs w:val="22"/>
    </w:rPr>
  </w:style>
  <w:style w:type="paragraph" w:styleId="Titre7">
    <w:name w:val="heading 7"/>
    <w:basedOn w:val="Normal"/>
    <w:next w:val="Normal"/>
    <w:qFormat/>
    <w:rsid w:val="00D25FE3"/>
    <w:pPr>
      <w:numPr>
        <w:ilvl w:val="6"/>
        <w:numId w:val="62"/>
      </w:numPr>
      <w:spacing w:before="240"/>
      <w:outlineLvl w:val="6"/>
    </w:pPr>
  </w:style>
  <w:style w:type="paragraph" w:styleId="Titre8">
    <w:name w:val="heading 8"/>
    <w:basedOn w:val="Normal"/>
    <w:next w:val="Normal"/>
    <w:qFormat/>
    <w:rsid w:val="00D25FE3"/>
    <w:pPr>
      <w:numPr>
        <w:ilvl w:val="7"/>
        <w:numId w:val="62"/>
      </w:numPr>
      <w:spacing w:before="240"/>
      <w:outlineLvl w:val="7"/>
    </w:pPr>
    <w:rPr>
      <w:i/>
      <w:iCs/>
    </w:rPr>
  </w:style>
  <w:style w:type="paragraph" w:styleId="Titre9">
    <w:name w:val="heading 9"/>
    <w:basedOn w:val="Normal"/>
    <w:next w:val="Normal"/>
    <w:qFormat/>
    <w:rsid w:val="00D25FE3"/>
    <w:pPr>
      <w:numPr>
        <w:ilvl w:val="8"/>
        <w:numId w:val="62"/>
      </w:numPr>
      <w:spacing w:before="24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26D0A"/>
    <w:pPr>
      <w:tabs>
        <w:tab w:val="center" w:pos="4320"/>
        <w:tab w:val="right" w:pos="8640"/>
      </w:tabs>
    </w:pPr>
  </w:style>
  <w:style w:type="paragraph" w:styleId="Pieddepage">
    <w:name w:val="footer"/>
    <w:basedOn w:val="Normal"/>
    <w:link w:val="PieddepageCar"/>
    <w:uiPriority w:val="99"/>
    <w:rsid w:val="00026D0A"/>
    <w:pPr>
      <w:tabs>
        <w:tab w:val="center" w:pos="4320"/>
        <w:tab w:val="right" w:pos="8640"/>
      </w:tabs>
    </w:pPr>
  </w:style>
  <w:style w:type="paragraph" w:styleId="Listepuces">
    <w:name w:val="List Bullet"/>
    <w:basedOn w:val="Normal"/>
    <w:autoRedefine/>
    <w:rsid w:val="00991996"/>
    <w:pPr>
      <w:numPr>
        <w:numId w:val="2"/>
      </w:numPr>
    </w:pPr>
  </w:style>
  <w:style w:type="paragraph" w:styleId="Citation">
    <w:name w:val="Quote"/>
    <w:basedOn w:val="Normal"/>
    <w:qFormat/>
    <w:rsid w:val="00026D0A"/>
    <w:pPr>
      <w:tabs>
        <w:tab w:val="left" w:pos="284"/>
      </w:tabs>
      <w:autoSpaceDE w:val="0"/>
      <w:autoSpaceDN w:val="0"/>
      <w:adjustRightInd w:val="0"/>
      <w:spacing w:before="80"/>
      <w:ind w:left="284" w:right="284"/>
    </w:pPr>
    <w:rPr>
      <w:bCs/>
      <w:i/>
      <w:iCs/>
      <w:lang w:val="fr-FR"/>
    </w:rPr>
  </w:style>
  <w:style w:type="character" w:styleId="Numrodepage">
    <w:name w:val="page number"/>
    <w:basedOn w:val="Policepardfaut"/>
    <w:rsid w:val="00026D0A"/>
  </w:style>
  <w:style w:type="paragraph" w:styleId="NormalWeb">
    <w:name w:val="Normal (Web)"/>
    <w:basedOn w:val="Normal"/>
    <w:rsid w:val="00026D0A"/>
    <w:pPr>
      <w:spacing w:before="100" w:beforeAutospacing="1" w:after="100" w:afterAutospacing="1"/>
      <w:jc w:val="left"/>
    </w:pPr>
    <w:rPr>
      <w:szCs w:val="24"/>
      <w:lang w:val="fr-FR"/>
    </w:rPr>
  </w:style>
  <w:style w:type="paragraph" w:styleId="Notedebasdepage">
    <w:name w:val="footnote text"/>
    <w:aliases w:val=" Car,Car"/>
    <w:basedOn w:val="Normal"/>
    <w:link w:val="NotedebasdepageCar"/>
    <w:uiPriority w:val="99"/>
    <w:qFormat/>
    <w:rsid w:val="00026D0A"/>
    <w:pPr>
      <w:tabs>
        <w:tab w:val="left" w:pos="425"/>
      </w:tabs>
    </w:pPr>
    <w:rPr>
      <w:sz w:val="20"/>
      <w:szCs w:val="20"/>
    </w:rPr>
  </w:style>
  <w:style w:type="character" w:styleId="Appelnotedebasdep">
    <w:name w:val="footnote reference"/>
    <w:aliases w:val="(NECG) Footnote Reference,Styl,Style 12,Style 13,Style 15,Style 17,Style 18,Style 20,Style 7,Style 9,fr,fr1,fr2,fr3,o,o1,o2,o3"/>
    <w:basedOn w:val="Policepardfaut"/>
    <w:uiPriority w:val="99"/>
    <w:rsid w:val="00026D0A"/>
    <w:rPr>
      <w:vertAlign w:val="superscript"/>
    </w:rPr>
  </w:style>
  <w:style w:type="paragraph" w:styleId="Textedebulles">
    <w:name w:val="Balloon Text"/>
    <w:basedOn w:val="Normal"/>
    <w:semiHidden/>
    <w:rsid w:val="00026D0A"/>
    <w:rPr>
      <w:rFonts w:ascii="Tahoma" w:hAnsi="Tahoma" w:cs="Tahoma"/>
      <w:sz w:val="16"/>
      <w:szCs w:val="16"/>
    </w:rPr>
  </w:style>
  <w:style w:type="character" w:customStyle="1" w:styleId="Titre1Car1">
    <w:name w:val="Titre 1 Car1"/>
    <w:aliases w:val="Titre 1 Car Car"/>
    <w:basedOn w:val="Policepardfaut"/>
    <w:link w:val="Titre1"/>
    <w:rsid w:val="0086085B"/>
    <w:rPr>
      <w:rFonts w:ascii="Calibri" w:hAnsi="Calibri"/>
      <w:b/>
      <w:bCs/>
      <w:kern w:val="32"/>
      <w:sz w:val="36"/>
      <w:szCs w:val="24"/>
      <w:u w:color="808080"/>
      <w:lang w:eastAsia="fr-FR"/>
    </w:rPr>
  </w:style>
  <w:style w:type="character" w:styleId="Marquedecommentaire">
    <w:name w:val="annotation reference"/>
    <w:basedOn w:val="Policepardfaut"/>
    <w:semiHidden/>
    <w:rsid w:val="00AD05E9"/>
    <w:rPr>
      <w:sz w:val="16"/>
      <w:szCs w:val="16"/>
    </w:rPr>
  </w:style>
  <w:style w:type="table" w:styleId="Grilledutableau">
    <w:name w:val="Table Grid"/>
    <w:basedOn w:val="TableauNormal"/>
    <w:uiPriority w:val="39"/>
    <w:rsid w:val="00AF414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qFormat/>
    <w:rsid w:val="00945C3F"/>
    <w:pPr>
      <w:tabs>
        <w:tab w:val="left" w:pos="567"/>
        <w:tab w:val="left" w:pos="851"/>
        <w:tab w:val="right" w:leader="dot" w:pos="9356"/>
      </w:tabs>
      <w:spacing w:before="240" w:after="120" w:line="240" w:lineRule="auto"/>
      <w:ind w:right="1134"/>
    </w:pPr>
    <w:rPr>
      <w:b/>
      <w:bCs/>
      <w:caps/>
      <w:szCs w:val="24"/>
    </w:rPr>
  </w:style>
  <w:style w:type="paragraph" w:styleId="TM2">
    <w:name w:val="toc 2"/>
    <w:basedOn w:val="Normal"/>
    <w:next w:val="Normal"/>
    <w:uiPriority w:val="39"/>
    <w:qFormat/>
    <w:rsid w:val="00945C3F"/>
    <w:pPr>
      <w:tabs>
        <w:tab w:val="left" w:pos="567"/>
        <w:tab w:val="right" w:leader="dot" w:pos="9356"/>
      </w:tabs>
      <w:spacing w:before="120" w:after="120" w:line="240" w:lineRule="auto"/>
      <w:ind w:left="1134" w:right="1134" w:hanging="567"/>
    </w:pPr>
    <w:rPr>
      <w:b/>
      <w:szCs w:val="24"/>
    </w:rPr>
  </w:style>
  <w:style w:type="paragraph" w:styleId="TM3">
    <w:name w:val="toc 3"/>
    <w:basedOn w:val="Normal"/>
    <w:next w:val="Normal"/>
    <w:uiPriority w:val="39"/>
    <w:qFormat/>
    <w:rsid w:val="00353EEC"/>
    <w:pPr>
      <w:tabs>
        <w:tab w:val="left" w:pos="851"/>
        <w:tab w:val="left" w:pos="1134"/>
        <w:tab w:val="right" w:leader="dot" w:pos="9356"/>
      </w:tabs>
      <w:spacing w:line="240" w:lineRule="auto"/>
      <w:ind w:left="1814" w:right="964" w:hanging="680"/>
    </w:pPr>
    <w:rPr>
      <w:szCs w:val="24"/>
    </w:rPr>
  </w:style>
  <w:style w:type="character" w:styleId="Lienhypertexte">
    <w:name w:val="Hyperlink"/>
    <w:basedOn w:val="Policepardfaut"/>
    <w:uiPriority w:val="99"/>
    <w:rsid w:val="00062872"/>
    <w:rPr>
      <w:color w:val="0000FF"/>
      <w:u w:val="single"/>
    </w:rPr>
  </w:style>
  <w:style w:type="paragraph" w:styleId="TM4">
    <w:name w:val="toc 4"/>
    <w:basedOn w:val="TM3"/>
    <w:next w:val="Normal"/>
    <w:autoRedefine/>
    <w:uiPriority w:val="39"/>
    <w:rsid w:val="00746535"/>
    <w:pPr>
      <w:tabs>
        <w:tab w:val="clear" w:pos="851"/>
        <w:tab w:val="clear" w:pos="1134"/>
        <w:tab w:val="left" w:pos="2835"/>
        <w:tab w:val="right" w:leader="dot" w:pos="9396"/>
      </w:tabs>
      <w:spacing w:before="0" w:after="0"/>
      <w:ind w:left="2835" w:right="851" w:hanging="992"/>
    </w:pPr>
    <w:rPr>
      <w:sz w:val="22"/>
      <w:szCs w:val="21"/>
    </w:rPr>
  </w:style>
  <w:style w:type="paragraph" w:styleId="TM5">
    <w:name w:val="toc 5"/>
    <w:basedOn w:val="Normal"/>
    <w:next w:val="Normal"/>
    <w:autoRedefine/>
    <w:semiHidden/>
    <w:rsid w:val="00062872"/>
    <w:pPr>
      <w:ind w:left="1040"/>
      <w:jc w:val="left"/>
    </w:pPr>
    <w:rPr>
      <w:sz w:val="18"/>
      <w:szCs w:val="21"/>
    </w:rPr>
  </w:style>
  <w:style w:type="paragraph" w:styleId="TM6">
    <w:name w:val="toc 6"/>
    <w:basedOn w:val="Normal"/>
    <w:next w:val="Normal"/>
    <w:autoRedefine/>
    <w:semiHidden/>
    <w:rsid w:val="00062872"/>
    <w:pPr>
      <w:ind w:left="1300"/>
      <w:jc w:val="left"/>
    </w:pPr>
    <w:rPr>
      <w:sz w:val="18"/>
      <w:szCs w:val="21"/>
    </w:rPr>
  </w:style>
  <w:style w:type="paragraph" w:styleId="TM7">
    <w:name w:val="toc 7"/>
    <w:basedOn w:val="Normal"/>
    <w:next w:val="Normal"/>
    <w:autoRedefine/>
    <w:semiHidden/>
    <w:rsid w:val="00062872"/>
    <w:pPr>
      <w:ind w:left="1560"/>
      <w:jc w:val="left"/>
    </w:pPr>
    <w:rPr>
      <w:sz w:val="18"/>
      <w:szCs w:val="21"/>
    </w:rPr>
  </w:style>
  <w:style w:type="paragraph" w:styleId="TM8">
    <w:name w:val="toc 8"/>
    <w:basedOn w:val="Normal"/>
    <w:next w:val="Normal"/>
    <w:autoRedefine/>
    <w:semiHidden/>
    <w:rsid w:val="00062872"/>
    <w:pPr>
      <w:ind w:left="1820"/>
      <w:jc w:val="left"/>
    </w:pPr>
    <w:rPr>
      <w:sz w:val="18"/>
      <w:szCs w:val="21"/>
    </w:rPr>
  </w:style>
  <w:style w:type="paragraph" w:styleId="TM9">
    <w:name w:val="toc 9"/>
    <w:basedOn w:val="Normal"/>
    <w:next w:val="Normal"/>
    <w:autoRedefine/>
    <w:semiHidden/>
    <w:rsid w:val="00062872"/>
    <w:pPr>
      <w:ind w:left="2080"/>
      <w:jc w:val="left"/>
    </w:pPr>
    <w:rPr>
      <w:sz w:val="18"/>
      <w:szCs w:val="21"/>
    </w:rPr>
  </w:style>
  <w:style w:type="paragraph" w:styleId="Commentaire">
    <w:name w:val="annotation text"/>
    <w:basedOn w:val="Normal"/>
    <w:link w:val="CommentaireCar"/>
    <w:rsid w:val="00AD05E9"/>
    <w:rPr>
      <w:sz w:val="20"/>
      <w:szCs w:val="20"/>
    </w:rPr>
  </w:style>
  <w:style w:type="paragraph" w:styleId="Objetducommentaire">
    <w:name w:val="annotation subject"/>
    <w:basedOn w:val="Commentaire"/>
    <w:next w:val="Commentaire"/>
    <w:semiHidden/>
    <w:rsid w:val="00AD05E9"/>
    <w:rPr>
      <w:b/>
      <w:bCs/>
    </w:rPr>
  </w:style>
  <w:style w:type="table" w:customStyle="1" w:styleId="lgant">
    <w:name w:val="Élégant"/>
    <w:basedOn w:val="TableauNormal"/>
    <w:rsid w:val="004941CE"/>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itreNiv1">
    <w:name w:val="Titre Niv 1"/>
    <w:basedOn w:val="Normal"/>
    <w:autoRedefine/>
    <w:rsid w:val="00F701FD"/>
    <w:pPr>
      <w:tabs>
        <w:tab w:val="left" w:pos="540"/>
      </w:tabs>
    </w:pPr>
    <w:rPr>
      <w:rFonts w:ascii="Times New Roman Gras" w:hAnsi="Times New Roman Gras"/>
      <w:b/>
      <w:bCs/>
      <w:caps/>
      <w:color w:val="808080"/>
      <w:sz w:val="28"/>
      <w:u w:val="dottedHeavy"/>
    </w:rPr>
  </w:style>
  <w:style w:type="paragraph" w:customStyle="1" w:styleId="TitreNiv2">
    <w:name w:val="Titre Niv 2"/>
    <w:basedOn w:val="Listepuces"/>
    <w:autoRedefine/>
    <w:rsid w:val="00F21BF6"/>
    <w:pPr>
      <w:numPr>
        <w:numId w:val="0"/>
      </w:numPr>
      <w:tabs>
        <w:tab w:val="left" w:pos="709"/>
      </w:tabs>
    </w:pPr>
  </w:style>
  <w:style w:type="paragraph" w:customStyle="1" w:styleId="TitreNiv3">
    <w:name w:val="Titre Niv 3"/>
    <w:basedOn w:val="TitreNiv2"/>
    <w:autoRedefine/>
    <w:rsid w:val="00446CEC"/>
    <w:rPr>
      <w:smallCaps/>
    </w:rPr>
  </w:style>
  <w:style w:type="paragraph" w:styleId="Paragraphedeliste">
    <w:name w:val="List Paragraph"/>
    <w:aliases w:val="Puces point rond"/>
    <w:basedOn w:val="Normal"/>
    <w:link w:val="ParagraphedelisteCar"/>
    <w:uiPriority w:val="34"/>
    <w:qFormat/>
    <w:rsid w:val="00A670EB"/>
    <w:pPr>
      <w:spacing w:after="200" w:line="276" w:lineRule="auto"/>
      <w:ind w:left="720"/>
      <w:contextualSpacing/>
      <w:jc w:val="left"/>
    </w:pPr>
    <w:rPr>
      <w:rFonts w:eastAsia="Calibri"/>
      <w:sz w:val="22"/>
      <w:szCs w:val="22"/>
      <w:lang w:eastAsia="en-US"/>
    </w:rPr>
  </w:style>
  <w:style w:type="character" w:customStyle="1" w:styleId="NotedebasdepageCar">
    <w:name w:val="Note de bas de page Car"/>
    <w:aliases w:val=" Car Car,Car Car"/>
    <w:basedOn w:val="Policepardfaut"/>
    <w:link w:val="Notedebasdepage"/>
    <w:uiPriority w:val="99"/>
    <w:rsid w:val="00A670EB"/>
    <w:rPr>
      <w:lang w:eastAsia="fr-FR"/>
    </w:rPr>
  </w:style>
  <w:style w:type="paragraph" w:customStyle="1" w:styleId="Pucespointrondnoir">
    <w:name w:val="Puces point rond noir"/>
    <w:basedOn w:val="Normal"/>
    <w:link w:val="PucespointrondnoirCar"/>
    <w:qFormat/>
    <w:rsid w:val="004A2A18"/>
    <w:pPr>
      <w:numPr>
        <w:numId w:val="3"/>
      </w:numPr>
      <w:tabs>
        <w:tab w:val="left" w:pos="1080"/>
      </w:tabs>
    </w:pPr>
  </w:style>
  <w:style w:type="paragraph" w:styleId="En-ttedetabledesmatires">
    <w:name w:val="TOC Heading"/>
    <w:basedOn w:val="Titre1"/>
    <w:next w:val="Normal"/>
    <w:uiPriority w:val="39"/>
    <w:semiHidden/>
    <w:unhideWhenUsed/>
    <w:qFormat/>
    <w:rsid w:val="00755BC9"/>
    <w:pPr>
      <w:keepNext/>
      <w:keepLines/>
      <w:numPr>
        <w:numId w:val="0"/>
      </w:numPr>
      <w:spacing w:before="480" w:line="276" w:lineRule="auto"/>
      <w:outlineLvl w:val="9"/>
    </w:pPr>
    <w:rPr>
      <w:rFonts w:ascii="Cambria" w:hAnsi="Cambria"/>
      <w:caps/>
      <w:color w:val="365F91"/>
      <w:kern w:val="0"/>
      <w:lang w:val="fr-FR" w:eastAsia="en-US"/>
    </w:rPr>
  </w:style>
  <w:style w:type="character" w:customStyle="1" w:styleId="PucespointrondnoirCar">
    <w:name w:val="Puces point rond noir Car"/>
    <w:basedOn w:val="Policepardfaut"/>
    <w:link w:val="Pucespointrondnoir"/>
    <w:rsid w:val="004A2A18"/>
    <w:rPr>
      <w:rFonts w:ascii="Calibri" w:hAnsi="Calibri"/>
      <w:sz w:val="24"/>
      <w:szCs w:val="26"/>
      <w:lang w:eastAsia="fr-FR"/>
    </w:rPr>
  </w:style>
  <w:style w:type="paragraph" w:styleId="Rvision">
    <w:name w:val="Revision"/>
    <w:hidden/>
    <w:uiPriority w:val="99"/>
    <w:semiHidden/>
    <w:rsid w:val="00E45960"/>
    <w:rPr>
      <w:sz w:val="26"/>
      <w:szCs w:val="26"/>
      <w:lang w:eastAsia="fr-FR"/>
    </w:rPr>
  </w:style>
  <w:style w:type="character" w:customStyle="1" w:styleId="Titre4Car">
    <w:name w:val="Titre 4 Car"/>
    <w:basedOn w:val="Policepardfaut"/>
    <w:link w:val="Titre4"/>
    <w:rsid w:val="00D05E4B"/>
    <w:rPr>
      <w:rFonts w:ascii="Calibri" w:hAnsi="Calibri" w:cs="Arial"/>
      <w:b/>
      <w:bCs/>
      <w:sz w:val="26"/>
      <w:szCs w:val="28"/>
      <w:lang w:eastAsia="fr-FR"/>
    </w:rPr>
  </w:style>
  <w:style w:type="character" w:customStyle="1" w:styleId="PieddepageCar">
    <w:name w:val="Pied de page Car"/>
    <w:basedOn w:val="Policepardfaut"/>
    <w:link w:val="Pieddepage"/>
    <w:uiPriority w:val="99"/>
    <w:rsid w:val="00350456"/>
    <w:rPr>
      <w:sz w:val="26"/>
      <w:szCs w:val="26"/>
      <w:lang w:eastAsia="fr-FR"/>
    </w:rPr>
  </w:style>
  <w:style w:type="paragraph" w:styleId="Tabledesrfrencesjuridiques">
    <w:name w:val="table of authorities"/>
    <w:basedOn w:val="Normal"/>
    <w:next w:val="Normal"/>
    <w:uiPriority w:val="99"/>
    <w:unhideWhenUsed/>
    <w:rsid w:val="002F1646"/>
    <w:pPr>
      <w:ind w:left="260" w:hanging="260"/>
      <w:jc w:val="left"/>
    </w:pPr>
    <w:rPr>
      <w:sz w:val="20"/>
      <w:szCs w:val="20"/>
    </w:rPr>
  </w:style>
  <w:style w:type="paragraph" w:styleId="TitreTR">
    <w:name w:val="toa heading"/>
    <w:basedOn w:val="Normal"/>
    <w:next w:val="Normal"/>
    <w:uiPriority w:val="99"/>
    <w:unhideWhenUsed/>
    <w:rsid w:val="002F1646"/>
    <w:pPr>
      <w:spacing w:before="120" w:after="120"/>
      <w:jc w:val="left"/>
    </w:pPr>
    <w:rPr>
      <w:rFonts w:cs="Arial"/>
      <w:sz w:val="20"/>
      <w:szCs w:val="20"/>
      <w:u w:val="single"/>
    </w:rPr>
  </w:style>
  <w:style w:type="character" w:customStyle="1" w:styleId="CommentaireCar">
    <w:name w:val="Commentaire Car"/>
    <w:basedOn w:val="Policepardfaut"/>
    <w:link w:val="Commentaire"/>
    <w:rsid w:val="00B12376"/>
    <w:rPr>
      <w:lang w:eastAsia="fr-FR"/>
    </w:rPr>
  </w:style>
  <w:style w:type="paragraph" w:customStyle="1" w:styleId="Default">
    <w:name w:val="Default"/>
    <w:rsid w:val="0015473C"/>
    <w:pPr>
      <w:autoSpaceDE w:val="0"/>
      <w:autoSpaceDN w:val="0"/>
      <w:adjustRightInd w:val="0"/>
    </w:pPr>
    <w:rPr>
      <w:rFonts w:eastAsiaTheme="minorEastAsia"/>
      <w:color w:val="000000"/>
      <w:sz w:val="24"/>
      <w:szCs w:val="24"/>
      <w:lang w:eastAsia="en-US"/>
    </w:rPr>
  </w:style>
  <w:style w:type="character" w:customStyle="1" w:styleId="ParagraphedelisteCar">
    <w:name w:val="Paragraphe de liste Car"/>
    <w:aliases w:val="Puces point rond Car"/>
    <w:link w:val="Paragraphedeliste"/>
    <w:uiPriority w:val="34"/>
    <w:rsid w:val="0015473C"/>
    <w:rPr>
      <w:rFonts w:ascii="Calibri" w:eastAsia="Calibri" w:hAnsi="Calibri"/>
      <w:sz w:val="22"/>
      <w:szCs w:val="22"/>
      <w:lang w:eastAsia="en-US"/>
    </w:rPr>
  </w:style>
  <w:style w:type="paragraph" w:customStyle="1" w:styleId="Boulettes">
    <w:name w:val="Boulettes"/>
    <w:basedOn w:val="Normal"/>
    <w:rsid w:val="003C277B"/>
    <w:pPr>
      <w:numPr>
        <w:numId w:val="7"/>
      </w:numPr>
      <w:tabs>
        <w:tab w:val="right" w:pos="851"/>
      </w:tabs>
      <w:spacing w:after="200" w:line="276" w:lineRule="auto"/>
    </w:pPr>
    <w:rPr>
      <w:rFonts w:asciiTheme="minorHAnsi" w:eastAsiaTheme="minorEastAsia" w:hAnsiTheme="minorHAnsi" w:cs="Arial"/>
      <w:bCs/>
      <w:sz w:val="20"/>
      <w:szCs w:val="24"/>
      <w:lang w:eastAsia="en-US"/>
    </w:rPr>
  </w:style>
  <w:style w:type="character" w:customStyle="1" w:styleId="label-section1">
    <w:name w:val="label-section1"/>
    <w:basedOn w:val="Policepardfaut"/>
    <w:rsid w:val="003C277B"/>
    <w:rPr>
      <w:rFonts w:ascii="Arial" w:hAnsi="Arial" w:cs="Arial" w:hint="default"/>
      <w:b/>
      <w:bCs/>
      <w:sz w:val="24"/>
      <w:szCs w:val="24"/>
    </w:rPr>
  </w:style>
  <w:style w:type="character" w:customStyle="1" w:styleId="texte-courant1">
    <w:name w:val="texte-courant1"/>
    <w:rsid w:val="00663588"/>
  </w:style>
  <w:style w:type="paragraph" w:customStyle="1" w:styleId="NBP1">
    <w:name w:val="NBP1"/>
    <w:basedOn w:val="Notedebasdepage"/>
    <w:autoRedefine/>
    <w:qFormat/>
    <w:rsid w:val="003C5C4A"/>
    <w:pPr>
      <w:tabs>
        <w:tab w:val="clear" w:pos="425"/>
        <w:tab w:val="left" w:pos="426"/>
      </w:tabs>
      <w:spacing w:before="0" w:after="0"/>
      <w:ind w:left="425" w:hanging="425"/>
    </w:pPr>
    <w:rPr>
      <w:iCs/>
      <w:lang w:eastAsia="fr-CA"/>
    </w:rPr>
  </w:style>
  <w:style w:type="character" w:styleId="Lienhypertextesuivivisit">
    <w:name w:val="FollowedHyperlink"/>
    <w:basedOn w:val="Policepardfaut"/>
    <w:uiPriority w:val="99"/>
    <w:semiHidden/>
    <w:unhideWhenUsed/>
    <w:rsid w:val="00980CF9"/>
    <w:rPr>
      <w:color w:val="954F72" w:themeColor="followedHyperlink"/>
      <w:u w:val="single"/>
    </w:rPr>
  </w:style>
  <w:style w:type="character" w:customStyle="1" w:styleId="En-tteCar">
    <w:name w:val="En-tête Car"/>
    <w:basedOn w:val="Policepardfaut"/>
    <w:link w:val="En-tte"/>
    <w:rsid w:val="00FC6407"/>
    <w:rPr>
      <w:sz w:val="26"/>
      <w:szCs w:val="26"/>
      <w:lang w:eastAsia="fr-FR"/>
    </w:rPr>
  </w:style>
  <w:style w:type="table" w:styleId="TableauGrille1Clair">
    <w:name w:val="Grid Table 1 Light"/>
    <w:basedOn w:val="TableauNormal"/>
    <w:uiPriority w:val="46"/>
    <w:rsid w:val="00490E4A"/>
    <w:rPr>
      <w:rFonts w:eastAsiaTheme="minorHAnsi"/>
      <w:color w:val="181818"/>
      <w:w w:val="105"/>
      <w:sz w:val="26"/>
      <w:szCs w:val="26"/>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itreS2">
    <w:name w:val="Titre S2"/>
    <w:basedOn w:val="Normal"/>
    <w:link w:val="TitreS2Car"/>
    <w:rsid w:val="002871B4"/>
    <w:pPr>
      <w:spacing w:before="0" w:after="120"/>
    </w:pPr>
    <w:rPr>
      <w:rFonts w:asciiTheme="minorHAnsi" w:eastAsiaTheme="minorEastAsia" w:hAnsiTheme="minorHAnsi" w:cstheme="minorBidi"/>
      <w:b/>
      <w:bCs/>
      <w:sz w:val="32"/>
      <w:szCs w:val="32"/>
      <w:lang w:eastAsia="en-US"/>
    </w:rPr>
  </w:style>
  <w:style w:type="character" w:customStyle="1" w:styleId="TitreS2Car">
    <w:name w:val="Titre S2 Car"/>
    <w:basedOn w:val="Policepardfaut"/>
    <w:link w:val="TitreS2"/>
    <w:rsid w:val="002871B4"/>
    <w:rPr>
      <w:rFonts w:asciiTheme="minorHAnsi" w:eastAsiaTheme="minorEastAsia" w:hAnsiTheme="minorHAnsi" w:cstheme="minorBidi"/>
      <w:b/>
      <w:bCs/>
      <w:sz w:val="32"/>
      <w:szCs w:val="32"/>
      <w:lang w:eastAsia="en-US"/>
    </w:rPr>
  </w:style>
  <w:style w:type="paragraph" w:customStyle="1" w:styleId="TitreS3">
    <w:name w:val="Titre S3"/>
    <w:basedOn w:val="Normal"/>
    <w:link w:val="TitreS3Car"/>
    <w:autoRedefine/>
    <w:qFormat/>
    <w:rsid w:val="00352626"/>
    <w:pPr>
      <w:tabs>
        <w:tab w:val="left" w:pos="851"/>
      </w:tabs>
      <w:ind w:left="851" w:hanging="851"/>
    </w:pPr>
    <w:rPr>
      <w:rFonts w:eastAsia="Yu Mincho" w:cs="Calibri"/>
      <w:b/>
      <w:bCs/>
      <w:sz w:val="32"/>
      <w:szCs w:val="32"/>
      <w:lang w:eastAsia="en-US"/>
    </w:rPr>
  </w:style>
  <w:style w:type="character" w:customStyle="1" w:styleId="TitreS3Car">
    <w:name w:val="Titre S3 Car"/>
    <w:link w:val="TitreS3"/>
    <w:rsid w:val="00352626"/>
    <w:rPr>
      <w:rFonts w:ascii="Calibri" w:eastAsia="Yu Mincho" w:hAnsi="Calibri" w:cs="Calibri"/>
      <w:b/>
      <w:bCs/>
      <w:sz w:val="32"/>
      <w:szCs w:val="32"/>
      <w:lang w:eastAsia="en-US"/>
    </w:rPr>
  </w:style>
  <w:style w:type="character" w:customStyle="1" w:styleId="Mentionnonrsolue1">
    <w:name w:val="Mention non résolue1"/>
    <w:basedOn w:val="Policepardfaut"/>
    <w:uiPriority w:val="99"/>
    <w:semiHidden/>
    <w:unhideWhenUsed/>
    <w:rsid w:val="00E77A33"/>
    <w:rPr>
      <w:color w:val="605E5C"/>
      <w:shd w:val="clear" w:color="auto" w:fill="E1DFDD"/>
    </w:rPr>
  </w:style>
  <w:style w:type="character" w:customStyle="1" w:styleId="ui-provider">
    <w:name w:val="ui-provider"/>
    <w:basedOn w:val="Policepardfaut"/>
    <w:rsid w:val="0002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77143">
      <w:bodyDiv w:val="1"/>
      <w:marLeft w:val="0"/>
      <w:marRight w:val="0"/>
      <w:marTop w:val="0"/>
      <w:marBottom w:val="0"/>
      <w:divBdr>
        <w:top w:val="none" w:sz="0" w:space="0" w:color="auto"/>
        <w:left w:val="none" w:sz="0" w:space="0" w:color="auto"/>
        <w:bottom w:val="none" w:sz="0" w:space="0" w:color="auto"/>
        <w:right w:val="none" w:sz="0" w:space="0" w:color="auto"/>
      </w:divBdr>
    </w:div>
    <w:div w:id="212974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legisquebec.gouv.qc.ca/fr/ShowDoc/cr/R-6.01,%20r.%208%20/" TargetMode="External"/><Relationship Id="rId26" Type="http://schemas.openxmlformats.org/officeDocument/2006/relationships/hyperlink" Target="http://legisquebec.gouv.qc.ca/fr/ShowDoc/cr/Q-2,%20r.%2046.1%20/" TargetMode="External"/><Relationship Id="rId39" Type="http://schemas.openxmlformats.org/officeDocument/2006/relationships/hyperlink" Target="http://legisquebec.gouv.qc.ca/fr/ShowDoc/cr/R-6.01,%20r.%208/" TargetMode="External"/><Relationship Id="rId3" Type="http://schemas.openxmlformats.org/officeDocument/2006/relationships/customXml" Target="../customXml/item3.xml"/><Relationship Id="rId21" Type="http://schemas.openxmlformats.org/officeDocument/2006/relationships/hyperlink" Target="http://legisquebec.gouv.qc.ca/fr/ShowDoc/cr/R-6.01,%20r.%204.1" TargetMode="External"/><Relationship Id="rId34" Type="http://schemas.openxmlformats.org/officeDocument/2006/relationships/hyperlink" Target="http://publicsde.regie-energie.qc.ca/projets/625/DocPrj/R-4194-2022-A-0009-Dec-Dec-2022_08_18.pdf"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legisquebec.gouv.qc.ca/fr/ShowDoc/cs/R-6.01" TargetMode="External"/><Relationship Id="rId25" Type="http://schemas.openxmlformats.org/officeDocument/2006/relationships/hyperlink" Target="http://www2.publicationsduquebec.gouv.qc.ca/dynamicSearch/telecharge.php?type=1&amp;file=2022F%2F78322.PDF" TargetMode="External"/><Relationship Id="rId33" Type="http://schemas.openxmlformats.org/officeDocument/2006/relationships/hyperlink" Target="http://publicsde.regie-energie.qc.ca/projets/406/DocPrj/R-4003-2017-A-0040-Dec-Dec-2017_12_13.pdf" TargetMode="External"/><Relationship Id="rId38" Type="http://schemas.openxmlformats.org/officeDocument/2006/relationships/hyperlink" Target="http://legisquebec.gouv.qc.ca/fr/ShowDoc/cr/R-6.01,%20r.%208/"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legisquebec.gouv.qc.ca/fr/ShowDoc/cr/R-6.01,%20r.%202/" TargetMode="External"/><Relationship Id="rId29" Type="http://schemas.openxmlformats.org/officeDocument/2006/relationships/hyperlink" Target="https://sde.regie-energie.qc.ca/SiteCollectionDocuments/Aide/SD%C3%89%20-%20Guide%20utilisateur%20extern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quebec.gouv.qc.ca/fr/document/rc/R-6.01,%20r.%204.3%20/" TargetMode="External"/><Relationship Id="rId32" Type="http://schemas.openxmlformats.org/officeDocument/2006/relationships/hyperlink" Target="javascript:displayOtherLang(%22se:85_6%22);" TargetMode="External"/><Relationship Id="rId37" Type="http://schemas.openxmlformats.org/officeDocument/2006/relationships/hyperlink" Target="http://www2.publicationsduquebec.gouv.qc.ca/dynamicSearch/telecharge.php?type=5&amp;file=2020C19F.PDF" TargetMode="External"/><Relationship Id="rId40" Type="http://schemas.openxmlformats.org/officeDocument/2006/relationships/hyperlink" Target="javascript:displayOtherLang(%22se:85_6%2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legisquebec.gouv.qc.ca/fr/ShowDoc/cr/R-6.01,%20r.%202" TargetMode="External"/><Relationship Id="rId28" Type="http://schemas.openxmlformats.org/officeDocument/2006/relationships/hyperlink" Target="https://transitionenergetique.gouv.qc.ca/fileadmin/medias/pdf/plan-directeur/TEQ_PlanDirecteur_web.pdf" TargetMode="External"/><Relationship Id="rId36" Type="http://schemas.openxmlformats.org/officeDocument/2006/relationships/hyperlink" Target="http://legisquebec.gouv.qc.ca/fr/ShowDoc/cs/M-25.2" TargetMode="External"/><Relationship Id="rId10" Type="http://schemas.openxmlformats.org/officeDocument/2006/relationships/endnotes" Target="endnotes.xml"/><Relationship Id="rId19" Type="http://schemas.openxmlformats.org/officeDocument/2006/relationships/hyperlink" Target="http://legisquebec.gouv.qc.ca/fr/ShowDoc/cr/R-6.01,%20r.%208/" TargetMode="External"/><Relationship Id="rId31" Type="http://schemas.openxmlformats.org/officeDocument/2006/relationships/hyperlink" Target="https://sde.regie-energie.qc.ca/SiteCollectionDocuments/Aide/SD%C3%89%20-%20Guide%20utilisateur%20extern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legisquebec.gouv.qc.ca/fr/ShowDoc/cr/R-6.01,%20r.%208" TargetMode="External"/><Relationship Id="rId27" Type="http://schemas.openxmlformats.org/officeDocument/2006/relationships/hyperlink" Target="http://legisquebec.gouv.qc.ca/fr/ShowDoc/cr/Q-2,%20r.%2015%20/" TargetMode="External"/><Relationship Id="rId30" Type="http://schemas.openxmlformats.org/officeDocument/2006/relationships/hyperlink" Target="file:///\\s9mtlnas\Groupes\DGPR\DGA-PS\1240.H-4.2%20Loi%20sur%20les%20hydrocarbures\4417%20Hydrocarbures_Guides%20de%20d&#233;p&#244;t\Greffe@regie-energie.qc.ca" TargetMode="External"/><Relationship Id="rId35" Type="http://schemas.openxmlformats.org/officeDocument/2006/relationships/hyperlink" Target="javascript:displayOtherLang(%22se:85_6%2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ublicsde.regie-energie.qc.ca/projets/308/DocPrj/R-3924-2015-A-0051-Dec-Dec-2016_02_02.pdf" TargetMode="External"/><Relationship Id="rId13" Type="http://schemas.openxmlformats.org/officeDocument/2006/relationships/hyperlink" Target="http://publicsde.regie-energie.qc.ca/projets/455/DocPrj/R-4043-2018-A-0159-Dec-Dec-2019_07_31.pdf" TargetMode="External"/><Relationship Id="rId18" Type="http://schemas.openxmlformats.org/officeDocument/2006/relationships/hyperlink" Target="https://www.regie-energie.qc.ca/storage/app/media/la-regie/publications-documentations-conference-colloques/evenements-et-colloques/colloques/2021/BNE-2021_Orientation-sur-la-prise-en-compte-dans-la-pratique-reglementaire-Dunsky.pdf" TargetMode="External"/><Relationship Id="rId26" Type="http://schemas.openxmlformats.org/officeDocument/2006/relationships/hyperlink" Target="http://publicsde.regie-energie.qc.ca/projets/455/DocPrj/R-4043-2018-A-0159-Dec-Dec-2019_07_31.pdf" TargetMode="External"/><Relationship Id="rId3" Type="http://schemas.openxmlformats.org/officeDocument/2006/relationships/hyperlink" Target="http://publicsde.regie-energie.qc.ca/projets/440/DocPrj/R-4032-2018-A-0010-Dec-Dec-2018_07_20.pdf" TargetMode="External"/><Relationship Id="rId21" Type="http://schemas.openxmlformats.org/officeDocument/2006/relationships/hyperlink" Target="http://www.regie-energie.qc.ca/audiences/decisions/D-2007-90.pdf" TargetMode="External"/><Relationship Id="rId7" Type="http://schemas.openxmlformats.org/officeDocument/2006/relationships/hyperlink" Target="http://publicsde.regie-energie.qc.ca/projets/582/DocPrj/R-4156-2021-A-0065-Dec-Dec-2022_10_26.pdf" TargetMode="External"/><Relationship Id="rId12" Type="http://schemas.openxmlformats.org/officeDocument/2006/relationships/hyperlink" Target="http://publicsde.regie-energie.qc.ca/projets/455/DocPrj/R-4043-2018-A-0159-Dec-Dec-2019_07_31.pdf" TargetMode="External"/><Relationship Id="rId17" Type="http://schemas.openxmlformats.org/officeDocument/2006/relationships/hyperlink" Target="http://publicsde.regie-energie.qc.ca/projets/455/DocPrj/R-4043-2018-A-0159-Dec-Dec-2019_07_31.pdf" TargetMode="External"/><Relationship Id="rId25" Type="http://schemas.openxmlformats.org/officeDocument/2006/relationships/hyperlink" Target="http://publicsde.regie-energie.qc.ca/projets/440/DocPrj/R-4032-2018-A-0082-Dec-Dec-2019_11_20.pdf" TargetMode="External"/><Relationship Id="rId2" Type="http://schemas.openxmlformats.org/officeDocument/2006/relationships/hyperlink" Target="http://legisquebec.gouv.qc.ca/fr/ShowDoc/cr/R-6.01,%20r.%208" TargetMode="External"/><Relationship Id="rId16" Type="http://schemas.openxmlformats.org/officeDocument/2006/relationships/hyperlink" Target="http://publicsde.regie-energie.qc.ca/projets/455/DocPrj/R-4043-2018-A-0159-Dec-Dec-2019_07_31.pdf" TargetMode="External"/><Relationship Id="rId20" Type="http://schemas.openxmlformats.org/officeDocument/2006/relationships/hyperlink" Target="http://legisquebec.gouv.qc.ca/fr/ShowDoc/cs/R-6.01" TargetMode="External"/><Relationship Id="rId29" Type="http://schemas.openxmlformats.org/officeDocument/2006/relationships/hyperlink" Target="http://publicsde.regie-energie.qc.ca/projets/455/DocPrj/R-4043-2018-A-0159-Dec-Dec-2019_07_31.pdf" TargetMode="External"/><Relationship Id="rId1" Type="http://schemas.openxmlformats.org/officeDocument/2006/relationships/hyperlink" Target="http://legisquebec.gouv.qc.ca/fr/ShowDoc/cr/R-6.01,%20r.%208" TargetMode="External"/><Relationship Id="rId6" Type="http://schemas.openxmlformats.org/officeDocument/2006/relationships/hyperlink" Target="http://publicsde.regie-energie.qc.ca/projets/308/DocPrj/R-3924-2015-B-0102-DemAmend-Piece-2015_07_15.pdf" TargetMode="External"/><Relationship Id="rId11" Type="http://schemas.openxmlformats.org/officeDocument/2006/relationships/hyperlink" Target="http://publicsde.regie-energie.qc.ca/projets/440/DocPrj/R-4032-2018-A-0085-Dec-Dec-2019_11_29.pdf" TargetMode="External"/><Relationship Id="rId24" Type="http://schemas.openxmlformats.org/officeDocument/2006/relationships/hyperlink" Target="http://publicsde.regie-energie.qc.ca/projets/440/DocPrj/R-4032-2018-A-0082-Dec-Dec-2019_11_20.pdf" TargetMode="External"/><Relationship Id="rId32" Type="http://schemas.openxmlformats.org/officeDocument/2006/relationships/hyperlink" Target="http://www.regie-energie.qc.ca/audiences/decisions/D-2002-283.pdf" TargetMode="External"/><Relationship Id="rId5" Type="http://schemas.openxmlformats.org/officeDocument/2006/relationships/hyperlink" Target="http://publicsde.regie-energie.qc.ca/projets/371/DocPrj/R-3969-2016-A-0042-Dec-Dec-2017_03_17.pdf" TargetMode="External"/><Relationship Id="rId15" Type="http://schemas.openxmlformats.org/officeDocument/2006/relationships/hyperlink" Target="http://publicsde.regie-energie.qc.ca/projets/455/DocPrj/R-4043-2018-A-0159-Dec-Dec-2019_07_31.pdf" TargetMode="External"/><Relationship Id="rId23" Type="http://schemas.openxmlformats.org/officeDocument/2006/relationships/hyperlink" Target="http://publicsde.regie-energie.qc.ca/projets/258/DocPrj/R-3884-2014-A-0009-Dec-Dec-2014_07_03.pdf" TargetMode="External"/><Relationship Id="rId28" Type="http://schemas.openxmlformats.org/officeDocument/2006/relationships/hyperlink" Target="http://publicsde.regie-energie.qc.ca/projets/455/DocPrj/R-4043-2018-A-0159-Dec-Dec-2019_07_31.pdf" TargetMode="External"/><Relationship Id="rId10" Type="http://schemas.openxmlformats.org/officeDocument/2006/relationships/hyperlink" Target="http://legisquebec.gouv.qc.ca/fr/ShowDoc/cr/R-6.01,%20r.%202" TargetMode="External"/><Relationship Id="rId19" Type="http://schemas.openxmlformats.org/officeDocument/2006/relationships/hyperlink" Target="https://www.regie-energie.qc.ca/storage/app/media/la-regie/publications-documentations-conference-colloques/evenements-et-colloques/colloques/2021/BNE-2021_CKrolik.pdf" TargetMode="External"/><Relationship Id="rId31" Type="http://schemas.openxmlformats.org/officeDocument/2006/relationships/hyperlink" Target="http://www.regie-energie.qc.ca/audiences/decisions/D-2002-283.pdf" TargetMode="External"/><Relationship Id="rId4" Type="http://schemas.openxmlformats.org/officeDocument/2006/relationships/hyperlink" Target="http://publicsde.regie-energie.qc.ca/projets/440/DocPrj/R-4032-2018-A-0010-Dec-Dec-2018_07_20.pdf" TargetMode="External"/><Relationship Id="rId9" Type="http://schemas.openxmlformats.org/officeDocument/2006/relationships/hyperlink" Target="http://publicsde.regie-energie.qc.ca/projets/308/DocPrj/R-3924-2015-A-0073-Dec-Dec-2016_06_08.pdf" TargetMode="External"/><Relationship Id="rId14" Type="http://schemas.openxmlformats.org/officeDocument/2006/relationships/hyperlink" Target="http://publicsde.regie-energie.qc.ca/projets/455/DocPrj/R-4043-2018-A-0159-Dec-Dec-2019_07_31.pdf" TargetMode="External"/><Relationship Id="rId22" Type="http://schemas.openxmlformats.org/officeDocument/2006/relationships/hyperlink" Target="http://publicsde.regie-energie.qc.ca/projets/406/DocPrj/R-4003-2017-A-0011-Dec-Dec-2017_07_28.pdf" TargetMode="External"/><Relationship Id="rId27" Type="http://schemas.openxmlformats.org/officeDocument/2006/relationships/hyperlink" Target="http://publicsde.regie-energie.qc.ca/projets/455/DocPrj/R-4043-2018-A-0159-Dec-Dec-2019_07_31.pdf" TargetMode="External"/><Relationship Id="rId30" Type="http://schemas.openxmlformats.org/officeDocument/2006/relationships/hyperlink" Target="http://publicsde.regie-energie.qc.ca/projets/455/DocPrj/R-4043-2018-A-0159-Dec-Dec-2019_07_3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E89E4976E9542B8EE9C32E9B31DF1" ma:contentTypeVersion="2" ma:contentTypeDescription="Create a new document." ma:contentTypeScope="" ma:versionID="285776c0632e2516502cbbae1a54601e">
  <xsd:schema xmlns:xsd="http://www.w3.org/2001/XMLSchema" xmlns:xs="http://www.w3.org/2001/XMLSchema" xmlns:p="http://schemas.microsoft.com/office/2006/metadata/properties" xmlns:ns3="7e286915-3a5d-4c6d-a582-214fa8da64fe" targetNamespace="http://schemas.microsoft.com/office/2006/metadata/properties" ma:root="true" ma:fieldsID="306a055fa73f002ec3ab764d59d2c6f8" ns3:_="">
    <xsd:import namespace="7e286915-3a5d-4c6d-a582-214fa8da64f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6915-3a5d-4c6d-a582-214fa8da6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B564-D29F-4818-B15C-8464AF3D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6915-3a5d-4c6d-a582-214fa8da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EEF1E-5917-4981-81E5-933A215FCB3C}">
  <ds:schemaRefs>
    <ds:schemaRef ds:uri="http://schemas.microsoft.com/sharepoint/v3/contenttype/forms"/>
  </ds:schemaRefs>
</ds:datastoreItem>
</file>

<file path=customXml/itemProps3.xml><?xml version="1.0" encoding="utf-8"?>
<ds:datastoreItem xmlns:ds="http://schemas.openxmlformats.org/officeDocument/2006/customXml" ds:itemID="{E15CCD44-C7ED-41E9-BCCD-3333028E7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D48BF6-585B-4E24-8C2E-889A8BCA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11277</Words>
  <Characters>62028</Characters>
  <Application>Microsoft Office Word</Application>
  <DocSecurity>0</DocSecurity>
  <Lines>516</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73159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2023-06-20T17:35:00Z</dcterms:created>
  <dcterms:modified xsi:type="dcterms:W3CDTF">2023-06-20T17:45:00Z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etDate">
    <vt:lpwstr>2022-11-14T18:17:10Z</vt:lpwstr>
  </property>
  <property fmtid="{D5CDD505-2E9C-101B-9397-08002B2CF9AE}" pid="4" name="MSIP_Label_b1a6f161-e42b-4c47-8f69-f6a81e023e2d_Method">
    <vt:lpwstr>Standard</vt:lpwstr>
  </property>
  <property fmtid="{D5CDD505-2E9C-101B-9397-08002B2CF9AE}" pid="5" name="MSIP_Label_b1a6f161-e42b-4c47-8f69-f6a81e023e2d_Name">
    <vt:lpwstr>b1a6f161-e42b-4c47-8f69-f6a81e023e2d</vt:lpwstr>
  </property>
  <property fmtid="{D5CDD505-2E9C-101B-9397-08002B2CF9AE}" pid="6" name="MSIP_Label_b1a6f161-e42b-4c47-8f69-f6a81e023e2d_SiteId">
    <vt:lpwstr>271df5c2-953a-497b-93ad-7adf7a4b3cd7</vt:lpwstr>
  </property>
  <property fmtid="{D5CDD505-2E9C-101B-9397-08002B2CF9AE}" pid="7" name="MSIP_Label_b1a6f161-e42b-4c47-8f69-f6a81e023e2d_ActionId">
    <vt:lpwstr>19016927-1266-4462-8b52-02e4a14754ce</vt:lpwstr>
  </property>
  <property fmtid="{D5CDD505-2E9C-101B-9397-08002B2CF9AE}" pid="8" name="MSIP_Label_b1a6f161-e42b-4c47-8f69-f6a81e023e2d_ContentBits">
    <vt:lpwstr>0</vt:lpwstr>
  </property>
  <property fmtid="{D5CDD505-2E9C-101B-9397-08002B2CF9AE}" pid="9" name="_NewReviewCycle">
    <vt:lpwstr/>
  </property>
  <property fmtid="{D5CDD505-2E9C-101B-9397-08002B2CF9AE}" pid="10" name="ContentTypeId">
    <vt:lpwstr>0x010100D44E89E4976E9542B8EE9C32E9B31DF1</vt:lpwstr>
  </property>
</Properties>
</file>